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69656F74" w:rsidR="00834980" w:rsidRDefault="009425F5" w:rsidP="00BD74AD">
      <w:pPr>
        <w:pStyle w:val="Heading2"/>
      </w:pPr>
      <w:r w:rsidRPr="009425F5">
        <w:t>Toronto Third Line</w:t>
      </w:r>
      <w:r w:rsidR="51DD60D5" w:rsidRPr="009425F5">
        <w:t xml:space="preserve"> </w:t>
      </w:r>
      <w:r w:rsidR="00D12111">
        <w:t xml:space="preserve">– </w:t>
      </w:r>
      <w:r w:rsidRPr="009425F5">
        <w:t>April 9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23AC3447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B219C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Toronto Third Line</w:t>
                            </w:r>
                            <w:r w:rsidR="00A03A04" w:rsidRPr="00A03A04"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23AC3447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B219CF">
                        <w:rPr>
                          <w:rFonts w:ascii="Tahoma" w:hAnsi="Tahoma" w:cs="Tahoma"/>
                          <w:sz w:val="22"/>
                          <w:szCs w:val="22"/>
                        </w:rPr>
                        <w:t>Toronto Third Line</w:t>
                      </w:r>
                      <w:r w:rsidR="00A03A04" w:rsidRPr="00A03A04"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95A9D" w14:textId="0912BA55" w:rsidR="00834980" w:rsidRDefault="00D12111" w:rsidP="0CACAB1F">
      <w:pPr>
        <w:pStyle w:val="BodyText"/>
        <w:rPr>
          <w:rFonts w:eastAsia="Arial Unicode MS" w:cs="Arial Unicode MS"/>
          <w:color w:val="003366"/>
        </w:rPr>
      </w:pPr>
      <w:r>
        <w:t xml:space="preserve">Following the </w:t>
      </w:r>
      <w:r w:rsidR="009425F5" w:rsidRPr="009425F5">
        <w:t xml:space="preserve">Toronto Third </w:t>
      </w:r>
      <w:proofErr w:type="gramStart"/>
      <w:r w:rsidR="009425F5" w:rsidRPr="009425F5">
        <w:t>Line  April</w:t>
      </w:r>
      <w:proofErr w:type="gramEnd"/>
      <w:r w:rsidR="009425F5" w:rsidRPr="009425F5">
        <w:t xml:space="preserve"> 9, 2026,</w:t>
      </w:r>
      <w:r w:rsidRPr="009425F5">
        <w:t xml:space="preserve">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0" w:history="1">
        <w:r w:rsidR="009425F5" w:rsidRPr="009425F5">
          <w:rPr>
            <w:rStyle w:val="Hyperlink0"/>
          </w:rPr>
          <w:t>Toronto Third Line engagement webpage</w:t>
        </w:r>
      </w:hyperlink>
      <w:r w:rsidR="009425F5" w:rsidRPr="009425F5">
        <w:rPr>
          <w:rStyle w:val="Hyperlink0"/>
        </w:rPr>
        <w:t>.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024CD6B8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1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9425F5" w:rsidRPr="009425F5">
        <w:rPr>
          <w:b/>
          <w:bCs/>
        </w:rPr>
        <w:t>April 23, 2026</w:t>
      </w:r>
      <w:r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E5FA865" w14:textId="57579B58" w:rsidR="005635C8" w:rsidRPr="009425F5" w:rsidRDefault="00A03A04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5370F37B" w14:textId="77777777" w:rsidR="009425F5" w:rsidRPr="009425F5" w:rsidRDefault="009425F5" w:rsidP="009425F5">
      <w:pPr>
        <w:pStyle w:val="BodyText"/>
        <w:rPr>
          <w:rFonts w:cs="Arial Unicode MS"/>
          <w:color w:val="000000" w:themeColor="text1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cs="Arial Unicode MS"/>
          <w:color w:val="000000" w:themeColor="text1"/>
          <w:kern w:val="2"/>
          <w14:textOutline w14:w="0" w14:cap="flat" w14:cmpd="sng" w14:algn="ctr">
            <w14:noFill/>
            <w14:prstDash w14:val="solid"/>
            <w14:bevel/>
          </w14:textOutline>
        </w:rPr>
        <w:t>How should the IESO structure its experience requirements for HVDC, underwater and Indigenous engagement/consultation experience? How should the IESO define a qualifying project?</w:t>
      </w:r>
    </w:p>
    <w:p w14:paraId="12EE16E3" w14:textId="77777777" w:rsidR="005635C8" w:rsidRPr="009425F5" w:rsidRDefault="005635C8" w:rsidP="00B61210">
      <w:pPr>
        <w:pStyle w:val="BodyText"/>
        <w:rPr>
          <w:rFonts w:eastAsia="Arial Unicode MS" w:cs="Arial Unicode MS"/>
          <w:color w:val="000000" w:themeColor="text1"/>
          <w:kern w:val="2"/>
          <w14:textOutline w14:w="0" w14:cap="flat" w14:cmpd="sng" w14:algn="ctr">
            <w14:noFill/>
            <w14:prstDash w14:val="solid"/>
            <w14:bevel/>
          </w14:textOutline>
        </w:rPr>
      </w:pPr>
    </w:p>
    <w:p w14:paraId="73461762" w14:textId="77777777" w:rsidR="00A03A04" w:rsidRPr="009425F5" w:rsidRDefault="00A03A04" w:rsidP="00A03A04">
      <w:pPr>
        <w:pStyle w:val="BodyText"/>
        <w:rPr>
          <w:rFonts w:eastAsia="Arial Unicode MS" w:cs="Arial Unicode MS"/>
          <w:color w:val="000000" w:themeColor="text1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1D35666C" w14:textId="77777777" w:rsidR="009425F5" w:rsidRPr="009425F5" w:rsidRDefault="009425F5" w:rsidP="009425F5">
      <w:pPr>
        <w:pStyle w:val="BodyText"/>
        <w:rPr>
          <w:rFonts w:cs="Arial Unicode MS"/>
          <w:color w:val="000000" w:themeColor="text1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cs="Arial Unicode MS"/>
          <w:color w:val="000000" w:themeColor="text1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What feedback do you have on the proposed division of costs between those that should be eligible for risk-sharing and those that should be ineligible? </w:t>
      </w:r>
    </w:p>
    <w:p w14:paraId="4CC1265B" w14:textId="77777777" w:rsidR="00A03A04" w:rsidRPr="009425F5" w:rsidRDefault="00A03A04" w:rsidP="00A03A04">
      <w:pPr>
        <w:pStyle w:val="BodyText"/>
        <w:rPr>
          <w:rFonts w:eastAsia="Arial Unicode MS" w:cs="Arial Unicode MS"/>
          <w:color w:val="000000" w:themeColor="text1"/>
          <w:kern w:val="2"/>
          <w14:textOutline w14:w="0" w14:cap="flat" w14:cmpd="sng" w14:algn="ctr">
            <w14:noFill/>
            <w14:prstDash w14:val="solid"/>
            <w14:bevel/>
          </w14:textOutline>
        </w:rPr>
      </w:pPr>
    </w:p>
    <w:p w14:paraId="78266A60" w14:textId="77777777" w:rsidR="00A03A04" w:rsidRPr="009425F5" w:rsidRDefault="00A03A04" w:rsidP="00A03A04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3C4E4372" w14:textId="77777777" w:rsidR="009425F5" w:rsidRPr="009425F5" w:rsidRDefault="009425F5" w:rsidP="009425F5">
      <w:pPr>
        <w:pStyle w:val="BodyText"/>
        <w:rPr>
          <w:rFonts w:cs="Arial Unicode MS"/>
          <w:color w:val="000000" w:themeColor="text1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cs="Arial Unicode MS"/>
          <w:color w:val="000000" w:themeColor="text1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Are all major activities appropriately captured and is the level of detail sufficient? Should any categories be further subdivided – for example, should ‘Construction’ be broken out into site remediation, cable placement, and other specific activities?</w:t>
      </w:r>
    </w:p>
    <w:p w14:paraId="43302FDC" w14:textId="77777777" w:rsidR="00B5724B" w:rsidRPr="009425F5" w:rsidRDefault="00B5724B" w:rsidP="0052753C">
      <w:pPr>
        <w:pStyle w:val="BodyText"/>
        <w:rPr>
          <w:rFonts w:eastAsia="Arial Unicode MS" w:cs="Arial Unicode MS"/>
          <w:color w:val="000000" w:themeColor="text1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1E7B1860" w14:textId="77777777" w:rsidR="009425F5" w:rsidRPr="009425F5" w:rsidRDefault="009425F5" w:rsidP="009425F5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1D59E7E8" w14:textId="77777777" w:rsidR="009425F5" w:rsidRPr="009425F5" w:rsidRDefault="009425F5" w:rsidP="009425F5">
      <w:pPr>
        <w:pStyle w:val="BodyText"/>
        <w:rPr>
          <w:rFonts w:cs="Arial Unicode MS"/>
          <w:color w:val="000000" w:themeColor="text1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cs="Arial Unicode MS"/>
          <w:color w:val="000000" w:themeColor="text1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What feedback do you have on the proposed cost-containment and risk-sharing mechanisms? Are there additional mechanisms we should consider? Which mechanisms should apply to which Capital Cost Components?</w:t>
      </w:r>
    </w:p>
    <w:p w14:paraId="07DE6398" w14:textId="77777777" w:rsidR="009425F5" w:rsidRPr="009425F5" w:rsidRDefault="009425F5" w:rsidP="009425F5">
      <w:pPr>
        <w:pStyle w:val="BodyText"/>
        <w:rPr>
          <w:rFonts w:eastAsia="Arial Unicode MS" w:cs="Arial Unicode MS"/>
          <w:color w:val="000000" w:themeColor="text1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203A41A0" w14:textId="1AA6B0EE" w:rsidR="009425F5" w:rsidRPr="009425F5" w:rsidRDefault="009425F5" w:rsidP="009425F5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</w:p>
    <w:p w14:paraId="2A17AB4F" w14:textId="77777777" w:rsidR="009425F5" w:rsidRPr="009425F5" w:rsidRDefault="009425F5" w:rsidP="009425F5">
      <w:pPr>
        <w:pStyle w:val="BodyText"/>
        <w:rPr>
          <w:rFonts w:cs="Arial Unicode MS"/>
          <w:color w:val="000000" w:themeColor="text1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cs="Arial Unicode MS"/>
          <w:color w:val="000000" w:themeColor="text1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Does the draft high-level term sheet capture the key commercial terms and concepts to enable your organization/community to have a high-level understanding of the structure of the TTL procurement contract?</w:t>
      </w:r>
    </w:p>
    <w:p w14:paraId="4C97B8DE" w14:textId="77777777" w:rsidR="009425F5" w:rsidRPr="009425F5" w:rsidRDefault="009425F5" w:rsidP="0052753C">
      <w:pPr>
        <w:pStyle w:val="BodyText"/>
        <w:rPr>
          <w:rFonts w:eastAsia="Arial Unicode MS" w:cs="Arial Unicode MS"/>
          <w:color w:val="000000" w:themeColor="text1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542B40A0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9425F5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A2CA" w14:textId="77777777" w:rsidR="008E7FA4" w:rsidRDefault="008E7FA4">
      <w:r>
        <w:separator/>
      </w:r>
    </w:p>
  </w:endnote>
  <w:endnote w:type="continuationSeparator" w:id="0">
    <w:p w14:paraId="57B5C5F1" w14:textId="77777777" w:rsidR="008E7FA4" w:rsidRDefault="008E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39D9E186" w:rsidR="00834980" w:rsidRDefault="009425F5" w:rsidP="00682EBB">
    <w:pPr>
      <w:pStyle w:val="Footer"/>
      <w:tabs>
        <w:tab w:val="clear" w:pos="11333"/>
        <w:tab w:val="right" w:pos="9873"/>
      </w:tabs>
    </w:pPr>
    <w:r w:rsidRPr="009425F5">
      <w:t>Toronto Third Line April 9, 2026</w:t>
    </w:r>
    <w:r w:rsidR="00682EBB" w:rsidRPr="009425F5">
      <w:t xml:space="preserve"> </w:t>
    </w:r>
    <w:r w:rsidR="00B5724B">
      <w:t>- Public</w:t>
    </w:r>
    <w:r w:rsidR="00682EBB" w:rsidRPr="009425F5">
      <w:ptab w:relativeTo="margin" w:alignment="left" w:leader="none"/>
    </w:r>
    <w:r w:rsidR="00682EBB" w:rsidRPr="009425F5">
      <w:ptab w:relativeTo="margin" w:alignment="lef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t>1</w:t>
    </w:r>
    <w:r w:rsidR="00682EBB" w:rsidRPr="00682EB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9996" w14:textId="77777777" w:rsidR="008E7FA4" w:rsidRDefault="008E7FA4">
      <w:r>
        <w:separator/>
      </w:r>
    </w:p>
  </w:footnote>
  <w:footnote w:type="continuationSeparator" w:id="0">
    <w:p w14:paraId="528BDDC1" w14:textId="77777777" w:rsidR="008E7FA4" w:rsidRDefault="008E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3450D"/>
    <w:multiLevelType w:val="hybridMultilevel"/>
    <w:tmpl w:val="912823AC"/>
    <w:lvl w:ilvl="0" w:tplc="BF1E7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A4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6D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81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85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80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CB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0A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67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F34BC"/>
    <w:multiLevelType w:val="hybridMultilevel"/>
    <w:tmpl w:val="95C2C0EC"/>
    <w:lvl w:ilvl="0" w:tplc="90580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B2E3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A0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8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C5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728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FA1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7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34A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E27CB"/>
    <w:multiLevelType w:val="hybridMultilevel"/>
    <w:tmpl w:val="95788182"/>
    <w:lvl w:ilvl="0" w:tplc="FC12F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0D0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E8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AB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C6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9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CA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A4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43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8634D7"/>
    <w:multiLevelType w:val="hybridMultilevel"/>
    <w:tmpl w:val="9CF266B0"/>
    <w:lvl w:ilvl="0" w:tplc="F5E28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E1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EAE4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20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AC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76C5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247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64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09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00519"/>
    <w:multiLevelType w:val="hybridMultilevel"/>
    <w:tmpl w:val="5AAABD50"/>
    <w:lvl w:ilvl="0" w:tplc="1B166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AD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5C40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E9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80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E0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04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EC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207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39052">
    <w:abstractNumId w:val="2"/>
  </w:num>
  <w:num w:numId="2" w16cid:durableId="484516302">
    <w:abstractNumId w:val="0"/>
  </w:num>
  <w:num w:numId="3" w16cid:durableId="1321733198">
    <w:abstractNumId w:val="5"/>
  </w:num>
  <w:num w:numId="4" w16cid:durableId="239754835">
    <w:abstractNumId w:val="7"/>
  </w:num>
  <w:num w:numId="5" w16cid:durableId="299842983">
    <w:abstractNumId w:val="3"/>
  </w:num>
  <w:num w:numId="6" w16cid:durableId="91440442">
    <w:abstractNumId w:val="4"/>
  </w:num>
  <w:num w:numId="7" w16cid:durableId="1681395402">
    <w:abstractNumId w:val="1"/>
  </w:num>
  <w:num w:numId="8" w16cid:durableId="1272393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1FE4"/>
    <w:rsid w:val="00006835"/>
    <w:rsid w:val="00017EBB"/>
    <w:rsid w:val="000203DE"/>
    <w:rsid w:val="00102B98"/>
    <w:rsid w:val="00121ADC"/>
    <w:rsid w:val="001763AA"/>
    <w:rsid w:val="001A6850"/>
    <w:rsid w:val="001B4AF2"/>
    <w:rsid w:val="001C632D"/>
    <w:rsid w:val="001D2D3B"/>
    <w:rsid w:val="001D542B"/>
    <w:rsid w:val="001F3091"/>
    <w:rsid w:val="00252E3B"/>
    <w:rsid w:val="003020F1"/>
    <w:rsid w:val="004608C7"/>
    <w:rsid w:val="004D4FA8"/>
    <w:rsid w:val="0052753C"/>
    <w:rsid w:val="005420E7"/>
    <w:rsid w:val="005635C8"/>
    <w:rsid w:val="00577993"/>
    <w:rsid w:val="005E7E77"/>
    <w:rsid w:val="00682EBB"/>
    <w:rsid w:val="006E73FF"/>
    <w:rsid w:val="00735E87"/>
    <w:rsid w:val="007D713D"/>
    <w:rsid w:val="00834980"/>
    <w:rsid w:val="00857CB4"/>
    <w:rsid w:val="00873674"/>
    <w:rsid w:val="008E7FA4"/>
    <w:rsid w:val="009306A3"/>
    <w:rsid w:val="009425F5"/>
    <w:rsid w:val="009851A6"/>
    <w:rsid w:val="009E1BE3"/>
    <w:rsid w:val="00A03A04"/>
    <w:rsid w:val="00A2DC7A"/>
    <w:rsid w:val="00A77CED"/>
    <w:rsid w:val="00B219CF"/>
    <w:rsid w:val="00B44150"/>
    <w:rsid w:val="00B5724B"/>
    <w:rsid w:val="00B61210"/>
    <w:rsid w:val="00BD5FEE"/>
    <w:rsid w:val="00BD74AD"/>
    <w:rsid w:val="00BF54BB"/>
    <w:rsid w:val="00C00D91"/>
    <w:rsid w:val="00CA33AB"/>
    <w:rsid w:val="00CB17F0"/>
    <w:rsid w:val="00D00916"/>
    <w:rsid w:val="00D12111"/>
    <w:rsid w:val="00D43313"/>
    <w:rsid w:val="00D47F0E"/>
    <w:rsid w:val="00E566E5"/>
    <w:rsid w:val="00EC27D0"/>
    <w:rsid w:val="00F02804"/>
    <w:rsid w:val="00F21557"/>
    <w:rsid w:val="00F265E2"/>
    <w:rsid w:val="00F51F38"/>
    <w:rsid w:val="00F91B98"/>
    <w:rsid w:val="00FE0D1B"/>
    <w:rsid w:val="070CA3B3"/>
    <w:rsid w:val="0CACAB1F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eso.ca/Sector-Participants/Engagement-Initiatives/Engagements/Toronto-Third-L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5" ma:contentTypeDescription="Create a new document." ma:contentTypeScope="" ma:versionID="f39b45bebb27126ce7e2b53f5103261f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f95646a2f2d9ca4ee77cda47475724c6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to collect stakeholder feedback. Will be publicly posted on the website.</Notes>
  </documentManagement>
</p:properties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89D5C-922D-418B-858F-F4A731C9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e8cdfa92-5fbc-415b-802d-96b25a684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IESO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Kath Sivakumar</cp:lastModifiedBy>
  <cp:revision>4</cp:revision>
  <dcterms:created xsi:type="dcterms:W3CDTF">2026-04-09T17:14:00Z</dcterms:created>
  <dcterms:modified xsi:type="dcterms:W3CDTF">2026-04-09T17:48:00Z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