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E8D1" w14:textId="77777777" w:rsidR="00834980" w:rsidRDefault="00D12111">
      <w:pPr>
        <w:pStyle w:val="BodyText"/>
      </w:pPr>
      <w:r>
        <w:rPr>
          <w:noProof/>
        </w:rPr>
        <mc:AlternateContent>
          <mc:Choice Requires="wps">
            <w:drawing>
              <wp:anchor distT="57150" distB="57150" distL="57150" distR="57150" simplePos="0" relativeHeight="251658240" behindDoc="0" locked="0" layoutInCell="1" allowOverlap="1" wp14:anchorId="75A2573A" wp14:editId="6FF950C4">
                <wp:simplePos x="0" y="0"/>
                <wp:positionH relativeFrom="column">
                  <wp:posOffset>0</wp:posOffset>
                </wp:positionH>
                <wp:positionV relativeFrom="line">
                  <wp:posOffset>-1304290</wp:posOffset>
                </wp:positionV>
                <wp:extent cx="6281929" cy="1463041"/>
                <wp:effectExtent l="0" t="0" r="0" b="0"/>
                <wp:wrapSquare wrapText="bothSides" distT="57150" distB="57150" distL="57150" distR="57150"/>
                <wp:docPr id="1073741826" name="officeArt object" descr="Decorative"/>
                <wp:cNvGraphicFramePr/>
                <a:graphic xmlns:a="http://schemas.openxmlformats.org/drawingml/2006/main">
                  <a:graphicData uri="http://schemas.microsoft.com/office/word/2010/wordprocessingShape">
                    <wps:wsp>
                      <wps:cNvSpPr/>
                      <wps:spPr>
                        <a:xfrm>
                          <a:off x="0" y="0"/>
                          <a:ext cx="6281929" cy="1463041"/>
                        </a:xfrm>
                        <a:prstGeom prst="rect">
                          <a:avLst/>
                        </a:prstGeom>
                        <a:gradFill flip="none" rotWithShape="1">
                          <a:gsLst>
                            <a:gs pos="0">
                              <a:srgbClr val="003366"/>
                            </a:gs>
                            <a:gs pos="100000">
                              <a:schemeClr val="accent4"/>
                            </a:gs>
                          </a:gsLst>
                          <a:lin ang="0" scaled="0"/>
                        </a:gradFill>
                        <a:ln w="12700" cap="flat">
                          <a:noFill/>
                          <a:miter lim="400000"/>
                        </a:ln>
                        <a:effectLst/>
                      </wps:spPr>
                      <wps:txbx>
                        <w:txbxContent>
                          <w:p w14:paraId="6321587B" w14:textId="77777777" w:rsidR="00834980" w:rsidRDefault="00D12111">
                            <w:pPr>
                              <w:pStyle w:val="Heading"/>
                            </w:pPr>
                            <w:r>
                              <w:t>Feedback Form</w:t>
                            </w:r>
                          </w:p>
                        </w:txbxContent>
                      </wps:txbx>
                      <wps:bodyPr wrap="square" lIns="228600" tIns="228600" rIns="228600" bIns="228600" numCol="1" anchor="t">
                        <a:noAutofit/>
                      </wps:bodyPr>
                    </wps:wsp>
                  </a:graphicData>
                </a:graphic>
              </wp:anchor>
            </w:drawing>
          </mc:Choice>
          <mc:Fallback>
            <w:pict>
              <v:rect w14:anchorId="75A2573A" id="officeArt object" o:spid="_x0000_s1026" alt="Decorative" style="position:absolute;margin-left:0;margin-top:-102.7pt;width:494.65pt;height:115.2pt;z-index:251658240;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FQIAADIEAAAOAAAAZHJzL2Uyb0RvYy54bWysU8lu2zAQvRfoPxC811psqI5gOSgSpChQ&#10;tAGSImeKIiUC3ErSlvz3HVJem1tRHagZkrO8N4+b+0lJtGfOC6MbXCxyjJimphO6b/Cv16dPa4x8&#10;ILoj0mjW4APz+H778cNmtDUrzWBkxxyCJNrXo23wEIKts8zTgSniF8YyDYfcOEUCuK7POkdGyK5k&#10;VuZ5lY3GddYZyryH3cf5EG9Tfs4ZDT859ywg2WDoLaTVpbWNa7bdkLp3xA6CHtsg/9CFIkJD0XOq&#10;RxII2jnxLpUS1BlveFhQozLDuaAsYQA0Rf4XmpeBWJawADnenmny/y8t/bF/sc8OaBitrz2YEcXE&#10;nYp/6A9NiazDmSw2BURhsyrXxV15hxGFs2JVLfNVEenMLuHW+fCVGYWi0WAH00gkkf13H+arpytH&#10;7ronISXiUoAUNAgGI2fCmwhDogLqzCR7iE8RHlkDbORp27u+fZAO7Ukcdr5cVtWxod5f3y7y+M0h&#10;UWfsHEQoZTqsrqIATX+qJoVGJOoahOQpkayL5owDJJR6j3WkRiO0Wn6GIogSgMIlmZFrEwFCCKmV&#10;CKB8KVSDV3NDcyap4ylL2j3SdBlNtMLUTnA1mq3pDs8OjaDfBvvfO+KAMflNAyVlua5i/XDjuRuv&#10;vfH0Tj0YYK7AgJIOBl7Jqekvu2C4SCO7lIVRRweEmYZ+fERR+dd+unV56ts/AAAA//8DAFBLAwQU&#10;AAYACAAAACEA4WghRN8AAAAIAQAADwAAAGRycy9kb3ducmV2LnhtbEyPQUvDQBSE74L/YXmCt3Zj&#10;NNLGbIpYBZFerE3A22v2mYTuvg3ZbRv/vetJj8MMM98Uq8kacaLR944V3MwTEMSN0z23CnYfL7MF&#10;CB+QNRrHpOCbPKzKy4sCc+3O/E6nbWhFLGGfo4IuhCGX0jcdWfRzNxBH78uNFkOUYyv1iOdYbo1M&#10;k+ReWuw5LnQ40FNHzWF7tAoOJlSuqujtc7d+rdcbrLNnqpW6vpoeH0AEmsJfGH7xIzqUkWnvjqy9&#10;MArikaBglibZHYjoLxfLWxB7BWmWgCwL+f9A+QMAAP//AwBQSwECLQAUAAYACAAAACEAtoM4kv4A&#10;AADhAQAAEwAAAAAAAAAAAAAAAAAAAAAAW0NvbnRlbnRfVHlwZXNdLnhtbFBLAQItABQABgAIAAAA&#10;IQA4/SH/1gAAAJQBAAALAAAAAAAAAAAAAAAAAC8BAABfcmVscy8ucmVsc1BLAQItABQABgAIAAAA&#10;IQB//QUQFQIAADIEAAAOAAAAAAAAAAAAAAAAAC4CAABkcnMvZTJvRG9jLnhtbFBLAQItABQABgAI&#10;AAAAIQDhaCFE3wAAAAgBAAAPAAAAAAAAAAAAAAAAAG8EAABkcnMvZG93bnJldi54bWxQSwUGAAAA&#10;AAQABADzAAAAewUAAAAA&#10;" fillcolor="#036" stroked="f" strokeweight="1pt">
                <v:fill color2="#006b71 [3207]" rotate="t" angle="90" focus="100%" type="gradient">
                  <o:fill v:ext="view" type="gradientUnscaled"/>
                </v:fill>
                <v:stroke miterlimit="4"/>
                <v:textbox inset="18pt,18pt,18pt,18pt">
                  <w:txbxContent>
                    <w:p w14:paraId="6321587B" w14:textId="77777777" w:rsidR="00834980" w:rsidRDefault="00D12111">
                      <w:pPr>
                        <w:pStyle w:val="Heading"/>
                      </w:pPr>
                      <w:r>
                        <w:t>Feedback Form</w:t>
                      </w:r>
                    </w:p>
                  </w:txbxContent>
                </v:textbox>
                <w10:wrap type="square" anchory="line"/>
              </v:rect>
            </w:pict>
          </mc:Fallback>
        </mc:AlternateContent>
      </w:r>
    </w:p>
    <w:p w14:paraId="74237569" w14:textId="77777777" w:rsidR="00834980" w:rsidRDefault="00834980">
      <w:pPr>
        <w:pStyle w:val="YellowBarHeading2"/>
      </w:pPr>
    </w:p>
    <w:p w14:paraId="1783037B" w14:textId="77777777" w:rsidR="00433253" w:rsidRPr="00433253" w:rsidRDefault="00433253" w:rsidP="00433253">
      <w:pPr>
        <w:pStyle w:val="Heading1"/>
        <w:rPr>
          <w:rFonts w:ascii="Calibri" w:eastAsia="Calibri" w:hAnsi="Calibri" w:cs="Calibri"/>
          <w:color w:val="004F54" w:themeColor="accent4" w:themeShade="BF"/>
        </w:rPr>
      </w:pPr>
      <w:r w:rsidRPr="00433253">
        <w:rPr>
          <w:rFonts w:ascii="Calibri" w:eastAsia="Calibri" w:hAnsi="Calibri" w:cs="Calibri"/>
          <w:color w:val="004F54" w:themeColor="accent4" w:themeShade="BF"/>
        </w:rPr>
        <w:t>Transmitter Selection Framework (TSF) - October 15, 2025</w:t>
      </w:r>
    </w:p>
    <w:p w14:paraId="1F866627" w14:textId="77777777" w:rsidR="00433253" w:rsidRPr="00433253" w:rsidRDefault="00433253" w:rsidP="00433253"/>
    <w:p w14:paraId="18293F75" w14:textId="77777777" w:rsidR="00433253" w:rsidRDefault="00433253" w:rsidP="00433253">
      <w:pPr>
        <w:rPr>
          <w:rFonts w:eastAsia="Calibri" w:cs="Calibri"/>
        </w:rPr>
      </w:pPr>
      <w:r w:rsidRPr="2679754D">
        <w:rPr>
          <w:rFonts w:eastAsia="Calibri" w:cs="Calibri"/>
        </w:rPr>
        <w:t>The IESO is developing the Transmitter Selection Framework (TSF) to support transparent, competitive transmission procurement. Your feedback will help shape the commercial terms for future procurements.</w:t>
      </w:r>
    </w:p>
    <w:p w14:paraId="06515CEF" w14:textId="77777777" w:rsidR="00433253" w:rsidRPr="00DA7B33" w:rsidRDefault="00433253" w:rsidP="00433253">
      <w:pPr>
        <w:rPr>
          <w:rFonts w:eastAsia="Calibri" w:cs="Calibri"/>
        </w:rPr>
      </w:pPr>
    </w:p>
    <w:p w14:paraId="5D032A47" w14:textId="77777777" w:rsidR="00433253" w:rsidRDefault="00433253" w:rsidP="00433253">
      <w:pPr>
        <w:rPr>
          <w:rFonts w:eastAsia="Tahoma" w:cs="Tahoma"/>
          <w:color w:val="000000" w:themeColor="text1"/>
          <w:szCs w:val="22"/>
        </w:rPr>
      </w:pPr>
      <w:r>
        <w:rPr>
          <w:noProof/>
        </w:rPr>
        <w:drawing>
          <wp:inline distT="0" distB="0" distL="0" distR="0" wp14:anchorId="6FDB1D9D" wp14:editId="36471F61">
            <wp:extent cx="8230313" cy="1204064"/>
            <wp:effectExtent l="0" t="0" r="0" b="0"/>
            <wp:docPr id="1886755213" name="drawing" descr="A white background with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55213" name="drawing" descr="A white background with black text"/>
                    <pic:cNvPicPr/>
                  </pic:nvPicPr>
                  <pic:blipFill>
                    <a:blip r:embed="rId10">
                      <a:extLst>
                        <a:ext uri="{28A0092B-C50C-407E-A947-70E740481C1C}">
                          <a14:useLocalDpi xmlns:a14="http://schemas.microsoft.com/office/drawing/2010/main" val="0"/>
                        </a:ext>
                      </a:extLst>
                    </a:blip>
                    <a:stretch>
                      <a:fillRect/>
                    </a:stretch>
                  </pic:blipFill>
                  <pic:spPr>
                    <a:xfrm>
                      <a:off x="0" y="0"/>
                      <a:ext cx="8230313" cy="1204064"/>
                    </a:xfrm>
                    <a:prstGeom prst="rect">
                      <a:avLst/>
                    </a:prstGeom>
                  </pic:spPr>
                </pic:pic>
              </a:graphicData>
            </a:graphic>
          </wp:inline>
        </w:drawing>
      </w:r>
    </w:p>
    <w:p w14:paraId="244BE96B" w14:textId="77777777" w:rsidR="00433253" w:rsidRDefault="00433253" w:rsidP="00433253">
      <w:pPr>
        <w:rPr>
          <w:rFonts w:eastAsia="Tahoma" w:cs="Tahoma"/>
          <w:color w:val="000000" w:themeColor="text1"/>
          <w:szCs w:val="22"/>
        </w:rPr>
      </w:pPr>
    </w:p>
    <w:p w14:paraId="017420B5" w14:textId="5D79CA1F" w:rsidR="00433253" w:rsidRDefault="00433253" w:rsidP="00433253">
      <w:pPr>
        <w:rPr>
          <w:rFonts w:eastAsia="Tahoma" w:cs="Tahoma"/>
          <w:color w:val="000000" w:themeColor="text1"/>
          <w:szCs w:val="22"/>
        </w:rPr>
      </w:pPr>
      <w:r w:rsidRPr="311F7406">
        <w:rPr>
          <w:rFonts w:eastAsia="Tahoma" w:cs="Tahoma"/>
          <w:color w:val="000000" w:themeColor="text1"/>
          <w:szCs w:val="22"/>
        </w:rPr>
        <w:t xml:space="preserve">Following the Transmitter Selection Framework engagement webinar, the Independent Electricity System Operator (IESO) is seeking feedback from stakeholders on the items discussed. The presentation and recording can be accessed from the </w:t>
      </w:r>
      <w:hyperlink r:id="rId11">
        <w:r w:rsidRPr="311F7406">
          <w:rPr>
            <w:rStyle w:val="Hyperlink"/>
            <w:rFonts w:eastAsia="Tahoma" w:cs="Tahoma"/>
            <w:szCs w:val="22"/>
          </w:rPr>
          <w:t>Transmitter Selection Framework</w:t>
        </w:r>
      </w:hyperlink>
      <w:r w:rsidRPr="311F7406">
        <w:rPr>
          <w:rFonts w:eastAsia="Tahoma" w:cs="Tahoma"/>
          <w:color w:val="000000" w:themeColor="text1"/>
          <w:szCs w:val="22"/>
        </w:rPr>
        <w:t xml:space="preserve">. </w:t>
      </w:r>
    </w:p>
    <w:p w14:paraId="76042A76" w14:textId="77777777" w:rsidR="00433253" w:rsidRDefault="00433253" w:rsidP="00433253">
      <w:pPr>
        <w:rPr>
          <w:rFonts w:eastAsia="Tahoma" w:cs="Tahoma"/>
          <w:color w:val="000000" w:themeColor="text1"/>
        </w:rPr>
      </w:pPr>
    </w:p>
    <w:p w14:paraId="5F1771E1" w14:textId="77777777" w:rsidR="00433253" w:rsidRDefault="00433253" w:rsidP="00433253">
      <w:pPr>
        <w:spacing w:after="140" w:line="300" w:lineRule="exact"/>
        <w:rPr>
          <w:rFonts w:eastAsia="Tahoma" w:cs="Tahoma"/>
          <w:color w:val="000000" w:themeColor="text1"/>
          <w:szCs w:val="22"/>
        </w:rPr>
      </w:pPr>
      <w:r w:rsidRPr="311F7406">
        <w:rPr>
          <w:rFonts w:eastAsia="Tahoma" w:cs="Tahoma"/>
          <w:b/>
          <w:bCs/>
          <w:color w:val="000000" w:themeColor="text1"/>
          <w:szCs w:val="22"/>
        </w:rPr>
        <w:t>Note:</w:t>
      </w:r>
      <w:r w:rsidRPr="311F7406">
        <w:rPr>
          <w:rFonts w:eastAsia="Tahoma" w:cs="Tahoma"/>
          <w:color w:val="000000" w:themeColor="text1"/>
          <w:szCs w:val="22"/>
        </w:rPr>
        <w:t xml:space="preserve"> The IESO will accept additional materials where it may be required to support your rationale provided below. When sending additional materials please indicate if they are confidential. </w:t>
      </w:r>
    </w:p>
    <w:p w14:paraId="2178B270" w14:textId="77777777" w:rsidR="00433253" w:rsidRDefault="00433253" w:rsidP="00433253">
      <w:pPr>
        <w:pStyle w:val="Heading3"/>
        <w:rPr>
          <w:rFonts w:eastAsia="Calibri" w:cs="Calibri"/>
        </w:rPr>
      </w:pPr>
      <w:r w:rsidRPr="311F7406">
        <w:rPr>
          <w:rFonts w:eastAsia="Tahoma" w:cs="Tahoma"/>
          <w:b/>
          <w:bCs/>
          <w:color w:val="000000" w:themeColor="text1"/>
          <w:sz w:val="22"/>
          <w:szCs w:val="22"/>
        </w:rPr>
        <w:t>Please submit feedback to</w:t>
      </w:r>
      <w:r w:rsidRPr="311F7406">
        <w:rPr>
          <w:rFonts w:eastAsia="Tahoma" w:cs="Tahoma"/>
          <w:color w:val="000000" w:themeColor="text1"/>
          <w:sz w:val="22"/>
          <w:szCs w:val="22"/>
        </w:rPr>
        <w:t xml:space="preserve"> </w:t>
      </w:r>
      <w:hyperlink r:id="rId12">
        <w:r w:rsidRPr="311F7406">
          <w:rPr>
            <w:rStyle w:val="Hyperlink"/>
            <w:rFonts w:eastAsia="Tahoma" w:cs="Tahoma"/>
            <w:color w:val="006B71"/>
            <w:sz w:val="22"/>
            <w:szCs w:val="22"/>
          </w:rPr>
          <w:t>engagement@ieso.ca</w:t>
        </w:r>
      </w:hyperlink>
      <w:r w:rsidRPr="311F7406">
        <w:rPr>
          <w:rFonts w:eastAsia="Tahoma" w:cs="Tahoma"/>
          <w:color w:val="000000" w:themeColor="text1"/>
          <w:sz w:val="22"/>
          <w:szCs w:val="22"/>
        </w:rPr>
        <w:t xml:space="preserve"> </w:t>
      </w:r>
      <w:r w:rsidRPr="311F7406">
        <w:rPr>
          <w:rFonts w:eastAsia="Tahoma" w:cs="Tahoma"/>
          <w:b/>
          <w:bCs/>
          <w:color w:val="000000" w:themeColor="text1"/>
          <w:sz w:val="22"/>
          <w:szCs w:val="22"/>
        </w:rPr>
        <w:t>by October 29.</w:t>
      </w:r>
      <w:r w:rsidRPr="311F7406">
        <w:rPr>
          <w:rFonts w:eastAsia="Calibri" w:cs="Calibri"/>
        </w:rPr>
        <w:t xml:space="preserve"> </w:t>
      </w:r>
    </w:p>
    <w:p w14:paraId="2E622EA2" w14:textId="77777777" w:rsidR="00433253" w:rsidRDefault="00433253" w:rsidP="00433253">
      <w:pPr>
        <w:pStyle w:val="Heading3"/>
      </w:pPr>
      <w:r w:rsidRPr="311F7406">
        <w:rPr>
          <w:rFonts w:eastAsia="Calibri" w:cs="Calibri"/>
        </w:rPr>
        <w:lastRenderedPageBreak/>
        <w:t>Feedback Provided by:</w:t>
      </w:r>
    </w:p>
    <w:p w14:paraId="07A3BC52" w14:textId="77777777" w:rsidR="00433253" w:rsidRDefault="00433253" w:rsidP="00433253">
      <w:pPr>
        <w:spacing w:after="140"/>
      </w:pPr>
      <w:r w:rsidRPr="2679754D">
        <w:rPr>
          <w:rFonts w:eastAsia="Tahoma" w:cs="Tahoma"/>
          <w:color w:val="000000" w:themeColor="text1"/>
        </w:rPr>
        <w:t xml:space="preserve">Name: </w:t>
      </w:r>
    </w:p>
    <w:p w14:paraId="2F7C437F" w14:textId="77777777" w:rsidR="00433253" w:rsidRDefault="00433253" w:rsidP="00433253">
      <w:pPr>
        <w:spacing w:after="140"/>
      </w:pPr>
      <w:r w:rsidRPr="2679754D">
        <w:rPr>
          <w:rFonts w:eastAsia="Tahoma" w:cs="Tahoma"/>
          <w:color w:val="000000" w:themeColor="text1"/>
        </w:rPr>
        <w:t xml:space="preserve">Title: </w:t>
      </w:r>
    </w:p>
    <w:p w14:paraId="4D363155" w14:textId="77777777" w:rsidR="00433253" w:rsidRDefault="00433253" w:rsidP="00433253">
      <w:pPr>
        <w:spacing w:after="140"/>
      </w:pPr>
      <w:r w:rsidRPr="2679754D">
        <w:rPr>
          <w:rFonts w:eastAsia="Tahoma" w:cs="Tahoma"/>
          <w:color w:val="000000" w:themeColor="text1"/>
        </w:rPr>
        <w:t xml:space="preserve">Organization: </w:t>
      </w:r>
    </w:p>
    <w:p w14:paraId="330F6DAF" w14:textId="77777777" w:rsidR="00433253" w:rsidRDefault="00433253" w:rsidP="00433253">
      <w:pPr>
        <w:spacing w:after="140"/>
      </w:pPr>
      <w:r w:rsidRPr="2679754D">
        <w:rPr>
          <w:rFonts w:eastAsia="Tahoma" w:cs="Tahoma"/>
          <w:color w:val="000000" w:themeColor="text1"/>
        </w:rPr>
        <w:t xml:space="preserve">Email: </w:t>
      </w:r>
    </w:p>
    <w:p w14:paraId="71EFAA50" w14:textId="77777777" w:rsidR="00433253" w:rsidRDefault="00433253" w:rsidP="00433253">
      <w:pPr>
        <w:spacing w:after="140"/>
        <w:rPr>
          <w:rFonts w:eastAsia="Tahoma" w:cs="Tahoma"/>
          <w:color w:val="000000" w:themeColor="text1"/>
        </w:rPr>
      </w:pPr>
      <w:r w:rsidRPr="2679754D">
        <w:rPr>
          <w:rFonts w:eastAsia="Tahoma" w:cs="Tahoma"/>
          <w:color w:val="000000" w:themeColor="text1"/>
        </w:rPr>
        <w:t>Date:</w:t>
      </w:r>
    </w:p>
    <w:p w14:paraId="643780FA" w14:textId="77777777" w:rsidR="00433253" w:rsidRDefault="00433253" w:rsidP="00433253">
      <w:pPr>
        <w:spacing w:after="140"/>
      </w:pPr>
    </w:p>
    <w:tbl>
      <w:tblPr>
        <w:tblStyle w:val="GridTable1Light"/>
        <w:tblW w:w="13074" w:type="dxa"/>
        <w:tblLook w:val="04A0" w:firstRow="1" w:lastRow="0" w:firstColumn="1" w:lastColumn="0" w:noHBand="0" w:noVBand="1"/>
      </w:tblPr>
      <w:tblGrid>
        <w:gridCol w:w="1934"/>
        <w:gridCol w:w="4234"/>
        <w:gridCol w:w="3171"/>
        <w:gridCol w:w="3735"/>
      </w:tblGrid>
      <w:tr w:rsidR="00433253" w:rsidRPr="00C402D1" w14:paraId="1051BA2A" w14:textId="77777777" w:rsidTr="0051177B">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934" w:type="dxa"/>
          </w:tcPr>
          <w:p w14:paraId="1265B3CE" w14:textId="77777777" w:rsidR="00433253" w:rsidRPr="00DA7B33" w:rsidRDefault="00433253" w:rsidP="0051177B">
            <w:pPr>
              <w:rPr>
                <w:rFonts w:eastAsia="Calibri" w:cs="Calibri"/>
              </w:rPr>
            </w:pPr>
            <w:r w:rsidRPr="00DA7B33">
              <w:rPr>
                <w:rFonts w:eastAsia="Calibri" w:cs="Calibri"/>
              </w:rPr>
              <w:t>Term</w:t>
            </w:r>
          </w:p>
        </w:tc>
        <w:tc>
          <w:tcPr>
            <w:tcW w:w="4234" w:type="dxa"/>
          </w:tcPr>
          <w:p w14:paraId="62AF994F" w14:textId="77777777" w:rsidR="00433253" w:rsidRPr="00DA7B33" w:rsidRDefault="00433253" w:rsidP="0051177B">
            <w:pPr>
              <w:cnfStyle w:val="100000000000" w:firstRow="1"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IESO Proposal for Stakeholder Feedback</w:t>
            </w:r>
          </w:p>
        </w:tc>
        <w:tc>
          <w:tcPr>
            <w:tcW w:w="3171" w:type="dxa"/>
          </w:tcPr>
          <w:p w14:paraId="059963BD" w14:textId="77777777" w:rsidR="00433253" w:rsidRPr="00DA7B33" w:rsidRDefault="00433253" w:rsidP="0051177B">
            <w:pPr>
              <w:cnfStyle w:val="100000000000" w:firstRow="1"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Feedback Questions</w:t>
            </w:r>
          </w:p>
        </w:tc>
        <w:tc>
          <w:tcPr>
            <w:tcW w:w="3735" w:type="dxa"/>
          </w:tcPr>
          <w:p w14:paraId="6893FCAF" w14:textId="77777777" w:rsidR="00433253" w:rsidRDefault="00433253" w:rsidP="0051177B">
            <w:pPr>
              <w:cnfStyle w:val="100000000000" w:firstRow="1" w:lastRow="0" w:firstColumn="0" w:lastColumn="0" w:oddVBand="0" w:evenVBand="0" w:oddHBand="0" w:evenHBand="0" w:firstRowFirstColumn="0" w:firstRowLastColumn="0" w:lastRowFirstColumn="0" w:lastRowLastColumn="0"/>
            </w:pPr>
            <w:r w:rsidRPr="2679754D">
              <w:rPr>
                <w:rFonts w:eastAsia="Calibri" w:cs="Calibri"/>
              </w:rPr>
              <w:t>Stakeholder Feedback responses</w:t>
            </w:r>
          </w:p>
        </w:tc>
      </w:tr>
      <w:tr w:rsidR="00433253" w14:paraId="24A5AFBD"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2A5FA903" w14:textId="77777777" w:rsidR="00433253" w:rsidRPr="007962B3" w:rsidRDefault="00433253" w:rsidP="0051177B">
            <w:pPr>
              <w:pStyle w:val="NoSpacing"/>
              <w:rPr>
                <w:rFonts w:eastAsia="Calibri" w:cs="Calibri"/>
                <w:color w:val="000000" w:themeColor="text1"/>
              </w:rPr>
            </w:pPr>
            <w:r w:rsidRPr="00DA7B33">
              <w:rPr>
                <w:rFonts w:eastAsia="Calibri" w:cs="Calibri"/>
                <w:color w:val="000000" w:themeColor="text1"/>
                <w:lang w:val="en-CA"/>
              </w:rPr>
              <w:t>Overview of Obligations</w:t>
            </w:r>
          </w:p>
        </w:tc>
        <w:tc>
          <w:tcPr>
            <w:tcW w:w="4234" w:type="dxa"/>
          </w:tcPr>
          <w:p w14:paraId="32E3A411" w14:textId="77777777" w:rsidR="00433253" w:rsidRPr="00DA7B33" w:rsidRDefault="00433253" w:rsidP="0051177B">
            <w:pPr>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DA7B33">
              <w:rPr>
                <w:rFonts w:eastAsia="Calibri" w:cs="Calibri"/>
                <w:color w:val="000000" w:themeColor="text1"/>
                <w:lang w:val="en-CA"/>
              </w:rPr>
              <w:t>The TSF will establish a competitive request for proposals (“</w:t>
            </w:r>
            <w:r w:rsidRPr="00DA7B33">
              <w:rPr>
                <w:rFonts w:eastAsia="Calibri" w:cs="Calibri"/>
                <w:b/>
                <w:bCs/>
                <w:color w:val="000000" w:themeColor="text1"/>
                <w:lang w:val="en-CA"/>
              </w:rPr>
              <w:t>RFP</w:t>
            </w:r>
            <w:r w:rsidRPr="00DA7B33">
              <w:rPr>
                <w:rFonts w:eastAsia="Calibri" w:cs="Calibri"/>
                <w:color w:val="000000" w:themeColor="text1"/>
                <w:lang w:val="en-CA"/>
              </w:rPr>
              <w:t>”) process for the selection of a transmitter (“</w:t>
            </w:r>
            <w:r w:rsidRPr="00DA7B33">
              <w:rPr>
                <w:rFonts w:eastAsia="Calibri" w:cs="Calibri"/>
                <w:b/>
                <w:bCs/>
                <w:color w:val="000000" w:themeColor="text1"/>
                <w:lang w:val="en-CA"/>
              </w:rPr>
              <w:t>Transmitter</w:t>
            </w:r>
            <w:r w:rsidRPr="00DA7B33">
              <w:rPr>
                <w:rFonts w:eastAsia="Calibri" w:cs="Calibri"/>
                <w:color w:val="000000" w:themeColor="text1"/>
                <w:lang w:val="en-CA"/>
              </w:rPr>
              <w:t>”) by the Independent Electricity System Operator (“</w:t>
            </w:r>
            <w:r w:rsidRPr="00DA7B33">
              <w:rPr>
                <w:rFonts w:eastAsia="Calibri" w:cs="Calibri"/>
                <w:b/>
                <w:bCs/>
                <w:color w:val="000000" w:themeColor="text1"/>
                <w:lang w:val="en-CA"/>
              </w:rPr>
              <w:t>IESO</w:t>
            </w:r>
            <w:r w:rsidRPr="00DA7B33">
              <w:rPr>
                <w:rFonts w:eastAsia="Calibri" w:cs="Calibri"/>
                <w:color w:val="000000" w:themeColor="text1"/>
                <w:lang w:val="en-CA"/>
              </w:rPr>
              <w:t>”), to own, develop, finance, design, engineer, construct, operate and maintain a network transmission facility (“</w:t>
            </w:r>
            <w:r w:rsidRPr="00DA7B33">
              <w:rPr>
                <w:rFonts w:eastAsia="Calibri" w:cs="Calibri"/>
                <w:b/>
                <w:bCs/>
                <w:color w:val="000000" w:themeColor="text1"/>
                <w:lang w:val="en-CA"/>
              </w:rPr>
              <w:t>Facility</w:t>
            </w:r>
            <w:r w:rsidRPr="00DA7B33">
              <w:rPr>
                <w:rFonts w:eastAsia="Calibri" w:cs="Calibri"/>
                <w:color w:val="000000" w:themeColor="text1"/>
                <w:lang w:val="en-CA"/>
              </w:rPr>
              <w:t xml:space="preserve">”) in accordance with good engineering and operating practices (to be defined consistent IESO contracting convention), </w:t>
            </w:r>
            <w:r w:rsidRPr="00DA7B33">
              <w:rPr>
                <w:rFonts w:eastAsia="Calibri" w:cs="Calibri"/>
                <w:i/>
                <w:iCs/>
                <w:color w:val="000000" w:themeColor="text1"/>
                <w:lang w:val="en-CA"/>
              </w:rPr>
              <w:t>market rules</w:t>
            </w:r>
            <w:r w:rsidRPr="00DA7B33">
              <w:rPr>
                <w:rFonts w:eastAsia="Calibri" w:cs="Calibri"/>
                <w:color w:val="000000" w:themeColor="text1"/>
                <w:lang w:val="en-CA"/>
              </w:rPr>
              <w:t>, the transmission system code and all other applicable laws.</w:t>
            </w:r>
          </w:p>
        </w:tc>
        <w:tc>
          <w:tcPr>
            <w:tcW w:w="3171" w:type="dxa"/>
          </w:tcPr>
          <w:p w14:paraId="621A010E" w14:textId="77777777" w:rsidR="00433253" w:rsidRPr="00DA7B33" w:rsidRDefault="00433253" w:rsidP="0051177B">
            <w:pPr>
              <w:pStyle w:val="ListParagraph"/>
              <w:ind w:left="0"/>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p>
        </w:tc>
        <w:tc>
          <w:tcPr>
            <w:tcW w:w="3735" w:type="dxa"/>
          </w:tcPr>
          <w:p w14:paraId="1AA770F9" w14:textId="77777777" w:rsidR="00433253" w:rsidRDefault="00433253" w:rsidP="0051177B">
            <w:pPr>
              <w:pStyle w:val="ListParagraph"/>
              <w:jc w:val="both"/>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p>
        </w:tc>
      </w:tr>
      <w:tr w:rsidR="00433253" w:rsidRPr="00C402D1" w14:paraId="5DBAC148" w14:textId="77777777" w:rsidTr="0051177B">
        <w:trPr>
          <w:trHeight w:val="50"/>
        </w:trPr>
        <w:tc>
          <w:tcPr>
            <w:cnfStyle w:val="001000000000" w:firstRow="0" w:lastRow="0" w:firstColumn="1" w:lastColumn="0" w:oddVBand="0" w:evenVBand="0" w:oddHBand="0" w:evenHBand="0" w:firstRowFirstColumn="0" w:firstRowLastColumn="0" w:lastRowFirstColumn="0" w:lastRowLastColumn="0"/>
            <w:tcW w:w="1934" w:type="dxa"/>
          </w:tcPr>
          <w:p w14:paraId="0353B0BE" w14:textId="77777777" w:rsidR="00433253" w:rsidRPr="00DA7B33" w:rsidRDefault="00433253" w:rsidP="0051177B">
            <w:pPr>
              <w:pStyle w:val="NoSpacing"/>
              <w:rPr>
                <w:rFonts w:eastAsia="Calibri" w:cs="Calibri"/>
              </w:rPr>
            </w:pPr>
            <w:r w:rsidRPr="00DA7B33">
              <w:rPr>
                <w:rFonts w:eastAsia="Calibri" w:cs="Calibri"/>
              </w:rPr>
              <w:t>Project Scope and Technical Parameters:</w:t>
            </w:r>
          </w:p>
        </w:tc>
        <w:tc>
          <w:tcPr>
            <w:tcW w:w="4234" w:type="dxa"/>
          </w:tcPr>
          <w:p w14:paraId="3CB01CA6" w14:textId="77777777" w:rsidR="00433253" w:rsidRPr="00787114" w:rsidRDefault="00433253" w:rsidP="0051177B">
            <w:pPr>
              <w:jc w:val="both"/>
              <w:cnfStyle w:val="000000000000" w:firstRow="0" w:lastRow="0" w:firstColumn="0" w:lastColumn="0" w:oddVBand="0" w:evenVBand="0" w:oddHBand="0" w:evenHBand="0" w:firstRowFirstColumn="0" w:firstRowLastColumn="0" w:lastRowFirstColumn="0" w:lastRowLastColumn="0"/>
            </w:pPr>
            <w:r w:rsidRPr="00DA7B33">
              <w:rPr>
                <w:rFonts w:eastAsia="Calibri" w:cs="Calibri"/>
                <w:color w:val="000000" w:themeColor="text1"/>
                <w:lang w:val="en-CA"/>
              </w:rPr>
              <w:t>The Facility must satisfy the specifications established by the RFP (“</w:t>
            </w:r>
            <w:r w:rsidRPr="00DA7B33">
              <w:rPr>
                <w:rFonts w:eastAsia="Calibri" w:cs="Calibri"/>
                <w:b/>
                <w:bCs/>
                <w:color w:val="000000" w:themeColor="text1"/>
                <w:lang w:val="en-CA"/>
              </w:rPr>
              <w:t>Specifications</w:t>
            </w:r>
            <w:r w:rsidRPr="00DA7B33">
              <w:rPr>
                <w:rFonts w:eastAsia="Calibri" w:cs="Calibri"/>
                <w:color w:val="000000" w:themeColor="text1"/>
                <w:lang w:val="en-CA"/>
              </w:rPr>
              <w:t>”), including:</w:t>
            </w:r>
            <w:r w:rsidRPr="00DA7B33">
              <w:rPr>
                <w:rFonts w:eastAsia="Calibri" w:cs="Calibri"/>
              </w:rPr>
              <w:t xml:space="preserve"> </w:t>
            </w:r>
          </w:p>
          <w:p w14:paraId="4B47EBEA" w14:textId="77777777" w:rsidR="00433253" w:rsidRPr="003C3839"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t>Facility description, location, and interconnection points</w:t>
            </w:r>
          </w:p>
          <w:p w14:paraId="21325829" w14:textId="77777777" w:rsidR="00433253" w:rsidRPr="003C3839"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t>Estimated line length (subject to route finalization)</w:t>
            </w:r>
          </w:p>
          <w:p w14:paraId="236CE2CE" w14:textId="77777777" w:rsidR="00433253" w:rsidRPr="003C3839"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lastRenderedPageBreak/>
              <w:t xml:space="preserve">Nominal Voltage design voltage </w:t>
            </w:r>
          </w:p>
          <w:p w14:paraId="2345BE5F" w14:textId="77777777" w:rsidR="00433253" w:rsidRPr="003C3839"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t>Line ratings (A or MW), continuous and time limited</w:t>
            </w:r>
          </w:p>
          <w:p w14:paraId="45A50B91" w14:textId="77777777" w:rsidR="00433253" w:rsidRPr="003C3839"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t>Design features or constraints (e.g. Single, double circuit, tower type/height, other design constraints)</w:t>
            </w:r>
          </w:p>
          <w:p w14:paraId="67B99756" w14:textId="77777777" w:rsidR="00433253" w:rsidRPr="006B6450" w:rsidRDefault="00433253" w:rsidP="00433253">
            <w:pPr>
              <w:pStyle w:val="NoSpacing"/>
              <w:numPr>
                <w:ilvl w:val="0"/>
                <w:numId w:val="8"/>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3C3839">
              <w:rPr>
                <w:rFonts w:eastAsia="Calibri" w:cs="Calibri"/>
                <w:color w:val="000000" w:themeColor="text1"/>
                <w:lang w:val="en-CA"/>
              </w:rPr>
              <w:t>Performance requirements and specifications such as availability and capacity testing requirements</w:t>
            </w:r>
          </w:p>
        </w:tc>
        <w:tc>
          <w:tcPr>
            <w:tcW w:w="3171" w:type="dxa"/>
          </w:tcPr>
          <w:p w14:paraId="55EF9A07"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lastRenderedPageBreak/>
              <w:t>Are there any additional Specifications IESO should set out in the RFP</w:t>
            </w:r>
            <w:r>
              <w:rPr>
                <w:rFonts w:eastAsia="Calibri" w:cs="Calibri"/>
              </w:rPr>
              <w:t xml:space="preserve"> to facilitate proponent bid preparation</w:t>
            </w:r>
            <w:r w:rsidRPr="00DA7B33">
              <w:rPr>
                <w:rFonts w:eastAsia="Calibri" w:cs="Calibri"/>
              </w:rPr>
              <w:t xml:space="preserve">? </w:t>
            </w:r>
          </w:p>
          <w:p w14:paraId="63F4EBF0" w14:textId="77777777" w:rsidR="00433253" w:rsidRPr="00DA7B33" w:rsidRDefault="00433253" w:rsidP="0051177B">
            <w:pPr>
              <w:pStyle w:val="NoSpacing"/>
              <w:ind w:left="360"/>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735" w:type="dxa"/>
          </w:tcPr>
          <w:p w14:paraId="460C3785"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772CD605" w14:textId="77777777" w:rsidTr="0051177B">
        <w:trPr>
          <w:trHeight w:val="50"/>
        </w:trPr>
        <w:tc>
          <w:tcPr>
            <w:cnfStyle w:val="001000000000" w:firstRow="0" w:lastRow="0" w:firstColumn="1" w:lastColumn="0" w:oddVBand="0" w:evenVBand="0" w:oddHBand="0" w:evenHBand="0" w:firstRowFirstColumn="0" w:firstRowLastColumn="0" w:lastRowFirstColumn="0" w:lastRowLastColumn="0"/>
            <w:tcW w:w="1934" w:type="dxa"/>
          </w:tcPr>
          <w:p w14:paraId="6095CA6F" w14:textId="77777777" w:rsidR="00433253" w:rsidRPr="00DA7B33" w:rsidRDefault="00433253" w:rsidP="0051177B">
            <w:pPr>
              <w:pStyle w:val="NoSpacing"/>
              <w:rPr>
                <w:rFonts w:eastAsia="Calibri" w:cs="Calibri"/>
              </w:rPr>
            </w:pPr>
            <w:r w:rsidRPr="00DA7B33">
              <w:rPr>
                <w:rFonts w:eastAsia="Calibri" w:cs="Calibri"/>
              </w:rPr>
              <w:t>Proposal</w:t>
            </w:r>
          </w:p>
        </w:tc>
        <w:tc>
          <w:tcPr>
            <w:tcW w:w="4234" w:type="dxa"/>
          </w:tcPr>
          <w:p w14:paraId="6D83F803"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rPr>
            </w:pPr>
            <w:r w:rsidRPr="00972E8B">
              <w:rPr>
                <w:rFonts w:eastAsia="Calibri" w:cs="Calibri"/>
                <w:b/>
                <w:bCs/>
              </w:rPr>
              <w:t>Project Management Plan</w:t>
            </w:r>
            <w:r w:rsidRPr="00972E8B">
              <w:rPr>
                <w:rFonts w:eastAsia="Calibri" w:cs="Calibri"/>
              </w:rPr>
              <w:t xml:space="preserve">: </w:t>
            </w:r>
          </w:p>
          <w:p w14:paraId="7ACE764F"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rPr>
            </w:pPr>
            <w:r w:rsidRPr="72ECB024">
              <w:rPr>
                <w:rFonts w:eastAsia="Calibri" w:cs="Calibri"/>
                <w:b/>
                <w:bCs/>
              </w:rPr>
              <w:t xml:space="preserve">Economic Bid: </w:t>
            </w:r>
            <w:r w:rsidRPr="72ECB024">
              <w:rPr>
                <w:rFonts w:eastAsia="Calibri" w:cs="Calibri"/>
              </w:rPr>
              <w:t>A Proponent’s proposal responding to the RFP (“</w:t>
            </w:r>
            <w:r w:rsidRPr="72ECB024">
              <w:rPr>
                <w:rFonts w:eastAsia="Calibri" w:cs="Calibri"/>
                <w:b/>
                <w:bCs/>
              </w:rPr>
              <w:t>Proposal</w:t>
            </w:r>
            <w:r w:rsidRPr="72ECB024">
              <w:rPr>
                <w:rFonts w:eastAsia="Calibri" w:cs="Calibri"/>
              </w:rPr>
              <w:t>”) will include 10 annual revenue requirements (each an “</w:t>
            </w:r>
            <w:r w:rsidRPr="72ECB024">
              <w:rPr>
                <w:rFonts w:eastAsia="Calibri" w:cs="Calibri"/>
                <w:b/>
                <w:bCs/>
              </w:rPr>
              <w:t>ARR</w:t>
            </w:r>
            <w:r w:rsidRPr="72ECB024">
              <w:rPr>
                <w:rFonts w:eastAsia="Calibri" w:cs="Calibri"/>
              </w:rPr>
              <w:t xml:space="preserve">”) (constant or downward trending).  </w:t>
            </w:r>
          </w:p>
          <w:p w14:paraId="5D9DB234"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rPr>
            </w:pPr>
            <w:r w:rsidRPr="00972E8B">
              <w:rPr>
                <w:rFonts w:eastAsia="Calibri" w:cs="Calibri"/>
                <w:b/>
                <w:bCs/>
              </w:rPr>
              <w:t xml:space="preserve">Project Schedule and Milestones: </w:t>
            </w:r>
            <w:r w:rsidRPr="00972E8B">
              <w:rPr>
                <w:rFonts w:eastAsia="Calibri" w:cs="Calibri"/>
              </w:rPr>
              <w:t>Proponents will be asked to submit a preliminary project schedule as part of their bid, to inform contractual milestones (discussed below).</w:t>
            </w:r>
          </w:p>
          <w:p w14:paraId="05CA5853"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972E8B">
              <w:rPr>
                <w:rFonts w:eastAsia="Calibri" w:cs="Calibri"/>
                <w:color w:val="000000" w:themeColor="text1"/>
                <w:lang w:val="en-CA"/>
              </w:rPr>
              <w:t>Preliminary Engineering Design and indicative routing</w:t>
            </w:r>
          </w:p>
          <w:p w14:paraId="3EAB1D0D"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972E8B">
              <w:rPr>
                <w:rFonts w:eastAsia="Calibri" w:cs="Calibri"/>
                <w:color w:val="000000" w:themeColor="text1"/>
                <w:lang w:val="en-CA"/>
              </w:rPr>
              <w:t>Lifetime O&amp;M and Safety Plan</w:t>
            </w:r>
          </w:p>
          <w:p w14:paraId="45865EB4"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972E8B">
              <w:rPr>
                <w:rFonts w:eastAsia="Calibri" w:cs="Calibri"/>
                <w:color w:val="000000" w:themeColor="text1"/>
                <w:lang w:val="en-CA"/>
              </w:rPr>
              <w:t>Permitting and Land Rights Plan</w:t>
            </w:r>
          </w:p>
          <w:p w14:paraId="4EEBF735" w14:textId="77777777" w:rsidR="00433253" w:rsidRPr="00972E8B" w:rsidRDefault="00433253" w:rsidP="00433253">
            <w:pPr>
              <w:pStyle w:val="NoSpacing"/>
              <w:numPr>
                <w:ilvl w:val="0"/>
                <w:numId w:val="4"/>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972E8B">
              <w:rPr>
                <w:rFonts w:eastAsia="Calibri" w:cs="Calibri"/>
                <w:b/>
                <w:bCs/>
              </w:rPr>
              <w:t xml:space="preserve">Indigenous Engagement and Participation Plan (IEPP): </w:t>
            </w:r>
            <w:r w:rsidRPr="00972E8B">
              <w:rPr>
                <w:rFonts w:eastAsia="Calibri" w:cs="Calibri"/>
              </w:rPr>
              <w:t xml:space="preserve">Proponents will be required to submit an IEPP setting out their experience engaging with and partnering with Indigenous communities, their plan for doing so in respect of the project, and any economic participation commitments. </w:t>
            </w:r>
          </w:p>
        </w:tc>
        <w:tc>
          <w:tcPr>
            <w:tcW w:w="3171" w:type="dxa"/>
          </w:tcPr>
          <w:p w14:paraId="4D778199"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72ECB024">
              <w:rPr>
                <w:rFonts w:eastAsia="Calibri" w:cs="Calibri"/>
              </w:rPr>
              <w:t>What information do you need from the IESO to prepare the ARRs?</w:t>
            </w:r>
          </w:p>
          <w:p w14:paraId="7CB3A026"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72ECB024">
              <w:rPr>
                <w:rFonts w:eastAsia="Calibri" w:cs="Calibri"/>
              </w:rPr>
              <w:t>What challenges do you foresee in establishing the ARRs?</w:t>
            </w:r>
          </w:p>
          <w:p w14:paraId="1213BC48" w14:textId="77777777" w:rsidR="00433253" w:rsidRPr="000822E9"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b/>
                <w:color w:val="000000" w:themeColor="text1"/>
                <w:lang w:val="en-CA"/>
              </w:rPr>
            </w:pPr>
            <w:r w:rsidRPr="00DA7B33">
              <w:rPr>
                <w:rFonts w:eastAsia="Calibri" w:cs="Calibri"/>
              </w:rPr>
              <w:t xml:space="preserve">What challenges do you anticipate with establishing a preliminary project schedule at proposal submission stage? </w:t>
            </w:r>
          </w:p>
        </w:tc>
        <w:tc>
          <w:tcPr>
            <w:tcW w:w="3735" w:type="dxa"/>
          </w:tcPr>
          <w:p w14:paraId="1A2ACDFB"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01D8967E"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0E1B74BB" w14:textId="77777777" w:rsidR="00433253" w:rsidRPr="00DA7B33" w:rsidRDefault="00433253" w:rsidP="0051177B">
            <w:pPr>
              <w:pStyle w:val="NoSpacing"/>
              <w:rPr>
                <w:rFonts w:eastAsia="Calibri" w:cs="Calibri"/>
              </w:rPr>
            </w:pPr>
            <w:r w:rsidRPr="00DA7B33">
              <w:rPr>
                <w:rFonts w:eastAsia="Calibri" w:cs="Calibri"/>
              </w:rPr>
              <w:lastRenderedPageBreak/>
              <w:t>Transmission Facilities Agreement</w:t>
            </w:r>
          </w:p>
        </w:tc>
        <w:tc>
          <w:tcPr>
            <w:tcW w:w="4234" w:type="dxa"/>
          </w:tcPr>
          <w:p w14:paraId="4E59E799" w14:textId="77777777" w:rsidR="00433253" w:rsidRPr="00DA7B33" w:rsidRDefault="00433253" w:rsidP="00433253">
            <w:pPr>
              <w:pStyle w:val="NoSpacing"/>
              <w:numPr>
                <w:ilvl w:val="0"/>
                <w:numId w:val="6"/>
              </w:numPr>
              <w:ind w:left="437" w:hanging="437"/>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rPr>
            </w:pPr>
            <w:r w:rsidRPr="72ECB024">
              <w:rPr>
                <w:rFonts w:eastAsia="Calibri" w:cs="Calibri"/>
              </w:rPr>
              <w:t>The Transmitter and the IESO will enter into a Transmission Facilities Agreement (“</w:t>
            </w:r>
            <w:r w:rsidRPr="72ECB024">
              <w:rPr>
                <w:rFonts w:eastAsia="Calibri" w:cs="Calibri"/>
                <w:b/>
                <w:bCs/>
              </w:rPr>
              <w:t>TFA</w:t>
            </w:r>
            <w:r w:rsidRPr="72ECB024">
              <w:rPr>
                <w:rFonts w:eastAsia="Calibri" w:cs="Calibri"/>
              </w:rPr>
              <w:t>”), which will calculate the amounts payable to the Transmitter, based on the ARR, subject to contractual adjustments (TBD, discussed below). Payments will reflect the ARRs submitted in the proposal and be made from the commercial operation date (“</w:t>
            </w:r>
            <w:r w:rsidRPr="72ECB024">
              <w:rPr>
                <w:rFonts w:eastAsia="Calibri" w:cs="Calibri"/>
                <w:b/>
                <w:bCs/>
              </w:rPr>
              <w:t>COD</w:t>
            </w:r>
            <w:r w:rsidRPr="72ECB024">
              <w:rPr>
                <w:rFonts w:eastAsia="Calibri" w:cs="Calibri"/>
              </w:rPr>
              <w:t xml:space="preserve">”) </w:t>
            </w:r>
            <w:r w:rsidRPr="72ECB024">
              <w:rPr>
                <w:rFonts w:eastAsia="Calibri" w:cs="Calibri"/>
                <w:color w:val="000000" w:themeColor="text1"/>
                <w:lang w:val="en-CA"/>
              </w:rPr>
              <w:t>until the tenth (10th) anniversary of the COD, unless terminated sooner.</w:t>
            </w:r>
          </w:p>
          <w:p w14:paraId="6A16C53A" w14:textId="77777777" w:rsidR="00433253" w:rsidRPr="00DA7B33" w:rsidRDefault="00433253" w:rsidP="00433253">
            <w:pPr>
              <w:pStyle w:val="NoSpacing"/>
              <w:numPr>
                <w:ilvl w:val="0"/>
                <w:numId w:val="6"/>
              </w:numPr>
              <w:ind w:left="437" w:hanging="437"/>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 xml:space="preserve">The TFA will include key milestone dates, including for Notice to Proceed and MCOD. </w:t>
            </w:r>
          </w:p>
        </w:tc>
        <w:tc>
          <w:tcPr>
            <w:tcW w:w="3171" w:type="dxa"/>
          </w:tcPr>
          <w:p w14:paraId="06992A73" w14:textId="77777777" w:rsidR="00433253" w:rsidRPr="00BF0A41"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b/>
                <w:color w:val="000000" w:themeColor="text1"/>
                <w:lang w:val="en-CA"/>
              </w:rPr>
            </w:pPr>
            <w:r w:rsidRPr="00DA7B33">
              <w:rPr>
                <w:rFonts w:eastAsia="Calibri" w:cs="Calibri"/>
              </w:rPr>
              <w:t>Do you foresee any challenges obtaining financing if payments under the contract do not start until COD?</w:t>
            </w:r>
          </w:p>
          <w:p w14:paraId="3CFE323A" w14:textId="77777777" w:rsidR="00433253" w:rsidRPr="00432B54"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b/>
                <w:color w:val="000000" w:themeColor="text1"/>
                <w:lang w:val="en-CA"/>
              </w:rPr>
            </w:pPr>
            <w:r w:rsidRPr="00773376">
              <w:rPr>
                <w:rFonts w:eastAsia="Calibri" w:cs="Calibri"/>
                <w:bCs/>
                <w:color w:val="000000" w:themeColor="text1"/>
                <w:lang w:val="en-CA"/>
              </w:rPr>
              <w:t>What early development milestone, aside from the Notice to Proceed, can demonstrate the Transmitter’s readiness for construction, provide the IESO with assurance, and indicate that the project is progressing according to plan</w:t>
            </w:r>
            <w:r>
              <w:rPr>
                <w:rFonts w:eastAsia="Calibri" w:cs="Calibri"/>
                <w:bCs/>
                <w:color w:val="000000" w:themeColor="text1"/>
                <w:lang w:val="en-CA"/>
              </w:rPr>
              <w:t>?</w:t>
            </w:r>
          </w:p>
        </w:tc>
        <w:tc>
          <w:tcPr>
            <w:tcW w:w="3735" w:type="dxa"/>
          </w:tcPr>
          <w:p w14:paraId="7ED9BA9A"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6CEF1109"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6D120CA7" w14:textId="77777777" w:rsidR="00433253" w:rsidRPr="00DA7B33" w:rsidRDefault="00433253" w:rsidP="0051177B">
            <w:pPr>
              <w:pStyle w:val="NoSpacing"/>
              <w:rPr>
                <w:rFonts w:eastAsia="Calibri" w:cs="Calibri"/>
              </w:rPr>
            </w:pPr>
            <w:r w:rsidRPr="00DA7B33">
              <w:rPr>
                <w:rFonts w:eastAsia="Calibri" w:cs="Calibri"/>
              </w:rPr>
              <w:t xml:space="preserve">Contractual Adjustments </w:t>
            </w:r>
          </w:p>
        </w:tc>
        <w:tc>
          <w:tcPr>
            <w:tcW w:w="4234" w:type="dxa"/>
          </w:tcPr>
          <w:p w14:paraId="687C5B4D"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 xml:space="preserve">IESO is considering allowing limited adjustments to the revenue requirement </w:t>
            </w:r>
            <w:r>
              <w:rPr>
                <w:rFonts w:eastAsia="Calibri" w:cs="Calibri"/>
              </w:rPr>
              <w:t xml:space="preserve">and/or contractual milestones </w:t>
            </w:r>
            <w:proofErr w:type="gramStart"/>
            <w:r w:rsidRPr="00DA7B33">
              <w:rPr>
                <w:rFonts w:eastAsia="Calibri" w:cs="Calibri"/>
              </w:rPr>
              <w:t>as a result of</w:t>
            </w:r>
            <w:proofErr w:type="gramEnd"/>
            <w:r w:rsidRPr="00DA7B33">
              <w:rPr>
                <w:rFonts w:eastAsia="Calibri" w:cs="Calibri"/>
              </w:rPr>
              <w:t>:</w:t>
            </w:r>
          </w:p>
          <w:p w14:paraId="05C79AD4" w14:textId="77777777" w:rsidR="00433253" w:rsidRPr="00DA7B33" w:rsidRDefault="00433253" w:rsidP="00433253">
            <w:pPr>
              <w:pStyle w:val="NoSpacing"/>
              <w:numPr>
                <w:ilvl w:val="0"/>
                <w:numId w:val="5"/>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DA7B33">
              <w:rPr>
                <w:rFonts w:eastAsia="Calibri" w:cs="Calibri"/>
                <w:b/>
                <w:bCs/>
                <w:color w:val="000000" w:themeColor="text1"/>
                <w:lang w:val="en-CA"/>
              </w:rPr>
              <w:t>Inflation</w:t>
            </w:r>
            <w:r w:rsidRPr="00DA7B33">
              <w:rPr>
                <w:rFonts w:eastAsia="Calibri" w:cs="Calibri"/>
                <w:color w:val="000000" w:themeColor="text1"/>
                <w:lang w:val="en-CA"/>
              </w:rPr>
              <w:t xml:space="preserve">: adjustment to all or part of the ARR based on </w:t>
            </w:r>
            <w:r w:rsidRPr="00DA7B33">
              <w:rPr>
                <w:rFonts w:eastAsia="Calibri" w:cs="Calibri"/>
                <w:lang w:val="en-CA"/>
              </w:rPr>
              <w:t>change (increase or decrease)</w:t>
            </w:r>
            <w:r w:rsidRPr="00DA7B33">
              <w:rPr>
                <w:rFonts w:eastAsia="Calibri" w:cs="Calibri"/>
                <w:color w:val="000000" w:themeColor="text1"/>
                <w:lang w:val="en-CA"/>
              </w:rPr>
              <w:t xml:space="preserve"> in inflation index over the period.</w:t>
            </w:r>
          </w:p>
          <w:p w14:paraId="558B622C" w14:textId="77777777" w:rsidR="00433253" w:rsidRPr="00DA7B33" w:rsidRDefault="00433253" w:rsidP="00433253">
            <w:pPr>
              <w:pStyle w:val="NoSpacing"/>
              <w:numPr>
                <w:ilvl w:val="0"/>
                <w:numId w:val="5"/>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DA7B33">
              <w:rPr>
                <w:rFonts w:eastAsia="Calibri" w:cs="Calibri"/>
                <w:b/>
                <w:bCs/>
                <w:color w:val="000000" w:themeColor="text1"/>
                <w:lang w:val="en-CA"/>
              </w:rPr>
              <w:t>Operation</w:t>
            </w:r>
            <w:r w:rsidRPr="00DA7B33">
              <w:rPr>
                <w:rFonts w:eastAsia="Calibri" w:cs="Calibri"/>
                <w:color w:val="000000" w:themeColor="text1"/>
                <w:lang w:val="en-CA"/>
              </w:rPr>
              <w:t>: which could include adjustments based on failure to meet performance requirements (see below)</w:t>
            </w:r>
          </w:p>
          <w:p w14:paraId="5F4223CD" w14:textId="77777777" w:rsidR="00433253" w:rsidRPr="00432B54" w:rsidRDefault="00433253" w:rsidP="00433253">
            <w:pPr>
              <w:pStyle w:val="NoSpacing"/>
              <w:numPr>
                <w:ilvl w:val="0"/>
                <w:numId w:val="5"/>
              </w:numPr>
              <w:cnfStyle w:val="000000000000" w:firstRow="0" w:lastRow="0" w:firstColumn="0" w:lastColumn="0" w:oddVBand="0" w:evenVBand="0" w:oddHBand="0" w:evenHBand="0" w:firstRowFirstColumn="0" w:firstRowLastColumn="0" w:lastRowFirstColumn="0" w:lastRowLastColumn="0"/>
              <w:rPr>
                <w:rFonts w:eastAsia="Calibri" w:cs="Calibri"/>
                <w:color w:val="000000" w:themeColor="text1"/>
                <w:lang w:val="en-CA"/>
              </w:rPr>
            </w:pPr>
            <w:r w:rsidRPr="00DA7B33">
              <w:rPr>
                <w:rFonts w:eastAsia="Calibri" w:cs="Calibri"/>
                <w:color w:val="000000" w:themeColor="text1"/>
                <w:lang w:val="en-CA"/>
              </w:rPr>
              <w:t>Certain events outside of the transmitter’s control.</w:t>
            </w:r>
          </w:p>
        </w:tc>
        <w:tc>
          <w:tcPr>
            <w:tcW w:w="3171" w:type="dxa"/>
          </w:tcPr>
          <w:p w14:paraId="076445F2" w14:textId="77777777" w:rsidR="0043325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What strategies should IESO use within the RFP and contract to promote cost certainty and cost containment?</w:t>
            </w:r>
          </w:p>
          <w:p w14:paraId="2CDBF98E"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What percentage of ongoing O&amp;M costs should be subject to inflation? Indices to be defined in the contract terms.</w:t>
            </w:r>
          </w:p>
        </w:tc>
        <w:tc>
          <w:tcPr>
            <w:tcW w:w="3735" w:type="dxa"/>
          </w:tcPr>
          <w:p w14:paraId="0E018F9C"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1D0C9B3E"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2A6D7D68" w14:textId="77777777" w:rsidR="00433253" w:rsidRPr="00DA7B33" w:rsidRDefault="00433253" w:rsidP="0051177B">
            <w:pPr>
              <w:pStyle w:val="NoSpacing"/>
              <w:rPr>
                <w:rFonts w:eastAsia="Calibri" w:cs="Calibri"/>
              </w:rPr>
            </w:pPr>
            <w:r w:rsidRPr="00DA7B33">
              <w:rPr>
                <w:rFonts w:eastAsia="Calibri" w:cs="Calibri"/>
              </w:rPr>
              <w:t xml:space="preserve">Commercial Operation Date (COD) </w:t>
            </w:r>
          </w:p>
        </w:tc>
        <w:tc>
          <w:tcPr>
            <w:tcW w:w="4234" w:type="dxa"/>
          </w:tcPr>
          <w:p w14:paraId="4570D16D"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 xml:space="preserve">Proponent will submit a COD report and supporting documents, </w:t>
            </w:r>
            <w:r w:rsidRPr="00DA7B33" w:rsidDel="519C19C2">
              <w:rPr>
                <w:rFonts w:eastAsia="Calibri" w:cs="Calibri"/>
              </w:rPr>
              <w:t>including but not limited to</w:t>
            </w:r>
            <w:r w:rsidRPr="00DA7B33">
              <w:rPr>
                <w:rFonts w:eastAsia="Calibri" w:cs="Calibri"/>
              </w:rPr>
              <w:t xml:space="preserve"> a</w:t>
            </w:r>
            <w:r w:rsidRPr="00DA7B33" w:rsidDel="519C19C2">
              <w:rPr>
                <w:rFonts w:eastAsia="Calibri" w:cs="Calibri"/>
              </w:rPr>
              <w:t xml:space="preserve"> report</w:t>
            </w:r>
            <w:r w:rsidRPr="00DA7B33">
              <w:rPr>
                <w:rFonts w:eastAsia="Calibri" w:cs="Calibri"/>
              </w:rPr>
              <w:t xml:space="preserve"> from a</w:t>
            </w:r>
            <w:r w:rsidRPr="00DA7B33">
              <w:rPr>
                <w:rFonts w:eastAsia="Calibri" w:cs="Calibri"/>
                <w:color w:val="000000" w:themeColor="text1"/>
                <w:lang w:val="en-CA"/>
              </w:rPr>
              <w:t xml:space="preserve"> Professional</w:t>
            </w:r>
            <w:r w:rsidRPr="00DA7B33">
              <w:rPr>
                <w:rFonts w:eastAsia="Calibri" w:cs="Calibri"/>
              </w:rPr>
              <w:t xml:space="preserve"> Engineer licensed in Ontario, confirming that the  Facility has been constructed in a </w:t>
            </w:r>
            <w:r w:rsidRPr="00DA7B33">
              <w:rPr>
                <w:rFonts w:eastAsia="Calibri" w:cs="Calibri"/>
              </w:rPr>
              <w:lastRenderedPageBreak/>
              <w:t xml:space="preserve">manner that satisfies the Specifications, and is energized  and </w:t>
            </w:r>
            <w:r w:rsidRPr="00DA7B33">
              <w:rPr>
                <w:rFonts w:eastAsia="Calibri" w:cs="Calibri"/>
                <w:color w:val="000000" w:themeColor="text1"/>
              </w:rPr>
              <w:t>the full capacity of the Facility is available for service (full contract capacity for 4 contin</w:t>
            </w:r>
            <w:r>
              <w:rPr>
                <w:rFonts w:eastAsia="Calibri" w:cs="Calibri"/>
                <w:color w:val="000000" w:themeColor="text1"/>
              </w:rPr>
              <w:t>u</w:t>
            </w:r>
            <w:r w:rsidRPr="00DA7B33">
              <w:rPr>
                <w:rFonts w:eastAsia="Calibri" w:cs="Calibri"/>
                <w:color w:val="000000" w:themeColor="text1"/>
              </w:rPr>
              <w:t xml:space="preserve">ous hours) in accordance with applicable laws. </w:t>
            </w:r>
            <w:r w:rsidRPr="00DA7B33">
              <w:rPr>
                <w:rFonts w:eastAsia="Calibri" w:cs="Calibri"/>
              </w:rPr>
              <w:t xml:space="preserve">  </w:t>
            </w:r>
          </w:p>
        </w:tc>
        <w:tc>
          <w:tcPr>
            <w:tcW w:w="3171" w:type="dxa"/>
          </w:tcPr>
          <w:p w14:paraId="141F29DA"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c>
          <w:tcPr>
            <w:tcW w:w="3735" w:type="dxa"/>
          </w:tcPr>
          <w:p w14:paraId="0A954F37"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3E3CDBB3"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07AC5E16" w14:textId="77777777" w:rsidR="00433253" w:rsidRPr="00DA7B33" w:rsidRDefault="00433253" w:rsidP="0051177B">
            <w:pPr>
              <w:pStyle w:val="NoSpacing"/>
              <w:rPr>
                <w:rFonts w:eastAsia="Calibri" w:cs="Calibri"/>
              </w:rPr>
            </w:pPr>
            <w:r w:rsidRPr="00DA7B33">
              <w:rPr>
                <w:rFonts w:eastAsia="Calibri" w:cs="Calibri"/>
              </w:rPr>
              <w:t>Performance Requirements</w:t>
            </w:r>
          </w:p>
        </w:tc>
        <w:tc>
          <w:tcPr>
            <w:tcW w:w="4234" w:type="dxa"/>
          </w:tcPr>
          <w:p w14:paraId="7AA22D2F"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 xml:space="preserve">Transmitters </w:t>
            </w:r>
            <w:r>
              <w:rPr>
                <w:rFonts w:eastAsia="Calibri" w:cs="Calibri"/>
              </w:rPr>
              <w:t>will be required to</w:t>
            </w:r>
            <w:r w:rsidRPr="00DA7B33">
              <w:rPr>
                <w:rFonts w:eastAsia="Calibri" w:cs="Calibri"/>
              </w:rPr>
              <w:t xml:space="preserve"> maintain availability of line, which could be in terms of outages or contract capacity. Where availability is less than the contractually defined threshold, an availability payment reduction factor will apply. </w:t>
            </w:r>
            <w:r>
              <w:rPr>
                <w:rFonts w:eastAsia="Calibri" w:cs="Calibri"/>
              </w:rPr>
              <w:t>The c</w:t>
            </w:r>
            <w:r w:rsidRPr="00DA7B33">
              <w:rPr>
                <w:rFonts w:eastAsia="Calibri" w:cs="Calibri"/>
              </w:rPr>
              <w:t>ontract would also set out certain circumstances where a reduction of availability results in an event of default.</w:t>
            </w:r>
          </w:p>
        </w:tc>
        <w:tc>
          <w:tcPr>
            <w:tcW w:w="3171" w:type="dxa"/>
          </w:tcPr>
          <w:p w14:paraId="3AAC50F2"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eastAsia="Calibri" w:cs="Calibri"/>
              </w:rPr>
            </w:pPr>
            <w:r w:rsidRPr="00DA7B33">
              <w:rPr>
                <w:rFonts w:eastAsia="Calibri" w:cs="Calibri"/>
              </w:rPr>
              <w:t>Do you foresee any challenges in meeting availability requirements?</w:t>
            </w:r>
            <w:r>
              <w:rPr>
                <w:rFonts w:eastAsia="Calibri" w:cs="Calibri"/>
              </w:rPr>
              <w:t xml:space="preserve"> </w:t>
            </w:r>
          </w:p>
        </w:tc>
        <w:tc>
          <w:tcPr>
            <w:tcW w:w="3735" w:type="dxa"/>
          </w:tcPr>
          <w:p w14:paraId="7FAA2AE7"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eastAsia="Calibri" w:cs="Calibri"/>
              </w:rPr>
            </w:pPr>
          </w:p>
        </w:tc>
      </w:tr>
      <w:tr w:rsidR="00433253" w:rsidRPr="00C402D1" w14:paraId="12D9EBB6"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3FC53E90" w14:textId="77777777" w:rsidR="00433253" w:rsidRPr="00DA7B33" w:rsidRDefault="00433253" w:rsidP="0051177B">
            <w:pPr>
              <w:pStyle w:val="NoSpacing"/>
              <w:rPr>
                <w:rFonts w:cs="Calibri"/>
              </w:rPr>
            </w:pPr>
            <w:r w:rsidRPr="00DA7B33">
              <w:rPr>
                <w:rFonts w:cs="Calibri"/>
              </w:rPr>
              <w:t>Post IESO Contract</w:t>
            </w:r>
          </w:p>
        </w:tc>
        <w:tc>
          <w:tcPr>
            <w:tcW w:w="4234" w:type="dxa"/>
          </w:tcPr>
          <w:p w14:paraId="0CFE00AB"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r>
              <w:rPr>
                <w:rFonts w:cs="Calibri"/>
              </w:rPr>
              <w:t>Transmitters submit a traditional revenue requirement application to the OEB for Year 11. Transmitters</w:t>
            </w:r>
            <w:r w:rsidRPr="00DA7B33">
              <w:rPr>
                <w:rFonts w:cs="Calibri"/>
              </w:rPr>
              <w:t xml:space="preserve"> will be required to share details of their Year 11 application </w:t>
            </w:r>
            <w:r>
              <w:rPr>
                <w:rFonts w:cs="Calibri"/>
              </w:rPr>
              <w:t>with the IESO.</w:t>
            </w:r>
          </w:p>
          <w:p w14:paraId="076C583F"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p>
          <w:p w14:paraId="62821E3C"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r w:rsidRPr="00DA7B33">
              <w:rPr>
                <w:rFonts w:cs="Calibri"/>
              </w:rPr>
              <w:t xml:space="preserve">IESO is considering </w:t>
            </w:r>
            <w:proofErr w:type="gramStart"/>
            <w:r w:rsidRPr="00DA7B33">
              <w:rPr>
                <w:rFonts w:cs="Calibri"/>
              </w:rPr>
              <w:t>applying</w:t>
            </w:r>
            <w:proofErr w:type="gramEnd"/>
            <w:r w:rsidRPr="00DA7B33">
              <w:rPr>
                <w:rFonts w:cs="Calibri"/>
              </w:rPr>
              <w:t xml:space="preserve"> a cap on </w:t>
            </w:r>
            <w:r>
              <w:rPr>
                <w:rFonts w:cs="Calibri"/>
              </w:rPr>
              <w:t>the transmitter’s Y</w:t>
            </w:r>
            <w:r w:rsidRPr="00DA7B33">
              <w:rPr>
                <w:rFonts w:cs="Calibri"/>
              </w:rPr>
              <w:t xml:space="preserve">ear 11 revenue requirement submitted to the OEB (i.e. must be within [X]% of the </w:t>
            </w:r>
            <w:r>
              <w:rPr>
                <w:rFonts w:cs="Calibri"/>
              </w:rPr>
              <w:t>Y</w:t>
            </w:r>
            <w:r w:rsidRPr="00DA7B33">
              <w:rPr>
                <w:rFonts w:cs="Calibri"/>
              </w:rPr>
              <w:t>ear 10 requirement).</w:t>
            </w:r>
          </w:p>
        </w:tc>
        <w:tc>
          <w:tcPr>
            <w:tcW w:w="3171" w:type="dxa"/>
          </w:tcPr>
          <w:p w14:paraId="34CECA3A"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cs="Calibri"/>
                <w:lang w:val="en-CA"/>
              </w:rPr>
            </w:pPr>
            <w:r w:rsidRPr="00DA7B33">
              <w:rPr>
                <w:rFonts w:cs="Calibri"/>
                <w:lang w:val="en-CA"/>
              </w:rPr>
              <w:t xml:space="preserve">Are there any challenges with a cap on the </w:t>
            </w:r>
            <w:r>
              <w:rPr>
                <w:rFonts w:cs="Calibri"/>
                <w:lang w:val="en-CA"/>
              </w:rPr>
              <w:t>Y</w:t>
            </w:r>
            <w:r w:rsidRPr="00DA7B33">
              <w:rPr>
                <w:rFonts w:cs="Calibri"/>
                <w:lang w:val="en-CA"/>
              </w:rPr>
              <w:t>ear 11 revenue requirement?</w:t>
            </w:r>
          </w:p>
          <w:p w14:paraId="7C30D228" w14:textId="77777777" w:rsidR="0043325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cs="Calibri"/>
                <w:lang w:val="en-CA"/>
              </w:rPr>
            </w:pPr>
            <w:r w:rsidRPr="00DA7B33">
              <w:rPr>
                <w:rFonts w:cs="Calibri"/>
                <w:lang w:val="en-CA"/>
              </w:rPr>
              <w:t xml:space="preserve">Would </w:t>
            </w:r>
            <w:r>
              <w:rPr>
                <w:rFonts w:cs="Calibri"/>
                <w:lang w:val="en-CA"/>
              </w:rPr>
              <w:t xml:space="preserve">implementing </w:t>
            </w:r>
            <w:r w:rsidRPr="00DA7B33">
              <w:rPr>
                <w:rFonts w:cs="Calibri"/>
                <w:lang w:val="en-CA"/>
              </w:rPr>
              <w:t>a glide path</w:t>
            </w:r>
            <w:r>
              <w:rPr>
                <w:rFonts w:cs="Calibri"/>
                <w:lang w:val="en-CA"/>
              </w:rPr>
              <w:t xml:space="preserve"> (</w:t>
            </w:r>
            <w:r w:rsidRPr="00DB5770">
              <w:rPr>
                <w:rFonts w:cs="Calibri"/>
              </w:rPr>
              <w:t>gradual transition</w:t>
            </w:r>
            <w:r>
              <w:rPr>
                <w:rFonts w:cs="Calibri"/>
              </w:rPr>
              <w:t>)</w:t>
            </w:r>
            <w:r w:rsidRPr="00DA7B33">
              <w:rPr>
                <w:rFonts w:cs="Calibri"/>
                <w:lang w:val="en-CA"/>
              </w:rPr>
              <w:t xml:space="preserve"> for revenue requirements</w:t>
            </w:r>
            <w:r>
              <w:rPr>
                <w:rFonts w:cs="Calibri"/>
                <w:lang w:val="en-CA"/>
              </w:rPr>
              <w:t xml:space="preserve">, rather than a hard cap at year 11, result in a smoother transition not rate regulation? </w:t>
            </w:r>
            <w:r w:rsidRPr="00DA7B33">
              <w:rPr>
                <w:rFonts w:cs="Calibri"/>
                <w:lang w:val="en-CA"/>
              </w:rPr>
              <w:t xml:space="preserve"> </w:t>
            </w:r>
          </w:p>
          <w:p w14:paraId="77FB467C" w14:textId="77777777" w:rsidR="00433253" w:rsidRPr="00DA7B33" w:rsidRDefault="00433253" w:rsidP="00433253">
            <w:pPr>
              <w:pStyle w:val="NoSpacing"/>
              <w:numPr>
                <w:ilvl w:val="0"/>
                <w:numId w:val="7"/>
              </w:numPr>
              <w:cnfStyle w:val="000000000000" w:firstRow="0" w:lastRow="0" w:firstColumn="0" w:lastColumn="0" w:oddVBand="0" w:evenVBand="0" w:oddHBand="0" w:evenHBand="0" w:firstRowFirstColumn="0" w:firstRowLastColumn="0" w:lastRowFirstColumn="0" w:lastRowLastColumn="0"/>
              <w:rPr>
                <w:rFonts w:cs="Calibri"/>
                <w:lang w:val="en-CA"/>
              </w:rPr>
            </w:pPr>
            <w:r w:rsidRPr="00DA7B33">
              <w:rPr>
                <w:rFonts w:cs="Calibri"/>
                <w:lang w:val="en-CA"/>
              </w:rPr>
              <w:t>Do you foresee any other issues arising in the transition from the contract to a rate regulated asset?</w:t>
            </w:r>
          </w:p>
        </w:tc>
        <w:tc>
          <w:tcPr>
            <w:tcW w:w="3735" w:type="dxa"/>
          </w:tcPr>
          <w:p w14:paraId="7DCBE9EC"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lang w:val="en-CA"/>
              </w:rPr>
            </w:pPr>
          </w:p>
        </w:tc>
      </w:tr>
      <w:tr w:rsidR="00433253" w:rsidRPr="00C402D1" w14:paraId="17BC4E9A" w14:textId="77777777" w:rsidTr="0051177B">
        <w:trPr>
          <w:trHeight w:val="300"/>
        </w:trPr>
        <w:tc>
          <w:tcPr>
            <w:cnfStyle w:val="001000000000" w:firstRow="0" w:lastRow="0" w:firstColumn="1" w:lastColumn="0" w:oddVBand="0" w:evenVBand="0" w:oddHBand="0" w:evenHBand="0" w:firstRowFirstColumn="0" w:firstRowLastColumn="0" w:lastRowFirstColumn="0" w:lastRowLastColumn="0"/>
            <w:tcW w:w="1934" w:type="dxa"/>
          </w:tcPr>
          <w:p w14:paraId="4D346B06" w14:textId="77777777" w:rsidR="00433253" w:rsidRPr="00DA7B33" w:rsidRDefault="00433253" w:rsidP="0051177B">
            <w:pPr>
              <w:pStyle w:val="NoSpacing"/>
              <w:rPr>
                <w:rFonts w:cs="Calibri"/>
              </w:rPr>
            </w:pPr>
          </w:p>
          <w:p w14:paraId="6EFAB113" w14:textId="77777777" w:rsidR="00433253" w:rsidRPr="00DA7B33" w:rsidRDefault="00433253" w:rsidP="0051177B">
            <w:pPr>
              <w:pStyle w:val="NoSpacing"/>
              <w:rPr>
                <w:rFonts w:cs="Calibri"/>
              </w:rPr>
            </w:pPr>
            <w:r w:rsidRPr="00DA7B33">
              <w:rPr>
                <w:rFonts w:cs="Calibri"/>
              </w:rPr>
              <w:t xml:space="preserve">IEPP and Reporting </w:t>
            </w:r>
          </w:p>
        </w:tc>
        <w:tc>
          <w:tcPr>
            <w:tcW w:w="4234" w:type="dxa"/>
          </w:tcPr>
          <w:p w14:paraId="22681553"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r>
              <w:rPr>
                <w:rFonts w:cs="Calibri"/>
              </w:rPr>
              <w:t>T</w:t>
            </w:r>
            <w:r w:rsidRPr="00DA7B33">
              <w:rPr>
                <w:rFonts w:cs="Calibri"/>
              </w:rPr>
              <w:t xml:space="preserve">he contract will contain requirements to deliver on the commitments made in the transmitter’s IEPP submitted at the proposal stage. This is to be the subject of a future engagement session. </w:t>
            </w:r>
          </w:p>
        </w:tc>
        <w:tc>
          <w:tcPr>
            <w:tcW w:w="3171" w:type="dxa"/>
          </w:tcPr>
          <w:p w14:paraId="0E06C887" w14:textId="77777777" w:rsidR="00433253" w:rsidRPr="00DA7B3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p>
        </w:tc>
        <w:tc>
          <w:tcPr>
            <w:tcW w:w="3735" w:type="dxa"/>
          </w:tcPr>
          <w:p w14:paraId="35479F70" w14:textId="77777777" w:rsidR="00433253" w:rsidRDefault="00433253" w:rsidP="0051177B">
            <w:pPr>
              <w:pStyle w:val="NoSpacing"/>
              <w:cnfStyle w:val="000000000000" w:firstRow="0" w:lastRow="0" w:firstColumn="0" w:lastColumn="0" w:oddVBand="0" w:evenVBand="0" w:oddHBand="0" w:evenHBand="0" w:firstRowFirstColumn="0" w:firstRowLastColumn="0" w:lastRowFirstColumn="0" w:lastRowLastColumn="0"/>
              <w:rPr>
                <w:rFonts w:cs="Calibri"/>
              </w:rPr>
            </w:pPr>
          </w:p>
        </w:tc>
      </w:tr>
    </w:tbl>
    <w:p w14:paraId="22435C54" w14:textId="77777777" w:rsidR="00433253" w:rsidRDefault="00433253" w:rsidP="00433253">
      <w:pPr>
        <w:spacing w:after="140"/>
      </w:pPr>
      <w:r w:rsidRPr="2679754D">
        <w:rPr>
          <w:rFonts w:eastAsia="Tahoma" w:cs="Tahoma"/>
          <w:color w:val="003366"/>
          <w:sz w:val="28"/>
          <w:szCs w:val="28"/>
        </w:rPr>
        <w:lastRenderedPageBreak/>
        <w:t>General Comments/Feedback</w:t>
      </w:r>
    </w:p>
    <w:p w14:paraId="0D39D132" w14:textId="77777777" w:rsidR="00433253" w:rsidRDefault="00433253" w:rsidP="00433253">
      <w:pPr>
        <w:spacing w:after="140"/>
        <w:rPr>
          <w:rFonts w:eastAsia="Calibri" w:cs="Calibri"/>
          <w:color w:val="003366"/>
        </w:rPr>
      </w:pPr>
    </w:p>
    <w:p w14:paraId="7E1B13FF" w14:textId="77777777" w:rsidR="00433253" w:rsidRDefault="00433253" w:rsidP="00433253"/>
    <w:p w14:paraId="2B7D49D4" w14:textId="76EEA4D2" w:rsidR="001F3091" w:rsidRPr="001F3091" w:rsidRDefault="001F3091" w:rsidP="00433253">
      <w:pPr>
        <w:pStyle w:val="Heading2"/>
      </w:pPr>
    </w:p>
    <w:sectPr w:rsidR="001F3091" w:rsidRPr="001F3091" w:rsidSect="00433253">
      <w:footerReference w:type="default" r:id="rId13"/>
      <w:headerReference w:type="first" r:id="rId14"/>
      <w:footerReference w:type="first" r:id="rId15"/>
      <w:pgSz w:w="15840" w:h="12240" w:orient="landscape"/>
      <w:pgMar w:top="1440" w:right="720" w:bottom="907" w:left="1584"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CDAAF" w14:textId="77777777" w:rsidR="00E256FC" w:rsidRDefault="00E256FC">
      <w:r>
        <w:separator/>
      </w:r>
    </w:p>
  </w:endnote>
  <w:endnote w:type="continuationSeparator" w:id="0">
    <w:p w14:paraId="4B119DB2" w14:textId="77777777" w:rsidR="00E256FC" w:rsidRDefault="00E2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20"/>
      <w:gridCol w:w="6420"/>
      <w:gridCol w:w="4320"/>
    </w:tblGrid>
    <w:tr w:rsidR="00433253" w14:paraId="6671ADC6" w14:textId="77777777" w:rsidTr="0051177B">
      <w:trPr>
        <w:trHeight w:val="300"/>
      </w:trPr>
      <w:tc>
        <w:tcPr>
          <w:tcW w:w="2220" w:type="dxa"/>
        </w:tcPr>
        <w:p w14:paraId="167C7028" w14:textId="77777777" w:rsidR="00433253" w:rsidRDefault="00433253" w:rsidP="00433253">
          <w:pPr>
            <w:pStyle w:val="Header"/>
            <w:ind w:left="-115"/>
          </w:pPr>
          <w:r>
            <w:rPr>
              <w:noProof/>
            </w:rPr>
            <w:drawing>
              <wp:inline distT="0" distB="0" distL="0" distR="0" wp14:anchorId="322471F4" wp14:editId="3B9F27D0">
                <wp:extent cx="1170533" cy="536495"/>
                <wp:effectExtent l="0" t="0" r="0" b="0"/>
                <wp:docPr id="337496566" name="drawing" descr="A blue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96566" name="drawing" descr="A blue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170533" cy="536495"/>
                        </a:xfrm>
                        <a:prstGeom prst="rect">
                          <a:avLst/>
                        </a:prstGeom>
                      </pic:spPr>
                    </pic:pic>
                  </a:graphicData>
                </a:graphic>
              </wp:inline>
            </w:drawing>
          </w:r>
        </w:p>
      </w:tc>
      <w:tc>
        <w:tcPr>
          <w:tcW w:w="6420" w:type="dxa"/>
        </w:tcPr>
        <w:p w14:paraId="3EE75BDD" w14:textId="77777777" w:rsidR="00433253" w:rsidRDefault="00433253" w:rsidP="00433253">
          <w:pPr>
            <w:pStyle w:val="Header"/>
            <w:jc w:val="center"/>
            <w:rPr>
              <w:rFonts w:eastAsia="Calibri" w:cs="Calibri"/>
            </w:rPr>
          </w:pPr>
        </w:p>
        <w:p w14:paraId="4CBC0301" w14:textId="77777777" w:rsidR="00433253" w:rsidRDefault="00433253" w:rsidP="00433253">
          <w:pPr>
            <w:pStyle w:val="Header"/>
            <w:jc w:val="center"/>
            <w:rPr>
              <w:rFonts w:eastAsia="Calibri" w:cs="Calibri"/>
            </w:rPr>
          </w:pPr>
        </w:p>
        <w:p w14:paraId="63CC0F68" w14:textId="77777777" w:rsidR="00433253" w:rsidRDefault="00433253" w:rsidP="00433253">
          <w:pPr>
            <w:pStyle w:val="Header"/>
            <w:jc w:val="center"/>
          </w:pPr>
          <w:r w:rsidRPr="311F7406">
            <w:rPr>
              <w:rFonts w:eastAsia="Calibri" w:cs="Calibri"/>
            </w:rPr>
            <w:t>Transmitter Selection Framework October 15, 2025 - Public</w:t>
          </w:r>
        </w:p>
      </w:tc>
      <w:tc>
        <w:tcPr>
          <w:tcW w:w="4320" w:type="dxa"/>
        </w:tcPr>
        <w:p w14:paraId="26780504" w14:textId="77777777" w:rsidR="00433253" w:rsidRDefault="00433253" w:rsidP="00433253">
          <w:pPr>
            <w:pStyle w:val="Header"/>
            <w:ind w:right="-115"/>
            <w:jc w:val="right"/>
          </w:pPr>
        </w:p>
        <w:p w14:paraId="65652412" w14:textId="77777777" w:rsidR="00433253" w:rsidRDefault="00433253" w:rsidP="00433253">
          <w:pPr>
            <w:pStyle w:val="Header"/>
            <w:ind w:right="-115"/>
            <w:jc w:val="right"/>
          </w:pPr>
        </w:p>
        <w:p w14:paraId="7425BA86" w14:textId="77777777" w:rsidR="00433253" w:rsidRDefault="00433253" w:rsidP="00433253">
          <w:pPr>
            <w:pStyle w:val="Header"/>
            <w:ind w:right="-115"/>
            <w:jc w:val="right"/>
          </w:pPr>
          <w:r>
            <w:fldChar w:fldCharType="begin"/>
          </w:r>
          <w:r>
            <w:instrText>PAGE</w:instrText>
          </w:r>
          <w:r>
            <w:fldChar w:fldCharType="separate"/>
          </w:r>
          <w:r>
            <w:rPr>
              <w:noProof/>
            </w:rPr>
            <w:t>1</w:t>
          </w:r>
          <w:r>
            <w:fldChar w:fldCharType="end"/>
          </w:r>
        </w:p>
      </w:tc>
    </w:tr>
  </w:tbl>
  <w:p w14:paraId="72158D30" w14:textId="384A53C5" w:rsidR="00834980" w:rsidRPr="00433253" w:rsidRDefault="00834980" w:rsidP="0043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220"/>
      <w:gridCol w:w="6420"/>
      <w:gridCol w:w="4320"/>
    </w:tblGrid>
    <w:tr w:rsidR="00433253" w14:paraId="2377DF6B" w14:textId="77777777" w:rsidTr="0051177B">
      <w:trPr>
        <w:trHeight w:val="300"/>
      </w:trPr>
      <w:tc>
        <w:tcPr>
          <w:tcW w:w="2220" w:type="dxa"/>
        </w:tcPr>
        <w:p w14:paraId="2423838E" w14:textId="77777777" w:rsidR="00433253" w:rsidRDefault="00433253" w:rsidP="00433253">
          <w:pPr>
            <w:pStyle w:val="Header"/>
            <w:ind w:left="-115"/>
          </w:pPr>
          <w:r>
            <w:rPr>
              <w:noProof/>
            </w:rPr>
            <w:drawing>
              <wp:inline distT="0" distB="0" distL="0" distR="0" wp14:anchorId="48C2CF3B" wp14:editId="04E6801F">
                <wp:extent cx="1170533" cy="536495"/>
                <wp:effectExtent l="0" t="0" r="0" b="0"/>
                <wp:docPr id="1423821853" name="drawing" descr="A blue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821853" name="drawing" descr="A blue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170533" cy="536495"/>
                        </a:xfrm>
                        <a:prstGeom prst="rect">
                          <a:avLst/>
                        </a:prstGeom>
                      </pic:spPr>
                    </pic:pic>
                  </a:graphicData>
                </a:graphic>
              </wp:inline>
            </w:drawing>
          </w:r>
        </w:p>
      </w:tc>
      <w:tc>
        <w:tcPr>
          <w:tcW w:w="6420" w:type="dxa"/>
        </w:tcPr>
        <w:p w14:paraId="017AAE8A" w14:textId="77777777" w:rsidR="00433253" w:rsidRDefault="00433253" w:rsidP="00433253">
          <w:pPr>
            <w:pStyle w:val="Header"/>
            <w:jc w:val="center"/>
            <w:rPr>
              <w:rFonts w:eastAsia="Calibri" w:cs="Calibri"/>
            </w:rPr>
          </w:pPr>
        </w:p>
        <w:p w14:paraId="5A869057" w14:textId="77777777" w:rsidR="00433253" w:rsidRDefault="00433253" w:rsidP="00433253">
          <w:pPr>
            <w:pStyle w:val="Header"/>
            <w:jc w:val="center"/>
            <w:rPr>
              <w:rFonts w:eastAsia="Calibri" w:cs="Calibri"/>
            </w:rPr>
          </w:pPr>
        </w:p>
        <w:p w14:paraId="775C39E3" w14:textId="77777777" w:rsidR="00433253" w:rsidRDefault="00433253" w:rsidP="00433253">
          <w:pPr>
            <w:pStyle w:val="Header"/>
            <w:jc w:val="center"/>
          </w:pPr>
          <w:r w:rsidRPr="311F7406">
            <w:rPr>
              <w:rFonts w:eastAsia="Calibri" w:cs="Calibri"/>
            </w:rPr>
            <w:t>Transmitter Selection Framework October 15, 2025 - Public</w:t>
          </w:r>
        </w:p>
      </w:tc>
      <w:tc>
        <w:tcPr>
          <w:tcW w:w="4320" w:type="dxa"/>
        </w:tcPr>
        <w:p w14:paraId="2825AE6E" w14:textId="77777777" w:rsidR="00433253" w:rsidRDefault="00433253" w:rsidP="00433253">
          <w:pPr>
            <w:pStyle w:val="Header"/>
            <w:ind w:right="-115"/>
            <w:jc w:val="right"/>
          </w:pPr>
        </w:p>
        <w:p w14:paraId="48A17A44" w14:textId="77777777" w:rsidR="00433253" w:rsidRDefault="00433253" w:rsidP="00433253">
          <w:pPr>
            <w:pStyle w:val="Header"/>
            <w:ind w:right="-115"/>
            <w:jc w:val="right"/>
          </w:pPr>
        </w:p>
        <w:p w14:paraId="75DC6767" w14:textId="77777777" w:rsidR="00433253" w:rsidRDefault="00433253" w:rsidP="00433253">
          <w:pPr>
            <w:pStyle w:val="Header"/>
            <w:ind w:right="-115"/>
            <w:jc w:val="right"/>
          </w:pPr>
          <w:r>
            <w:fldChar w:fldCharType="begin"/>
          </w:r>
          <w:r>
            <w:instrText>PAGE</w:instrText>
          </w:r>
          <w:r>
            <w:fldChar w:fldCharType="separate"/>
          </w:r>
          <w:r>
            <w:rPr>
              <w:noProof/>
            </w:rPr>
            <w:t>1</w:t>
          </w:r>
          <w:r>
            <w:fldChar w:fldCharType="end"/>
          </w:r>
        </w:p>
      </w:tc>
    </w:tr>
  </w:tbl>
  <w:p w14:paraId="6505307B" w14:textId="48BE50DD" w:rsidR="00834980" w:rsidRDefault="00834980">
    <w:pPr>
      <w:pStyle w:val="Footer"/>
      <w:tabs>
        <w:tab w:val="clear" w:pos="11333"/>
        <w:tab w:val="right" w:pos="98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1E546" w14:textId="77777777" w:rsidR="00E256FC" w:rsidRDefault="00E256FC">
      <w:r>
        <w:separator/>
      </w:r>
    </w:p>
  </w:footnote>
  <w:footnote w:type="continuationSeparator" w:id="0">
    <w:p w14:paraId="1383C699" w14:textId="77777777" w:rsidR="00E256FC" w:rsidRDefault="00E2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B301" w14:textId="77777777" w:rsidR="00433253" w:rsidRDefault="00433253">
    <w:pPr>
      <w:pStyle w:val="HeaderFooter"/>
    </w:pPr>
    <w:r>
      <w:rPr>
        <w:noProof/>
      </w:rPr>
      <w:drawing>
        <wp:inline distT="0" distB="0" distL="0" distR="0" wp14:anchorId="621175EE" wp14:editId="52E60F7D">
          <wp:extent cx="1162050" cy="533400"/>
          <wp:effectExtent l="0" t="0" r="0" b="0"/>
          <wp:docPr id="629659523" name="drawing" descr="Independent Electricity System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59523" name=""/>
                  <pic:cNvPicPr/>
                </pic:nvPicPr>
                <pic:blipFill>
                  <a:blip r:embed="rId1">
                    <a:extLst>
                      <a:ext uri="{28A0092B-C50C-407E-A947-70E740481C1C}">
                        <a14:useLocalDpi xmlns:a14="http://schemas.microsoft.com/office/drawing/2010/main" val="0"/>
                      </a:ext>
                    </a:extLst>
                  </a:blip>
                  <a:stretch>
                    <a:fillRect/>
                  </a:stretch>
                </pic:blipFill>
                <pic:spPr>
                  <a:xfrm>
                    <a:off x="0" y="0"/>
                    <a:ext cx="1162050" cy="533400"/>
                  </a:xfrm>
                  <a:prstGeom prst="rect">
                    <a:avLst/>
                  </a:prstGeom>
                </pic:spPr>
              </pic:pic>
            </a:graphicData>
          </a:graphic>
        </wp:inline>
      </w:drawing>
    </w:r>
  </w:p>
  <w:p w14:paraId="1BA9D6A9" w14:textId="6BF71969" w:rsidR="00834980" w:rsidRDefault="00D12111">
    <w:pPr>
      <w:pStyle w:val="HeaderFooter"/>
    </w:pPr>
    <w:r>
      <w:rPr>
        <w:noProof/>
      </w:rPr>
      <w:drawing>
        <wp:anchor distT="152400" distB="152400" distL="152400" distR="152400" simplePos="0" relativeHeight="251658240" behindDoc="1" locked="0" layoutInCell="1" allowOverlap="1" wp14:anchorId="06583CA4" wp14:editId="021B0F29">
          <wp:simplePos x="0" y="0"/>
          <wp:positionH relativeFrom="page">
            <wp:posOffset>469377</wp:posOffset>
          </wp:positionH>
          <wp:positionV relativeFrom="page">
            <wp:posOffset>9146540</wp:posOffset>
          </wp:positionV>
          <wp:extent cx="1170432" cy="539496"/>
          <wp:effectExtent l="0" t="0" r="0" b="0"/>
          <wp:wrapNone/>
          <wp:docPr id="1073741825" name="officeArt object" descr="Independent Electricity System Operator"/>
          <wp:cNvGraphicFramePr/>
          <a:graphic xmlns:a="http://schemas.openxmlformats.org/drawingml/2006/main">
            <a:graphicData uri="http://schemas.openxmlformats.org/drawingml/2006/picture">
              <pic:pic xmlns:pic="http://schemas.openxmlformats.org/drawingml/2006/picture">
                <pic:nvPicPr>
                  <pic:cNvPr id="1073741825" name="Independent Electricity System Operator" descr="Independent Electricity System Operator"/>
                  <pic:cNvPicPr>
                    <a:picLocks noChangeAspect="1"/>
                  </pic:cNvPicPr>
                </pic:nvPicPr>
                <pic:blipFill>
                  <a:blip r:embed="rId2"/>
                  <a:stretch>
                    <a:fillRect/>
                  </a:stretch>
                </pic:blipFill>
                <pic:spPr>
                  <a:xfrm>
                    <a:off x="0" y="0"/>
                    <a:ext cx="1170432" cy="539496"/>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4BB0"/>
    <w:multiLevelType w:val="multilevel"/>
    <w:tmpl w:val="EA3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55159"/>
    <w:multiLevelType w:val="hybridMultilevel"/>
    <w:tmpl w:val="94D2DE1C"/>
    <w:lvl w:ilvl="0" w:tplc="77AED82C">
      <w:start w:val="1"/>
      <w:numFmt w:val="lowerRoman"/>
      <w:lvlText w:val="(%1)"/>
      <w:lvlJc w:val="left"/>
      <w:pPr>
        <w:ind w:left="1080" w:hanging="720"/>
      </w:pPr>
    </w:lvl>
    <w:lvl w:ilvl="1" w:tplc="C0A897E0">
      <w:start w:val="1"/>
      <w:numFmt w:val="lowerLetter"/>
      <w:lvlText w:val="%2."/>
      <w:lvlJc w:val="left"/>
      <w:pPr>
        <w:ind w:left="1440" w:hanging="360"/>
      </w:pPr>
    </w:lvl>
    <w:lvl w:ilvl="2" w:tplc="ED045308">
      <w:start w:val="1"/>
      <w:numFmt w:val="lowerRoman"/>
      <w:lvlText w:val="%3."/>
      <w:lvlJc w:val="right"/>
      <w:pPr>
        <w:ind w:left="2160" w:hanging="180"/>
      </w:pPr>
    </w:lvl>
    <w:lvl w:ilvl="3" w:tplc="E604EA90">
      <w:start w:val="1"/>
      <w:numFmt w:val="decimal"/>
      <w:lvlText w:val="%4."/>
      <w:lvlJc w:val="left"/>
      <w:pPr>
        <w:ind w:left="2880" w:hanging="360"/>
      </w:pPr>
    </w:lvl>
    <w:lvl w:ilvl="4" w:tplc="291C9352">
      <w:start w:val="1"/>
      <w:numFmt w:val="lowerLetter"/>
      <w:lvlText w:val="%5."/>
      <w:lvlJc w:val="left"/>
      <w:pPr>
        <w:ind w:left="3600" w:hanging="360"/>
      </w:pPr>
    </w:lvl>
    <w:lvl w:ilvl="5" w:tplc="3B801B5E">
      <w:start w:val="1"/>
      <w:numFmt w:val="lowerRoman"/>
      <w:lvlText w:val="%6."/>
      <w:lvlJc w:val="right"/>
      <w:pPr>
        <w:ind w:left="4320" w:hanging="180"/>
      </w:pPr>
    </w:lvl>
    <w:lvl w:ilvl="6" w:tplc="48D463E8">
      <w:start w:val="1"/>
      <w:numFmt w:val="decimal"/>
      <w:lvlText w:val="%7."/>
      <w:lvlJc w:val="left"/>
      <w:pPr>
        <w:ind w:left="5040" w:hanging="360"/>
      </w:pPr>
    </w:lvl>
    <w:lvl w:ilvl="7" w:tplc="1D6403D4">
      <w:start w:val="1"/>
      <w:numFmt w:val="lowerLetter"/>
      <w:lvlText w:val="%8."/>
      <w:lvlJc w:val="left"/>
      <w:pPr>
        <w:ind w:left="5760" w:hanging="360"/>
      </w:pPr>
    </w:lvl>
    <w:lvl w:ilvl="8" w:tplc="1812C1A6">
      <w:start w:val="1"/>
      <w:numFmt w:val="lowerRoman"/>
      <w:lvlText w:val="%9."/>
      <w:lvlJc w:val="right"/>
      <w:pPr>
        <w:ind w:left="6480" w:hanging="180"/>
      </w:pPr>
    </w:lvl>
  </w:abstractNum>
  <w:abstractNum w:abstractNumId="2" w15:restartNumberingAfterBreak="0">
    <w:nsid w:val="17EC633D"/>
    <w:multiLevelType w:val="multilevel"/>
    <w:tmpl w:val="F148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7622A4"/>
    <w:multiLevelType w:val="hybridMultilevel"/>
    <w:tmpl w:val="FFFFFFFF"/>
    <w:lvl w:ilvl="0" w:tplc="FFFFFFFF">
      <w:start w:val="1"/>
      <w:numFmt w:val="lowerRoman"/>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8B63C6C"/>
    <w:multiLevelType w:val="hybridMultilevel"/>
    <w:tmpl w:val="FFFFFFFF"/>
    <w:lvl w:ilvl="0" w:tplc="9DEA944C">
      <w:start w:val="1"/>
      <w:numFmt w:val="lowerRoman"/>
      <w:lvlText w:val="(%1)"/>
      <w:lvlJc w:val="left"/>
      <w:pPr>
        <w:ind w:left="720" w:hanging="360"/>
      </w:pPr>
    </w:lvl>
    <w:lvl w:ilvl="1" w:tplc="A4DE4A34">
      <w:start w:val="1"/>
      <w:numFmt w:val="lowerLetter"/>
      <w:lvlText w:val="%2."/>
      <w:lvlJc w:val="left"/>
      <w:pPr>
        <w:ind w:left="1440" w:hanging="360"/>
      </w:pPr>
    </w:lvl>
    <w:lvl w:ilvl="2" w:tplc="1F38FEB4">
      <w:start w:val="1"/>
      <w:numFmt w:val="lowerRoman"/>
      <w:lvlText w:val="%3."/>
      <w:lvlJc w:val="right"/>
      <w:pPr>
        <w:ind w:left="2160" w:hanging="180"/>
      </w:pPr>
    </w:lvl>
    <w:lvl w:ilvl="3" w:tplc="FEF0F660">
      <w:start w:val="1"/>
      <w:numFmt w:val="decimal"/>
      <w:lvlText w:val="%4."/>
      <w:lvlJc w:val="left"/>
      <w:pPr>
        <w:ind w:left="2880" w:hanging="360"/>
      </w:pPr>
    </w:lvl>
    <w:lvl w:ilvl="4" w:tplc="71FAFCB8">
      <w:start w:val="1"/>
      <w:numFmt w:val="lowerLetter"/>
      <w:lvlText w:val="%5."/>
      <w:lvlJc w:val="left"/>
      <w:pPr>
        <w:ind w:left="3600" w:hanging="360"/>
      </w:pPr>
    </w:lvl>
    <w:lvl w:ilvl="5" w:tplc="A4BE9446">
      <w:start w:val="1"/>
      <w:numFmt w:val="lowerRoman"/>
      <w:lvlText w:val="%6."/>
      <w:lvlJc w:val="right"/>
      <w:pPr>
        <w:ind w:left="4320" w:hanging="180"/>
      </w:pPr>
    </w:lvl>
    <w:lvl w:ilvl="6" w:tplc="A5505788">
      <w:start w:val="1"/>
      <w:numFmt w:val="decimal"/>
      <w:lvlText w:val="%7."/>
      <w:lvlJc w:val="left"/>
      <w:pPr>
        <w:ind w:left="5040" w:hanging="360"/>
      </w:pPr>
    </w:lvl>
    <w:lvl w:ilvl="7" w:tplc="6C068A20">
      <w:start w:val="1"/>
      <w:numFmt w:val="lowerLetter"/>
      <w:lvlText w:val="%8."/>
      <w:lvlJc w:val="left"/>
      <w:pPr>
        <w:ind w:left="5760" w:hanging="360"/>
      </w:pPr>
    </w:lvl>
    <w:lvl w:ilvl="8" w:tplc="77440BF0">
      <w:start w:val="1"/>
      <w:numFmt w:val="lowerRoman"/>
      <w:lvlText w:val="%9."/>
      <w:lvlJc w:val="right"/>
      <w:pPr>
        <w:ind w:left="6480" w:hanging="180"/>
      </w:pPr>
    </w:lvl>
  </w:abstractNum>
  <w:abstractNum w:abstractNumId="5" w15:restartNumberingAfterBreak="0">
    <w:nsid w:val="47BF3AB5"/>
    <w:multiLevelType w:val="hybridMultilevel"/>
    <w:tmpl w:val="FFFFFFFF"/>
    <w:lvl w:ilvl="0" w:tplc="E9E21E64">
      <w:start w:val="1"/>
      <w:numFmt w:val="lowerRoman"/>
      <w:lvlText w:val="(%1)"/>
      <w:lvlJc w:val="left"/>
      <w:pPr>
        <w:ind w:left="360" w:hanging="360"/>
      </w:pPr>
    </w:lvl>
    <w:lvl w:ilvl="1" w:tplc="6082E000">
      <w:start w:val="1"/>
      <w:numFmt w:val="lowerLetter"/>
      <w:lvlText w:val="%2."/>
      <w:lvlJc w:val="left"/>
      <w:pPr>
        <w:ind w:left="1080" w:hanging="360"/>
      </w:pPr>
    </w:lvl>
    <w:lvl w:ilvl="2" w:tplc="20FA6714">
      <w:start w:val="1"/>
      <w:numFmt w:val="lowerRoman"/>
      <w:lvlText w:val="%3."/>
      <w:lvlJc w:val="right"/>
      <w:pPr>
        <w:ind w:left="1800" w:hanging="180"/>
      </w:pPr>
    </w:lvl>
    <w:lvl w:ilvl="3" w:tplc="C55615A8">
      <w:start w:val="1"/>
      <w:numFmt w:val="decimal"/>
      <w:lvlText w:val="%4."/>
      <w:lvlJc w:val="left"/>
      <w:pPr>
        <w:ind w:left="2520" w:hanging="360"/>
      </w:pPr>
    </w:lvl>
    <w:lvl w:ilvl="4" w:tplc="3710F29E">
      <w:start w:val="1"/>
      <w:numFmt w:val="lowerLetter"/>
      <w:lvlText w:val="%5."/>
      <w:lvlJc w:val="left"/>
      <w:pPr>
        <w:ind w:left="3240" w:hanging="360"/>
      </w:pPr>
    </w:lvl>
    <w:lvl w:ilvl="5" w:tplc="39C6F2A2">
      <w:start w:val="1"/>
      <w:numFmt w:val="lowerRoman"/>
      <w:lvlText w:val="%6."/>
      <w:lvlJc w:val="right"/>
      <w:pPr>
        <w:ind w:left="3960" w:hanging="180"/>
      </w:pPr>
    </w:lvl>
    <w:lvl w:ilvl="6" w:tplc="CF22F28A">
      <w:start w:val="1"/>
      <w:numFmt w:val="decimal"/>
      <w:lvlText w:val="%7."/>
      <w:lvlJc w:val="left"/>
      <w:pPr>
        <w:ind w:left="4680" w:hanging="360"/>
      </w:pPr>
    </w:lvl>
    <w:lvl w:ilvl="7" w:tplc="1E8C6582">
      <w:start w:val="1"/>
      <w:numFmt w:val="lowerLetter"/>
      <w:lvlText w:val="%8."/>
      <w:lvlJc w:val="left"/>
      <w:pPr>
        <w:ind w:left="5400" w:hanging="360"/>
      </w:pPr>
    </w:lvl>
    <w:lvl w:ilvl="8" w:tplc="C16CC0FC">
      <w:start w:val="1"/>
      <w:numFmt w:val="lowerRoman"/>
      <w:lvlText w:val="%9."/>
      <w:lvlJc w:val="right"/>
      <w:pPr>
        <w:ind w:left="6120" w:hanging="180"/>
      </w:pPr>
    </w:lvl>
  </w:abstractNum>
  <w:abstractNum w:abstractNumId="6" w15:restartNumberingAfterBreak="0">
    <w:nsid w:val="63521A25"/>
    <w:multiLevelType w:val="hybridMultilevel"/>
    <w:tmpl w:val="43629340"/>
    <w:lvl w:ilvl="0" w:tplc="8A824460">
      <w:start w:val="1"/>
      <w:numFmt w:val="decimal"/>
      <w:lvlText w:val="%1."/>
      <w:lvlJc w:val="left"/>
      <w:pPr>
        <w:ind w:left="360" w:hanging="360"/>
      </w:pPr>
      <w:rPr>
        <w:b w:val="0"/>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66353CD6"/>
    <w:multiLevelType w:val="multilevel"/>
    <w:tmpl w:val="3E3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439052">
    <w:abstractNumId w:val="2"/>
  </w:num>
  <w:num w:numId="2" w16cid:durableId="484516302">
    <w:abstractNumId w:val="0"/>
  </w:num>
  <w:num w:numId="3" w16cid:durableId="1321733198">
    <w:abstractNumId w:val="7"/>
  </w:num>
  <w:num w:numId="4" w16cid:durableId="1241479731">
    <w:abstractNumId w:val="5"/>
  </w:num>
  <w:num w:numId="5" w16cid:durableId="1641418032">
    <w:abstractNumId w:val="4"/>
  </w:num>
  <w:num w:numId="6" w16cid:durableId="1900091178">
    <w:abstractNumId w:val="1"/>
  </w:num>
  <w:num w:numId="7" w16cid:durableId="1953130912">
    <w:abstractNumId w:val="6"/>
  </w:num>
  <w:num w:numId="8" w16cid:durableId="35739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80"/>
    <w:rsid w:val="00000649"/>
    <w:rsid w:val="00006835"/>
    <w:rsid w:val="00017EBB"/>
    <w:rsid w:val="000203DE"/>
    <w:rsid w:val="00102B98"/>
    <w:rsid w:val="00146556"/>
    <w:rsid w:val="001763AA"/>
    <w:rsid w:val="001A6850"/>
    <w:rsid w:val="001B4AF2"/>
    <w:rsid w:val="001D2D3B"/>
    <w:rsid w:val="001F3091"/>
    <w:rsid w:val="00242762"/>
    <w:rsid w:val="00252E3B"/>
    <w:rsid w:val="00255F7D"/>
    <w:rsid w:val="003020F1"/>
    <w:rsid w:val="00396DDF"/>
    <w:rsid w:val="00412870"/>
    <w:rsid w:val="00433253"/>
    <w:rsid w:val="00437433"/>
    <w:rsid w:val="004608C7"/>
    <w:rsid w:val="004C3E05"/>
    <w:rsid w:val="004D407D"/>
    <w:rsid w:val="004D4FA8"/>
    <w:rsid w:val="004F3605"/>
    <w:rsid w:val="00500321"/>
    <w:rsid w:val="00513862"/>
    <w:rsid w:val="0052753C"/>
    <w:rsid w:val="005420E7"/>
    <w:rsid w:val="005635C8"/>
    <w:rsid w:val="00577993"/>
    <w:rsid w:val="005E7E77"/>
    <w:rsid w:val="005F45AB"/>
    <w:rsid w:val="00642E48"/>
    <w:rsid w:val="00682EBB"/>
    <w:rsid w:val="00735E87"/>
    <w:rsid w:val="007D713D"/>
    <w:rsid w:val="00834980"/>
    <w:rsid w:val="00857CB4"/>
    <w:rsid w:val="00873674"/>
    <w:rsid w:val="009306A3"/>
    <w:rsid w:val="009851A6"/>
    <w:rsid w:val="009A5661"/>
    <w:rsid w:val="009E1BE3"/>
    <w:rsid w:val="00A2DC7A"/>
    <w:rsid w:val="00B3321F"/>
    <w:rsid w:val="00B5724B"/>
    <w:rsid w:val="00B61210"/>
    <w:rsid w:val="00BD5FEE"/>
    <w:rsid w:val="00BD74AD"/>
    <w:rsid w:val="00BF54BB"/>
    <w:rsid w:val="00C00D91"/>
    <w:rsid w:val="00CA33AB"/>
    <w:rsid w:val="00CB17F0"/>
    <w:rsid w:val="00CD22C1"/>
    <w:rsid w:val="00D00916"/>
    <w:rsid w:val="00D07916"/>
    <w:rsid w:val="00D12111"/>
    <w:rsid w:val="00D43313"/>
    <w:rsid w:val="00D47F0E"/>
    <w:rsid w:val="00E256FC"/>
    <w:rsid w:val="00E566E5"/>
    <w:rsid w:val="00E7250D"/>
    <w:rsid w:val="00EC27D0"/>
    <w:rsid w:val="00F02804"/>
    <w:rsid w:val="00F21557"/>
    <w:rsid w:val="00F265E2"/>
    <w:rsid w:val="00F51F38"/>
    <w:rsid w:val="00F70197"/>
    <w:rsid w:val="00F91B98"/>
    <w:rsid w:val="03293F28"/>
    <w:rsid w:val="070CA3B3"/>
    <w:rsid w:val="0EDA0C7D"/>
    <w:rsid w:val="11D96B79"/>
    <w:rsid w:val="1347D4A2"/>
    <w:rsid w:val="1645E668"/>
    <w:rsid w:val="187BE759"/>
    <w:rsid w:val="1A071DAF"/>
    <w:rsid w:val="20A703EF"/>
    <w:rsid w:val="20F5FD96"/>
    <w:rsid w:val="2356297B"/>
    <w:rsid w:val="2C181BE1"/>
    <w:rsid w:val="3148FEE9"/>
    <w:rsid w:val="396DF03B"/>
    <w:rsid w:val="3A954A6A"/>
    <w:rsid w:val="3E45D0EB"/>
    <w:rsid w:val="3E8EE0C1"/>
    <w:rsid w:val="41227255"/>
    <w:rsid w:val="42189ACC"/>
    <w:rsid w:val="44FE18FF"/>
    <w:rsid w:val="47C52616"/>
    <w:rsid w:val="4941FC36"/>
    <w:rsid w:val="4C57106D"/>
    <w:rsid w:val="4D383400"/>
    <w:rsid w:val="4F55BD03"/>
    <w:rsid w:val="50C81FA4"/>
    <w:rsid w:val="51C5EEEE"/>
    <w:rsid w:val="51DD60D5"/>
    <w:rsid w:val="55EEE4F2"/>
    <w:rsid w:val="5D1B9D28"/>
    <w:rsid w:val="5EC62F46"/>
    <w:rsid w:val="638F66BA"/>
    <w:rsid w:val="6BBF1C18"/>
    <w:rsid w:val="6F1E3FE1"/>
    <w:rsid w:val="73361B24"/>
    <w:rsid w:val="74D2351C"/>
    <w:rsid w:val="74D45DF0"/>
    <w:rsid w:val="78EBD97C"/>
    <w:rsid w:val="7CC2E0D4"/>
    <w:rsid w:val="7D550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A4644"/>
  <w15:docId w15:val="{79A76DDA-A0D2-4A7E-90DB-CD13E25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21"/>
    <w:rPr>
      <w:rFonts w:ascii="Tahoma" w:hAnsi="Tahoma"/>
      <w:sz w:val="22"/>
      <w:szCs w:val="24"/>
      <w:lang w:val="en-US" w:eastAsia="en-US"/>
    </w:rPr>
  </w:style>
  <w:style w:type="paragraph" w:styleId="Heading1">
    <w:name w:val="heading 1"/>
    <w:basedOn w:val="Normal"/>
    <w:next w:val="Normal"/>
    <w:link w:val="Heading1Char"/>
    <w:uiPriority w:val="9"/>
    <w:qFormat/>
    <w:rsid w:val="00433253"/>
    <w:pPr>
      <w:keepNext/>
      <w:keepLines/>
      <w:spacing w:before="240"/>
      <w:outlineLvl w:val="0"/>
    </w:pPr>
    <w:rPr>
      <w:rFonts w:asciiTheme="majorHAnsi" w:eastAsiaTheme="majorEastAsia" w:hAnsiTheme="majorHAnsi" w:cstheme="majorBidi"/>
      <w:color w:val="E5AB00" w:themeColor="accent1" w:themeShade="BF"/>
      <w:sz w:val="32"/>
      <w:szCs w:val="32"/>
    </w:rPr>
  </w:style>
  <w:style w:type="paragraph" w:styleId="Heading2">
    <w:name w:val="heading 2"/>
    <w:next w:val="BodyText"/>
    <w:uiPriority w:val="9"/>
    <w:unhideWhenUsed/>
    <w:qFormat/>
    <w:pPr>
      <w:spacing w:after="520" w:line="520" w:lineRule="exact"/>
      <w:outlineLvl w:val="1"/>
    </w:pPr>
    <w:rPr>
      <w:rFonts w:ascii="Tahoma" w:hAnsi="Tahoma" w:cs="Arial Unicode MS"/>
      <w:color w:val="003366"/>
      <w:kern w:val="2"/>
      <w:sz w:val="44"/>
      <w:szCs w:val="44"/>
      <w:u w:color="003366"/>
      <w:lang w:val="en-US"/>
      <w14:textOutline w14:w="0" w14:cap="flat" w14:cmpd="sng" w14:algn="ctr">
        <w14:noFill/>
        <w14:prstDash w14:val="solid"/>
        <w14:bevel/>
      </w14:textOutline>
    </w:rPr>
  </w:style>
  <w:style w:type="paragraph" w:styleId="Heading3">
    <w:name w:val="heading 3"/>
    <w:next w:val="BodyText"/>
    <w:uiPriority w:val="9"/>
    <w:unhideWhenUsed/>
    <w:qFormat/>
    <w:pPr>
      <w:spacing w:before="360" w:after="100" w:line="360" w:lineRule="exact"/>
      <w:outlineLvl w:val="2"/>
    </w:pPr>
    <w:rPr>
      <w:rFonts w:ascii="Tahoma" w:hAnsi="Tahoma" w:cs="Arial Unicode MS"/>
      <w:color w:val="003366"/>
      <w:kern w:val="2"/>
      <w:sz w:val="28"/>
      <w:szCs w:val="28"/>
      <w:u w:color="003366"/>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right" w:pos="11333"/>
      </w:tabs>
      <w:spacing w:line="240" w:lineRule="exact"/>
    </w:pPr>
    <w:rPr>
      <w:rFonts w:ascii="Tahoma" w:hAnsi="Tahoma" w:cs="Arial Unicode MS"/>
      <w:color w:val="000000"/>
      <w:sz w:val="16"/>
      <w:szCs w:val="16"/>
      <w:u w:color="000000"/>
      <w:lang w:val="en-US"/>
    </w:rPr>
  </w:style>
  <w:style w:type="paragraph" w:styleId="BodyText">
    <w:name w:val="Body Text"/>
    <w:pPr>
      <w:spacing w:after="140" w:line="300" w:lineRule="exact"/>
    </w:pPr>
    <w:rPr>
      <w:rFonts w:ascii="Tahoma" w:eastAsia="Tahoma" w:hAnsi="Tahoma" w:cs="Tahoma"/>
      <w:color w:val="000000"/>
      <w:sz w:val="22"/>
      <w:szCs w:val="22"/>
      <w:u w:color="8CD2F3"/>
      <w:lang w:val="en-US"/>
    </w:rPr>
  </w:style>
  <w:style w:type="paragraph" w:customStyle="1" w:styleId="Heading">
    <w:name w:val="Heading"/>
    <w:next w:val="BodyText"/>
    <w:pPr>
      <w:keepNext/>
      <w:keepLines/>
      <w:spacing w:after="340" w:line="680" w:lineRule="exact"/>
      <w:outlineLvl w:val="0"/>
    </w:pPr>
    <w:rPr>
      <w:rFonts w:ascii="Tahoma" w:hAnsi="Tahoma" w:cs="Arial Unicode MS"/>
      <w:color w:val="FFCC33"/>
      <w:sz w:val="60"/>
      <w:szCs w:val="60"/>
      <w:u w:color="FFCC33"/>
      <w:lang w:val="en-US"/>
      <w14:textOutline w14:w="0" w14:cap="flat" w14:cmpd="sng" w14:algn="ctr">
        <w14:noFill/>
        <w14:prstDash w14:val="solid"/>
        <w14:bevel/>
      </w14:textOutline>
    </w:rPr>
  </w:style>
  <w:style w:type="paragraph" w:customStyle="1" w:styleId="YellowBarHeading2">
    <w:name w:val="Yellow Bar Heading 2"/>
    <w:pPr>
      <w:pBdr>
        <w:top w:val="single" w:sz="48" w:space="0" w:color="FFCC33"/>
      </w:pBdr>
      <w:tabs>
        <w:tab w:val="left" w:pos="483"/>
      </w:tabs>
      <w:spacing w:line="180" w:lineRule="exact"/>
      <w:ind w:right="8136"/>
    </w:pPr>
    <w:rPr>
      <w:rFonts w:ascii="Tahoma" w:eastAsia="Tahoma" w:hAnsi="Tahoma" w:cs="Tahoma"/>
      <w:color w:val="000000"/>
      <w:sz w:val="22"/>
      <w:szCs w:val="22"/>
      <w:u w:color="000000"/>
      <w:lang w:val="en-US"/>
    </w:rPr>
  </w:style>
  <w:style w:type="paragraph" w:customStyle="1" w:styleId="Call-outText">
    <w:name w:val="Call-out Text"/>
    <w:next w:val="BodyText"/>
    <w:pPr>
      <w:pBdr>
        <w:top w:val="single" w:sz="2" w:space="0" w:color="E7F5FC"/>
        <w:left w:val="single" w:sz="2" w:space="0" w:color="E7F5FC"/>
        <w:bottom w:val="single" w:sz="2" w:space="0" w:color="E7F5FC"/>
        <w:right w:val="single" w:sz="2" w:space="0" w:color="E7F5FC"/>
      </w:pBdr>
      <w:shd w:val="clear" w:color="auto" w:fill="E7F5FC"/>
      <w:spacing w:after="300" w:line="300" w:lineRule="exact"/>
      <w:ind w:left="245" w:right="245"/>
    </w:pPr>
    <w:rPr>
      <w:rFonts w:ascii="Tahoma" w:hAnsi="Tahoma" w:cs="Arial Unicode MS"/>
      <w:color w:val="003366"/>
      <w:sz w:val="22"/>
      <w:szCs w:val="22"/>
      <w:u w:color="003366"/>
      <w:lang w:val="en-US"/>
    </w:rPr>
  </w:style>
  <w:style w:type="character" w:customStyle="1" w:styleId="Link">
    <w:name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rPr>
  </w:style>
  <w:style w:type="character" w:customStyle="1" w:styleId="Hyperlink0">
    <w:name w:val="Hyperlink.0"/>
    <w:basedOn w:val="Link"/>
    <w:rPr>
      <w:rFonts w:ascii="Tahoma" w:eastAsia="Tahoma" w:hAnsi="Tahoma" w:cs="Tahoma"/>
      <w:b w:val="0"/>
      <w:bCs w:val="0"/>
      <w:i w:val="0"/>
      <w:iCs w:val="0"/>
      <w:caps w:val="0"/>
      <w:smallCaps w:val="0"/>
      <w:strike w:val="0"/>
      <w:dstrike w:val="0"/>
      <w:outline w:val="0"/>
      <w:color w:val="006B71"/>
      <w:spacing w:val="0"/>
      <w:position w:val="0"/>
      <w:sz w:val="22"/>
      <w:szCs w:val="22"/>
      <w:u w:val="single" w:color="006B71"/>
      <w:vertAlign w:val="baseline"/>
      <w:lang w:val="en-US"/>
    </w:rPr>
  </w:style>
  <w:style w:type="paragraph" w:customStyle="1" w:styleId="Body">
    <w:name w:val="Body"/>
    <w:pPr>
      <w:spacing w:after="140" w:line="300" w:lineRule="exact"/>
    </w:pPr>
    <w:rPr>
      <w:rFonts w:ascii="Tahoma" w:eastAsia="Tahoma" w:hAnsi="Tahoma" w:cs="Tahoma"/>
      <w:color w:val="000000"/>
      <w:sz w:val="22"/>
      <w:szCs w:val="22"/>
      <w:u w:color="000000"/>
      <w14:textOutline w14:w="0" w14:cap="flat" w14:cmpd="sng" w14:algn="ctr">
        <w14:noFill/>
        <w14:prstDash w14:val="solid"/>
        <w14:bevel/>
      </w14:textOutline>
    </w:rPr>
  </w:style>
  <w:style w:type="paragraph" w:customStyle="1" w:styleId="TableHeaderLeftAlignment">
    <w:name w:val="Table Header Left Alignment"/>
    <w:next w:val="BodyText"/>
    <w:pPr>
      <w:keepLines/>
      <w:spacing w:after="140" w:line="240" w:lineRule="exact"/>
      <w:outlineLvl w:val="2"/>
    </w:pPr>
    <w:rPr>
      <w:rFonts w:ascii="Tahoma" w:hAnsi="Tahoma" w:cs="Arial Unicode MS"/>
      <w:b/>
      <w:bCs/>
      <w:color w:val="000000"/>
      <w:sz w:val="16"/>
      <w:szCs w:val="16"/>
      <w:u w:color="000000"/>
      <w:lang w:val="en-US"/>
    </w:rPr>
  </w:style>
  <w:style w:type="paragraph" w:customStyle="1" w:styleId="TableHeaderRightAlignment">
    <w:name w:val="Table Header Right Alignment"/>
    <w:pPr>
      <w:keepLines/>
      <w:spacing w:line="240" w:lineRule="exact"/>
      <w:outlineLvl w:val="2"/>
    </w:pPr>
    <w:rPr>
      <w:rFonts w:ascii="Tahoma" w:hAnsi="Tahoma" w:cs="Arial Unicode MS"/>
      <w:b/>
      <w:bCs/>
      <w:color w:val="000000"/>
      <w:sz w:val="16"/>
      <w:szCs w:val="16"/>
      <w:u w:color="000000"/>
      <w:lang w:val="en-US"/>
    </w:rPr>
  </w:style>
  <w:style w:type="paragraph" w:customStyle="1" w:styleId="TableNumeralsLeftAlignment">
    <w:name w:val="Table Numerals Left Alignment"/>
    <w:pPr>
      <w:spacing w:after="140" w:line="300" w:lineRule="exact"/>
    </w:pPr>
    <w:rPr>
      <w:rFonts w:ascii="Tahoma" w:hAnsi="Tahoma" w:cs="Arial Unicode MS"/>
      <w:color w:val="000000"/>
      <w:sz w:val="22"/>
      <w:szCs w:val="22"/>
      <w:u w:color="8CD2F3"/>
      <w:lang w:val="en-US"/>
    </w:rPr>
  </w:style>
  <w:style w:type="character" w:styleId="CommentReference">
    <w:name w:val="annotation reference"/>
    <w:basedOn w:val="DefaultParagraphFont"/>
    <w:uiPriority w:val="99"/>
    <w:semiHidden/>
    <w:unhideWhenUsed/>
    <w:rsid w:val="00682EBB"/>
    <w:rPr>
      <w:sz w:val="16"/>
      <w:szCs w:val="16"/>
    </w:rPr>
  </w:style>
  <w:style w:type="paragraph" w:styleId="CommentText">
    <w:name w:val="annotation text"/>
    <w:basedOn w:val="Normal"/>
    <w:link w:val="CommentTextChar"/>
    <w:uiPriority w:val="99"/>
    <w:unhideWhenUsed/>
    <w:rsid w:val="00682EBB"/>
    <w:rPr>
      <w:sz w:val="20"/>
      <w:szCs w:val="20"/>
    </w:rPr>
  </w:style>
  <w:style w:type="character" w:customStyle="1" w:styleId="CommentTextChar">
    <w:name w:val="Comment Text Char"/>
    <w:basedOn w:val="DefaultParagraphFont"/>
    <w:link w:val="CommentText"/>
    <w:uiPriority w:val="99"/>
    <w:rsid w:val="00682EBB"/>
    <w:rPr>
      <w:lang w:val="en-US" w:eastAsia="en-US"/>
    </w:rPr>
  </w:style>
  <w:style w:type="paragraph" w:styleId="CommentSubject">
    <w:name w:val="annotation subject"/>
    <w:basedOn w:val="CommentText"/>
    <w:next w:val="CommentText"/>
    <w:link w:val="CommentSubjectChar"/>
    <w:uiPriority w:val="99"/>
    <w:semiHidden/>
    <w:unhideWhenUsed/>
    <w:rsid w:val="00682EBB"/>
    <w:rPr>
      <w:b/>
      <w:bCs/>
    </w:rPr>
  </w:style>
  <w:style w:type="character" w:customStyle="1" w:styleId="CommentSubjectChar">
    <w:name w:val="Comment Subject Char"/>
    <w:basedOn w:val="CommentTextChar"/>
    <w:link w:val="CommentSubject"/>
    <w:uiPriority w:val="99"/>
    <w:semiHidden/>
    <w:rsid w:val="00682EBB"/>
    <w:rPr>
      <w:b/>
      <w:bCs/>
      <w:lang w:val="en-US" w:eastAsia="en-US"/>
    </w:rPr>
  </w:style>
  <w:style w:type="paragraph" w:styleId="Header">
    <w:name w:val="header"/>
    <w:basedOn w:val="Normal"/>
    <w:link w:val="HeaderChar"/>
    <w:uiPriority w:val="99"/>
    <w:unhideWhenUsed/>
    <w:rsid w:val="00682EBB"/>
    <w:pPr>
      <w:tabs>
        <w:tab w:val="center" w:pos="4680"/>
        <w:tab w:val="right" w:pos="9360"/>
      </w:tabs>
    </w:pPr>
  </w:style>
  <w:style w:type="character" w:customStyle="1" w:styleId="HeaderChar">
    <w:name w:val="Header Char"/>
    <w:basedOn w:val="DefaultParagraphFont"/>
    <w:link w:val="Header"/>
    <w:uiPriority w:val="99"/>
    <w:rsid w:val="00682EBB"/>
    <w:rPr>
      <w:sz w:val="24"/>
      <w:szCs w:val="24"/>
      <w:lang w:val="en-US" w:eastAsia="en-US"/>
    </w:rPr>
  </w:style>
  <w:style w:type="paragraph" w:styleId="Revision">
    <w:name w:val="Revision"/>
    <w:hidden/>
    <w:uiPriority w:val="99"/>
    <w:semiHidden/>
    <w:rsid w:val="00102B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B61210"/>
    <w:rPr>
      <w:color w:val="605E5C"/>
      <w:shd w:val="clear" w:color="auto" w:fill="E1DFDD"/>
    </w:rPr>
  </w:style>
  <w:style w:type="character" w:styleId="FollowedHyperlink">
    <w:name w:val="FollowedHyperlink"/>
    <w:basedOn w:val="DefaultParagraphFont"/>
    <w:uiPriority w:val="99"/>
    <w:semiHidden/>
    <w:unhideWhenUsed/>
    <w:rsid w:val="00F91B98"/>
    <w:rPr>
      <w:color w:val="FF00FF" w:themeColor="followedHyperlink"/>
      <w:u w:val="single"/>
    </w:rPr>
  </w:style>
  <w:style w:type="table" w:styleId="TableGrid">
    <w:name w:val="Table Grid"/>
    <w:basedOn w:val="TableNormal"/>
    <w:uiPriority w:val="59"/>
    <w:rsid w:val="00642E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33253"/>
    <w:rPr>
      <w:rFonts w:asciiTheme="majorHAnsi" w:eastAsiaTheme="majorEastAsia" w:hAnsiTheme="majorHAnsi" w:cstheme="majorBidi"/>
      <w:color w:val="E5AB00" w:themeColor="accent1" w:themeShade="BF"/>
      <w:sz w:val="32"/>
      <w:szCs w:val="32"/>
      <w:lang w:val="en-US" w:eastAsia="en-US"/>
    </w:rPr>
  </w:style>
  <w:style w:type="paragraph" w:styleId="ListParagraph">
    <w:name w:val="List Paragraph"/>
    <w:basedOn w:val="Normal"/>
    <w:uiPriority w:val="34"/>
    <w:qFormat/>
    <w:rsid w:val="0043325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heme="minorEastAsia" w:hAnsi="Calibri" w:cstheme="minorBidi"/>
      <w:szCs w:val="22"/>
      <w:bdr w:val="none" w:sz="0" w:space="0" w:color="auto"/>
    </w:rPr>
  </w:style>
  <w:style w:type="paragraph" w:styleId="NoSpacing">
    <w:name w:val="No Spacing"/>
    <w:uiPriority w:val="1"/>
    <w:qFormat/>
    <w:rsid w:val="0043325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EastAsia" w:hAnsi="Calibri" w:cstheme="minorBidi"/>
      <w:sz w:val="22"/>
      <w:szCs w:val="22"/>
      <w:bdr w:val="none" w:sz="0" w:space="0" w:color="auto"/>
      <w:lang w:val="en-US" w:eastAsia="en-US"/>
    </w:rPr>
  </w:style>
  <w:style w:type="table" w:styleId="GridTable1Light">
    <w:name w:val="Grid Table 1 Light"/>
    <w:basedOn w:val="TableNormal"/>
    <w:uiPriority w:val="46"/>
    <w:rsid w:val="0043325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4"/>
      <w:szCs w:val="24"/>
      <w:bdr w:val="none" w:sz="0" w:space="0" w:color="auto"/>
      <w:lang w:eastAsia="zh-CN"/>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8324">
      <w:bodyDiv w:val="1"/>
      <w:marLeft w:val="0"/>
      <w:marRight w:val="0"/>
      <w:marTop w:val="0"/>
      <w:marBottom w:val="0"/>
      <w:divBdr>
        <w:top w:val="none" w:sz="0" w:space="0" w:color="auto"/>
        <w:left w:val="none" w:sz="0" w:space="0" w:color="auto"/>
        <w:bottom w:val="none" w:sz="0" w:space="0" w:color="auto"/>
        <w:right w:val="none" w:sz="0" w:space="0" w:color="auto"/>
      </w:divBdr>
    </w:div>
    <w:div w:id="329604142">
      <w:bodyDiv w:val="1"/>
      <w:marLeft w:val="0"/>
      <w:marRight w:val="0"/>
      <w:marTop w:val="0"/>
      <w:marBottom w:val="0"/>
      <w:divBdr>
        <w:top w:val="none" w:sz="0" w:space="0" w:color="auto"/>
        <w:left w:val="none" w:sz="0" w:space="0" w:color="auto"/>
        <w:bottom w:val="none" w:sz="0" w:space="0" w:color="auto"/>
        <w:right w:val="none" w:sz="0" w:space="0" w:color="auto"/>
      </w:divBdr>
    </w:div>
    <w:div w:id="536552490">
      <w:bodyDiv w:val="1"/>
      <w:marLeft w:val="0"/>
      <w:marRight w:val="0"/>
      <w:marTop w:val="0"/>
      <w:marBottom w:val="0"/>
      <w:divBdr>
        <w:top w:val="none" w:sz="0" w:space="0" w:color="auto"/>
        <w:left w:val="none" w:sz="0" w:space="0" w:color="auto"/>
        <w:bottom w:val="none" w:sz="0" w:space="0" w:color="auto"/>
        <w:right w:val="none" w:sz="0" w:space="0" w:color="auto"/>
      </w:divBdr>
    </w:div>
    <w:div w:id="915164526">
      <w:bodyDiv w:val="1"/>
      <w:marLeft w:val="0"/>
      <w:marRight w:val="0"/>
      <w:marTop w:val="0"/>
      <w:marBottom w:val="0"/>
      <w:divBdr>
        <w:top w:val="none" w:sz="0" w:space="0" w:color="auto"/>
        <w:left w:val="none" w:sz="0" w:space="0" w:color="auto"/>
        <w:bottom w:val="none" w:sz="0" w:space="0" w:color="auto"/>
        <w:right w:val="none" w:sz="0" w:space="0" w:color="auto"/>
      </w:divBdr>
    </w:div>
    <w:div w:id="969633313">
      <w:bodyDiv w:val="1"/>
      <w:marLeft w:val="0"/>
      <w:marRight w:val="0"/>
      <w:marTop w:val="0"/>
      <w:marBottom w:val="0"/>
      <w:divBdr>
        <w:top w:val="none" w:sz="0" w:space="0" w:color="auto"/>
        <w:left w:val="none" w:sz="0" w:space="0" w:color="auto"/>
        <w:bottom w:val="none" w:sz="0" w:space="0" w:color="auto"/>
        <w:right w:val="none" w:sz="0" w:space="0" w:color="auto"/>
      </w:divBdr>
    </w:div>
    <w:div w:id="1232038899">
      <w:bodyDiv w:val="1"/>
      <w:marLeft w:val="0"/>
      <w:marRight w:val="0"/>
      <w:marTop w:val="0"/>
      <w:marBottom w:val="0"/>
      <w:divBdr>
        <w:top w:val="none" w:sz="0" w:space="0" w:color="auto"/>
        <w:left w:val="none" w:sz="0" w:space="0" w:color="auto"/>
        <w:bottom w:val="none" w:sz="0" w:space="0" w:color="auto"/>
        <w:right w:val="none" w:sz="0" w:space="0" w:color="auto"/>
      </w:divBdr>
    </w:div>
    <w:div w:id="1507206859">
      <w:bodyDiv w:val="1"/>
      <w:marLeft w:val="0"/>
      <w:marRight w:val="0"/>
      <w:marTop w:val="0"/>
      <w:marBottom w:val="0"/>
      <w:divBdr>
        <w:top w:val="none" w:sz="0" w:space="0" w:color="auto"/>
        <w:left w:val="none" w:sz="0" w:space="0" w:color="auto"/>
        <w:bottom w:val="none" w:sz="0" w:space="0" w:color="auto"/>
        <w:right w:val="none" w:sz="0" w:space="0" w:color="auto"/>
      </w:divBdr>
      <w:divsChild>
        <w:div w:id="213278929">
          <w:marLeft w:val="0"/>
          <w:marRight w:val="0"/>
          <w:marTop w:val="0"/>
          <w:marBottom w:val="0"/>
          <w:divBdr>
            <w:top w:val="none" w:sz="0" w:space="0" w:color="auto"/>
            <w:left w:val="none" w:sz="0" w:space="0" w:color="auto"/>
            <w:bottom w:val="none" w:sz="0" w:space="0" w:color="auto"/>
            <w:right w:val="none" w:sz="0" w:space="0" w:color="auto"/>
          </w:divBdr>
        </w:div>
        <w:div w:id="1677153508">
          <w:marLeft w:val="0"/>
          <w:marRight w:val="0"/>
          <w:marTop w:val="0"/>
          <w:marBottom w:val="0"/>
          <w:divBdr>
            <w:top w:val="none" w:sz="0" w:space="0" w:color="auto"/>
            <w:left w:val="none" w:sz="0" w:space="0" w:color="auto"/>
            <w:bottom w:val="none" w:sz="0" w:space="0" w:color="auto"/>
            <w:right w:val="none" w:sz="0" w:space="0" w:color="auto"/>
          </w:divBdr>
        </w:div>
      </w:divsChild>
    </w:div>
    <w:div w:id="1703093566">
      <w:bodyDiv w:val="1"/>
      <w:marLeft w:val="0"/>
      <w:marRight w:val="0"/>
      <w:marTop w:val="0"/>
      <w:marBottom w:val="0"/>
      <w:divBdr>
        <w:top w:val="none" w:sz="0" w:space="0" w:color="auto"/>
        <w:left w:val="none" w:sz="0" w:space="0" w:color="auto"/>
        <w:bottom w:val="none" w:sz="0" w:space="0" w:color="auto"/>
        <w:right w:val="none" w:sz="0" w:space="0" w:color="auto"/>
      </w:divBdr>
    </w:div>
    <w:div w:id="1704355954">
      <w:bodyDiv w:val="1"/>
      <w:marLeft w:val="0"/>
      <w:marRight w:val="0"/>
      <w:marTop w:val="0"/>
      <w:marBottom w:val="0"/>
      <w:divBdr>
        <w:top w:val="none" w:sz="0" w:space="0" w:color="auto"/>
        <w:left w:val="none" w:sz="0" w:space="0" w:color="auto"/>
        <w:bottom w:val="none" w:sz="0" w:space="0" w:color="auto"/>
        <w:right w:val="none" w:sz="0" w:space="0" w:color="auto"/>
      </w:divBdr>
      <w:divsChild>
        <w:div w:id="1186554760">
          <w:marLeft w:val="0"/>
          <w:marRight w:val="0"/>
          <w:marTop w:val="0"/>
          <w:marBottom w:val="0"/>
          <w:divBdr>
            <w:top w:val="none" w:sz="0" w:space="0" w:color="auto"/>
            <w:left w:val="none" w:sz="0" w:space="0" w:color="auto"/>
            <w:bottom w:val="none" w:sz="0" w:space="0" w:color="auto"/>
            <w:right w:val="none" w:sz="0" w:space="0" w:color="auto"/>
          </w:divBdr>
        </w:div>
        <w:div w:id="1981417558">
          <w:marLeft w:val="0"/>
          <w:marRight w:val="0"/>
          <w:marTop w:val="0"/>
          <w:marBottom w:val="0"/>
          <w:divBdr>
            <w:top w:val="none" w:sz="0" w:space="0" w:color="auto"/>
            <w:left w:val="none" w:sz="0" w:space="0" w:color="auto"/>
            <w:bottom w:val="none" w:sz="0" w:space="0" w:color="auto"/>
            <w:right w:val="none" w:sz="0" w:space="0" w:color="auto"/>
          </w:divBdr>
        </w:div>
      </w:divsChild>
    </w:div>
    <w:div w:id="1885949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gagement@ieso.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so.ca/Sector-Participants/Engagement-Initiatives/Engagements/Transmitter-Selection-Framewor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IESO_Theme3_May19">
  <a:themeElements>
    <a:clrScheme name="IESO_Theme3_May19">
      <a:dk1>
        <a:srgbClr val="000000"/>
      </a:dk1>
      <a:lt1>
        <a:srgbClr val="FFFFFF"/>
      </a:lt1>
      <a:dk2>
        <a:srgbClr val="A7A7A7"/>
      </a:dk2>
      <a:lt2>
        <a:srgbClr val="535353"/>
      </a:lt2>
      <a:accent1>
        <a:srgbClr val="FFCC33"/>
      </a:accent1>
      <a:accent2>
        <a:srgbClr val="200B70"/>
      </a:accent2>
      <a:accent3>
        <a:srgbClr val="49A941"/>
      </a:accent3>
      <a:accent4>
        <a:srgbClr val="006B71"/>
      </a:accent4>
      <a:accent5>
        <a:srgbClr val="ACE8B6"/>
      </a:accent5>
      <a:accent6>
        <a:srgbClr val="691F75"/>
      </a:accent6>
      <a:hlink>
        <a:srgbClr val="0000FF"/>
      </a:hlink>
      <a:folHlink>
        <a:srgbClr val="FF00FF"/>
      </a:folHlink>
    </a:clrScheme>
    <a:fontScheme name="IESO_Theme3_May19">
      <a:majorFont>
        <a:latin typeface="Helvetica Neue"/>
        <a:ea typeface="Helvetica Neue"/>
        <a:cs typeface="Helvetica Neue"/>
      </a:majorFont>
      <a:minorFont>
        <a:latin typeface="Helvetica Neue"/>
        <a:ea typeface="Helvetica Neue"/>
        <a:cs typeface="Helvetica Neue"/>
      </a:minorFont>
    </a:fontScheme>
    <a:fmtScheme name="IESO_Theme3_May19">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18069C32E524294264664073CADB5" ma:contentTypeVersion="10" ma:contentTypeDescription="Create a new document." ma:contentTypeScope="" ma:versionID="b625a069e475d875dadf9d86a72654e9">
  <xsd:schema xmlns:xsd="http://www.w3.org/2001/XMLSchema" xmlns:xs="http://www.w3.org/2001/XMLSchema" xmlns:p="http://schemas.microsoft.com/office/2006/metadata/properties" xmlns:ns2="52316f7d-c880-4346-8ea9-a78753d9258a" xmlns:ns3="e854a8f1-d75f-4265-84ff-d9fe3cee82c5" targetNamespace="http://schemas.microsoft.com/office/2006/metadata/properties" ma:root="true" ma:fieldsID="d2bae96241e4de47ca5472c73021426f" ns2:_="" ns3:_="">
    <xsd:import namespace="52316f7d-c880-4346-8ea9-a78753d9258a"/>
    <xsd:import namespace="e854a8f1-d75f-4265-84ff-d9fe3cee82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316f7d-c880-4346-8ea9-a78753d92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4a8f1-d75f-4265-84ff-d9fe3cee82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854a8f1-d75f-4265-84ff-d9fe3cee82c5">
      <UserInfo>
        <DisplayName/>
        <AccountId xsi:nil="true"/>
        <AccountType/>
      </UserInfo>
    </SharedWithUsers>
  </documentManagement>
</p:properties>
</file>

<file path=customXml/itemProps1.xml><?xml version="1.0" encoding="utf-8"?>
<ds:datastoreItem xmlns:ds="http://schemas.openxmlformats.org/officeDocument/2006/customXml" ds:itemID="{BD55DED6-F1C0-4B5A-8EA5-0AB243D20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316f7d-c880-4346-8ea9-a78753d9258a"/>
    <ds:schemaRef ds:uri="e854a8f1-d75f-4265-84ff-d9fe3cee8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35542-01E7-42D8-A6B0-945F418E6F24}">
  <ds:schemaRefs>
    <ds:schemaRef ds:uri="http://schemas.microsoft.com/sharepoint/v3/contenttype/forms"/>
  </ds:schemaRefs>
</ds:datastoreItem>
</file>

<file path=customXml/itemProps3.xml><?xml version="1.0" encoding="utf-8"?>
<ds:datastoreItem xmlns:ds="http://schemas.openxmlformats.org/officeDocument/2006/customXml" ds:itemID="{4ACE65AE-B502-4E18-BEE2-ACEFD4817176}">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e854a8f1-d75f-4265-84ff-d9fe3cee82c5"/>
    <ds:schemaRef ds:uri="52316f7d-c880-4346-8ea9-a78753d9258a"/>
    <ds:schemaRef ds:uri="http://purl.org/dc/dcmitype/"/>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997</Words>
  <Characters>5689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IESO</Company>
  <LinksUpToDate>false</LinksUpToDate>
  <CharactersWithSpaces>6673</CharactersWithSpaces>
  <SharedDoc>false</SharedDoc>
  <HLinks>
    <vt:vector size="12" baseType="variant">
      <vt:variant>
        <vt:i4>2949125</vt:i4>
      </vt:variant>
      <vt:variant>
        <vt:i4>3</vt:i4>
      </vt:variant>
      <vt:variant>
        <vt:i4>0</vt:i4>
      </vt:variant>
      <vt:variant>
        <vt:i4>5</vt:i4>
      </vt:variant>
      <vt:variant>
        <vt:lpwstr>mailto:engagement@ieso.ca</vt:lpwstr>
      </vt:variant>
      <vt:variant>
        <vt:lpwstr/>
      </vt:variant>
      <vt:variant>
        <vt:i4>393310</vt:i4>
      </vt:variant>
      <vt:variant>
        <vt:i4>0</vt:i4>
      </vt:variant>
      <vt:variant>
        <vt:i4>0</vt:i4>
      </vt:variant>
      <vt:variant>
        <vt:i4>5</vt:i4>
      </vt:variant>
      <vt:variant>
        <vt:lpwstr>https://www.ieso.ca/Sector-Participants/Engagement-Initiatives/Engagements/Long-Term-RFP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Zhaoda Qu</dc:creator>
  <cp:keywords/>
  <cp:lastModifiedBy>Fatema Khatun</cp:lastModifiedBy>
  <cp:revision>2</cp:revision>
  <dcterms:created xsi:type="dcterms:W3CDTF">2025-10-06T19:36:00Z</dcterms:created>
  <dcterms:modified xsi:type="dcterms:W3CDTF">2025-10-06T19:36:00Z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0x0101009A518069C32E524294264664073CADB5</vt:lpwstr>
  </property>
  <property fmtid="{D5CDD505-2E9C-101B-9397-08002B2CF9AE}" pid="3" name="Order">
    <vt:r8>24800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