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4F6B4FF3" w:rsidR="00834980" w:rsidRDefault="001C0A42" w:rsidP="00BD74AD">
      <w:pPr>
        <w:pStyle w:val="Heading2"/>
      </w:pPr>
      <w:r w:rsidRPr="001C0A42">
        <w:t>Transmitter Selection Framework</w:t>
      </w:r>
      <w:r w:rsidR="51DD60D5" w:rsidRPr="001C0A42">
        <w:t xml:space="preserve"> </w:t>
      </w:r>
      <w:r w:rsidR="00D12111">
        <w:t xml:space="preserve">– </w:t>
      </w:r>
      <w:r w:rsidRPr="001C0A42">
        <w:t>June 25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13580D1C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r w:rsidR="001C0A42" w:rsidRPr="001C0A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TSF</w:t>
                            </w:r>
                            <w:r w:rsidR="00A03A04" w:rsidRPr="001C0A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13580D1C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r w:rsidR="001C0A42" w:rsidRPr="001C0A42">
                        <w:rPr>
                          <w:rFonts w:ascii="Tahoma" w:hAnsi="Tahoma" w:cs="Tahoma"/>
                          <w:sz w:val="22"/>
                          <w:szCs w:val="22"/>
                        </w:rPr>
                        <w:t>TSF</w:t>
                      </w:r>
                      <w:r w:rsidR="00A03A04" w:rsidRPr="001C0A4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Pr="001C0A42" w:rsidRDefault="00BD74AD">
      <w:pPr>
        <w:pStyle w:val="BodyText"/>
      </w:pPr>
    </w:p>
    <w:p w14:paraId="5FF95A9D" w14:textId="0BD62F41" w:rsidR="00834980" w:rsidRDefault="00D12111">
      <w:pPr>
        <w:pStyle w:val="BodyText"/>
      </w:pPr>
      <w:r>
        <w:t xml:space="preserve">Following the </w:t>
      </w:r>
      <w:r w:rsidR="001C0A42" w:rsidRPr="001C0A42">
        <w:t>Transmitter Selection Framework (June 25, 2025)</w:t>
      </w:r>
      <w:r w:rsidRPr="001C0A42">
        <w:t xml:space="preserve">,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0" w:history="1">
        <w:r w:rsidR="001C0A42" w:rsidRPr="001C0A42">
          <w:rPr>
            <w:rStyle w:val="Hyperlink"/>
          </w:rPr>
          <w:t>Transmitter Selection Framework</w:t>
        </w:r>
      </w:hyperlink>
      <w:r w:rsidR="001C0A42" w:rsidRPr="001C0A42">
        <w:t xml:space="preserve"> engagement webpage. 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64FAAE5D" w:rsidR="00834980" w:rsidRPr="001C0A42" w:rsidRDefault="00D12111">
      <w:pPr>
        <w:pStyle w:val="BodyText"/>
        <w:rPr>
          <w:b/>
          <w:bCs/>
        </w:rPr>
      </w:pPr>
      <w:r>
        <w:rPr>
          <w:b/>
          <w:bCs/>
        </w:rPr>
        <w:t>Please submit feedback to</w:t>
      </w:r>
      <w:r>
        <w:t xml:space="preserve"> </w:t>
      </w:r>
      <w:hyperlink r:id="rId11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1C0A42" w:rsidRPr="001C0A42">
        <w:rPr>
          <w:b/>
          <w:bCs/>
        </w:rPr>
        <w:t xml:space="preserve">July </w:t>
      </w:r>
      <w:r w:rsidR="00E8241E">
        <w:rPr>
          <w:b/>
          <w:bCs/>
        </w:rPr>
        <w:t>16</w:t>
      </w:r>
      <w:r>
        <w:rPr>
          <w:b/>
          <w:bCs/>
        </w:rPr>
        <w:t>.</w:t>
      </w:r>
      <w:r w:rsidRPr="001C0A42">
        <w:rPr>
          <w:b/>
          <w:bCs/>
        </w:rP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618461DB" w14:textId="77777777" w:rsidR="009216DA" w:rsidRPr="009216DA" w:rsidRDefault="009216DA" w:rsidP="009216DA">
      <w:pPr>
        <w:pStyle w:val="BodyText"/>
        <w:rPr>
          <w:rFonts w:cs="Arial Unicode MS"/>
          <w:color w:val="003366"/>
          <w:kern w:val="2"/>
          <w:sz w:val="28"/>
          <w:szCs w:val="28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B253D4" w:rsidRPr="00B253D4" w14:paraId="64392592" w14:textId="77777777" w:rsidTr="009216DA">
        <w:trPr>
          <w:cantSplit/>
          <w:trHeight w:val="144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AEAB9" w14:textId="2BFF002B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  <w:lang w:val="en-CA"/>
              </w:rPr>
            </w:pPr>
            <w:r w:rsidRPr="009216DA">
              <w:rPr>
                <w:b/>
                <w:bCs/>
                <w:color w:val="auto"/>
                <w:kern w:val="2"/>
                <w:u w:color="003366"/>
              </w:rPr>
              <w:t>Bid Structure &amp; Risk Allocation</w:t>
            </w:r>
            <w:r w:rsidRPr="009216DA">
              <w:rPr>
                <w:bCs/>
                <w:color w:val="auto"/>
                <w:kern w:val="2"/>
                <w:u w:color="003366"/>
              </w:rPr>
              <w:t>: Does the proposed form of RFP bid and high-level risk allocation strike the right balance between protecting ratepayers while providing an attractive proposition to transmitters and financiers?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DFB7EB7" w14:textId="77777777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</w:rPr>
            </w:pPr>
          </w:p>
        </w:tc>
      </w:tr>
    </w:tbl>
    <w:p w14:paraId="7F632BE0" w14:textId="77777777" w:rsidR="009216DA" w:rsidRPr="009216DA" w:rsidRDefault="009216DA" w:rsidP="009216DA">
      <w:pPr>
        <w:pStyle w:val="BodyText"/>
        <w:rPr>
          <w:rFonts w:cs="Arial Unicode MS"/>
          <w:bCs/>
          <w:color w:val="auto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B253D4" w:rsidRPr="00B253D4" w14:paraId="03DD9EBD" w14:textId="77777777" w:rsidTr="009216DA">
        <w:trPr>
          <w:cantSplit/>
          <w:trHeight w:val="144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7286A" w14:textId="70B63641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  <w:lang w:val="en-CA"/>
              </w:rPr>
            </w:pPr>
            <w:r w:rsidRPr="009216DA">
              <w:rPr>
                <w:b/>
                <w:bCs/>
                <w:color w:val="auto"/>
                <w:kern w:val="2"/>
                <w:u w:color="003366"/>
              </w:rPr>
              <w:t>Reducing Bid Risk Premiums:</w:t>
            </w:r>
            <w:r w:rsidRPr="009216DA">
              <w:rPr>
                <w:bCs/>
                <w:color w:val="auto"/>
                <w:kern w:val="2"/>
                <w:u w:color="003366"/>
              </w:rPr>
              <w:t xml:space="preserve"> Are there mechanisms within the form of proposal submission (or within the contract) that the IESO should consider </w:t>
            </w:r>
            <w:proofErr w:type="gramStart"/>
            <w:r w:rsidRPr="009216DA">
              <w:rPr>
                <w:bCs/>
                <w:color w:val="auto"/>
                <w:kern w:val="2"/>
                <w:u w:color="003366"/>
              </w:rPr>
              <w:t>to reduce</w:t>
            </w:r>
            <w:proofErr w:type="gramEnd"/>
            <w:r w:rsidRPr="009216DA">
              <w:rPr>
                <w:bCs/>
                <w:color w:val="auto"/>
                <w:kern w:val="2"/>
                <w:u w:color="003366"/>
              </w:rPr>
              <w:t xml:space="preserve"> risk premiums included in bids?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3F61DAF" w14:textId="77777777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</w:rPr>
            </w:pPr>
          </w:p>
        </w:tc>
      </w:tr>
    </w:tbl>
    <w:p w14:paraId="681F7C2B" w14:textId="77777777" w:rsidR="009216DA" w:rsidRPr="009216DA" w:rsidRDefault="009216DA" w:rsidP="009216DA">
      <w:pPr>
        <w:pStyle w:val="BodyText"/>
        <w:rPr>
          <w:rFonts w:cs="Arial Unicode MS"/>
          <w:bCs/>
          <w:color w:val="auto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B253D4" w:rsidRPr="00B253D4" w14:paraId="71E9BBAC" w14:textId="77777777" w:rsidTr="009216DA">
        <w:trPr>
          <w:cantSplit/>
          <w:trHeight w:val="144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B70B7" w14:textId="4A140FD6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  <w:lang w:val="en-CA"/>
              </w:rPr>
            </w:pPr>
            <w:r w:rsidRPr="009216DA">
              <w:rPr>
                <w:b/>
                <w:bCs/>
                <w:color w:val="auto"/>
                <w:kern w:val="2"/>
                <w:u w:color="003366"/>
              </w:rPr>
              <w:t xml:space="preserve">Evaluating Indigenous Participation within IEPP: </w:t>
            </w:r>
            <w:r w:rsidRPr="009216DA">
              <w:rPr>
                <w:bCs/>
                <w:color w:val="auto"/>
                <w:kern w:val="2"/>
                <w:u w:color="003366"/>
              </w:rPr>
              <w:t>How should the IESO consider evaluating the IEPP, to support meaningful Indigenous economic participation and engagement amongst potentially impacted communities? Is it helpful (or a hindrance) for rated or mandatory criteria to set minimum levels of Indigenous participation?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54FCFF5" w14:textId="77777777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</w:rPr>
            </w:pPr>
          </w:p>
        </w:tc>
      </w:tr>
    </w:tbl>
    <w:p w14:paraId="2ED1B53D" w14:textId="77777777" w:rsidR="009216DA" w:rsidRPr="009216DA" w:rsidRDefault="009216DA" w:rsidP="009216DA">
      <w:pPr>
        <w:pStyle w:val="BodyText"/>
        <w:rPr>
          <w:rFonts w:cs="Arial Unicode MS"/>
          <w:bCs/>
          <w:color w:val="auto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B253D4" w:rsidRPr="00B253D4" w14:paraId="70C3D0B6" w14:textId="77777777" w:rsidTr="009216DA">
        <w:trPr>
          <w:cantSplit/>
          <w:trHeight w:val="144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2B376" w14:textId="19F2E26F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  <w:lang w:val="en-CA"/>
              </w:rPr>
            </w:pPr>
            <w:r w:rsidRPr="009216DA">
              <w:rPr>
                <w:b/>
                <w:bCs/>
                <w:color w:val="auto"/>
                <w:kern w:val="2"/>
                <w:u w:color="003366"/>
              </w:rPr>
              <w:t>Cost Containment</w:t>
            </w:r>
            <w:r w:rsidRPr="009216DA">
              <w:rPr>
                <w:bCs/>
                <w:color w:val="auto"/>
                <w:kern w:val="2"/>
                <w:u w:color="003366"/>
              </w:rPr>
              <w:t xml:space="preserve">: </w:t>
            </w:r>
            <w:r w:rsidRPr="009216DA">
              <w:rPr>
                <w:bCs/>
                <w:color w:val="auto"/>
                <w:kern w:val="2"/>
                <w:u w:color="003366"/>
                <w:lang w:val="en-CA"/>
              </w:rPr>
              <w:t>Should the IESO develop a highly prescriptive approach to cost-containment or leave it open for transmitters to develop within their proposals?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4B8896" w14:textId="77777777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</w:rPr>
            </w:pPr>
          </w:p>
        </w:tc>
      </w:tr>
    </w:tbl>
    <w:p w14:paraId="232AB760" w14:textId="77777777" w:rsidR="009216DA" w:rsidRPr="009216DA" w:rsidRDefault="009216DA" w:rsidP="009216DA">
      <w:pPr>
        <w:pStyle w:val="BodyText"/>
        <w:rPr>
          <w:rFonts w:cs="Arial Unicode MS"/>
          <w:bCs/>
          <w:color w:val="auto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B253D4" w:rsidRPr="00B253D4" w14:paraId="0578EB3F" w14:textId="77777777" w:rsidTr="009216DA">
        <w:trPr>
          <w:cantSplit/>
          <w:trHeight w:val="144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9AF06" w14:textId="50609541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  <w:lang w:val="en-CA"/>
              </w:rPr>
            </w:pPr>
            <w:r w:rsidRPr="009216DA">
              <w:rPr>
                <w:b/>
                <w:bCs/>
                <w:color w:val="auto"/>
                <w:kern w:val="2"/>
                <w:u w:color="003366"/>
              </w:rPr>
              <w:lastRenderedPageBreak/>
              <w:t xml:space="preserve">Schedule &amp; Development Risks: </w:t>
            </w:r>
            <w:r w:rsidRPr="009216DA">
              <w:rPr>
                <w:bCs/>
                <w:color w:val="auto"/>
                <w:kern w:val="2"/>
                <w:u w:color="003366"/>
                <w:lang w:val="en-CA"/>
              </w:rPr>
              <w:t>Do the proposed milestones and timelines for an initial TSF procurement (noted on slide 2</w:t>
            </w:r>
            <w:r w:rsidR="0089399E">
              <w:rPr>
                <w:bCs/>
                <w:color w:val="auto"/>
                <w:kern w:val="2"/>
                <w:u w:color="003366"/>
                <w:lang w:val="en-CA"/>
              </w:rPr>
              <w:t>8</w:t>
            </w:r>
            <w:r w:rsidRPr="009216DA">
              <w:rPr>
                <w:bCs/>
                <w:color w:val="auto"/>
                <w:kern w:val="2"/>
                <w:u w:color="003366"/>
                <w:lang w:val="en-CA"/>
              </w:rPr>
              <w:t>) appear reasonable and appropriately reflect the time required for proposal preparation? Are there specific risks the IESO should plan for?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C4C4828" w14:textId="77777777" w:rsidR="009216DA" w:rsidRPr="009216DA" w:rsidRDefault="009216DA" w:rsidP="009216DA">
            <w:pPr>
              <w:pStyle w:val="BodyText"/>
              <w:rPr>
                <w:bCs/>
                <w:color w:val="auto"/>
                <w:kern w:val="2"/>
                <w:u w:color="003366"/>
              </w:rPr>
            </w:pPr>
          </w:p>
        </w:tc>
      </w:tr>
    </w:tbl>
    <w:p w14:paraId="0AE572A8" w14:textId="77777777" w:rsidR="009216DA" w:rsidRPr="009216DA" w:rsidRDefault="009216DA" w:rsidP="009216DA">
      <w:pPr>
        <w:pStyle w:val="BodyText"/>
        <w:rPr>
          <w:rFonts w:cs="Arial Unicode MS"/>
          <w:bCs/>
          <w:color w:val="auto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624C70BF" w14:textId="77777777" w:rsidR="00BE655F" w:rsidRPr="00BE655F" w:rsidRDefault="00BE655F" w:rsidP="00BE655F">
      <w:pPr>
        <w:pStyle w:val="BodyText"/>
        <w:rPr>
          <w:rFonts w:cs="Arial Unicode MS"/>
          <w:color w:val="003366"/>
          <w:kern w:val="2"/>
          <w:sz w:val="28"/>
          <w:szCs w:val="28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BE655F">
        <w:rPr>
          <w:rFonts w:cs="Arial Unicode MS"/>
          <w:color w:val="003366"/>
          <w:kern w:val="2"/>
          <w:sz w:val="28"/>
          <w:szCs w:val="28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065F422A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396097F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4ED2A8A7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B67D42D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674B070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93BC931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1F38D3A9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03E7B76D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6F212867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3BA99861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7A55C00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0289C6F1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280539EC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6CDB104E" w14:textId="77777777" w:rsidR="009216DA" w:rsidRDefault="009216DA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sectPr w:rsidR="009216DA"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0B8B" w14:textId="77777777" w:rsidR="005E7E77" w:rsidRDefault="005E7E77">
      <w:r>
        <w:separator/>
      </w:r>
    </w:p>
  </w:endnote>
  <w:endnote w:type="continuationSeparator" w:id="0">
    <w:p w14:paraId="10BEC4C0" w14:textId="77777777" w:rsidR="005E7E77" w:rsidRDefault="005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30E2BF82" w:rsidR="00834980" w:rsidRDefault="00B253D4" w:rsidP="00682EBB">
    <w:pPr>
      <w:pStyle w:val="Footer"/>
      <w:tabs>
        <w:tab w:val="clear" w:pos="11333"/>
        <w:tab w:val="right" w:pos="9873"/>
      </w:tabs>
    </w:pPr>
    <w:r w:rsidRPr="00B253D4">
      <w:t>Transmitter Selection Framework June 25, 2025</w:t>
    </w:r>
    <w:r w:rsidR="00682EBB" w:rsidRPr="00B253D4"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70F1" w14:textId="77777777" w:rsidR="005E7E77" w:rsidRDefault="005E7E77">
      <w:r>
        <w:separator/>
      </w:r>
    </w:p>
  </w:footnote>
  <w:footnote w:type="continuationSeparator" w:id="0">
    <w:p w14:paraId="2C46DD96" w14:textId="77777777" w:rsidR="005E7E77" w:rsidRDefault="005E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51BC"/>
    <w:multiLevelType w:val="hybridMultilevel"/>
    <w:tmpl w:val="9FFCFBDA"/>
    <w:lvl w:ilvl="0" w:tplc="927E6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6D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A7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EE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66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4C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84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5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17814"/>
    <w:multiLevelType w:val="hybridMultilevel"/>
    <w:tmpl w:val="F00E0406"/>
    <w:lvl w:ilvl="0" w:tplc="C5F82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80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48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C1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45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A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0D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C0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620C9"/>
    <w:multiLevelType w:val="hybridMultilevel"/>
    <w:tmpl w:val="0F8850C4"/>
    <w:lvl w:ilvl="0" w:tplc="DC16B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82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24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3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2D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61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82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EF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25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E64A1"/>
    <w:multiLevelType w:val="hybridMultilevel"/>
    <w:tmpl w:val="7F7AFF36"/>
    <w:lvl w:ilvl="0" w:tplc="72E2C9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4B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48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47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6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88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A0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9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CF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D6134"/>
    <w:multiLevelType w:val="hybridMultilevel"/>
    <w:tmpl w:val="90DE3CCA"/>
    <w:lvl w:ilvl="0" w:tplc="A31C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83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AC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0E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9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2B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EB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A7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625C5"/>
    <w:multiLevelType w:val="hybridMultilevel"/>
    <w:tmpl w:val="4490A7F6"/>
    <w:lvl w:ilvl="0" w:tplc="2E42E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6C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7A5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4D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4D6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AB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2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6F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0A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8C501D"/>
    <w:multiLevelType w:val="hybridMultilevel"/>
    <w:tmpl w:val="40AED2A8"/>
    <w:lvl w:ilvl="0" w:tplc="22FEF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AC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5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8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EE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0F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CD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C0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E5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C58C0"/>
    <w:multiLevelType w:val="hybridMultilevel"/>
    <w:tmpl w:val="2108BB3E"/>
    <w:lvl w:ilvl="0" w:tplc="D536EF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C9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AE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607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CE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25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6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62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6D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39052">
    <w:abstractNumId w:val="2"/>
  </w:num>
  <w:num w:numId="2" w16cid:durableId="484516302">
    <w:abstractNumId w:val="1"/>
  </w:num>
  <w:num w:numId="3" w16cid:durableId="1321733198">
    <w:abstractNumId w:val="8"/>
  </w:num>
  <w:num w:numId="4" w16cid:durableId="235172598">
    <w:abstractNumId w:val="4"/>
  </w:num>
  <w:num w:numId="5" w16cid:durableId="1812819607">
    <w:abstractNumId w:val="6"/>
  </w:num>
  <w:num w:numId="6" w16cid:durableId="2130931263">
    <w:abstractNumId w:val="7"/>
  </w:num>
  <w:num w:numId="7" w16cid:durableId="1918398259">
    <w:abstractNumId w:val="3"/>
  </w:num>
  <w:num w:numId="8" w16cid:durableId="1283270889">
    <w:abstractNumId w:val="9"/>
  </w:num>
  <w:num w:numId="9" w16cid:durableId="740104634">
    <w:abstractNumId w:val="0"/>
  </w:num>
  <w:num w:numId="10" w16cid:durableId="614142837">
    <w:abstractNumId w:val="5"/>
  </w:num>
  <w:num w:numId="11" w16cid:durableId="414859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102B98"/>
    <w:rsid w:val="001763AA"/>
    <w:rsid w:val="001A6850"/>
    <w:rsid w:val="001B4AF2"/>
    <w:rsid w:val="001C0A42"/>
    <w:rsid w:val="001D2D3B"/>
    <w:rsid w:val="001F3091"/>
    <w:rsid w:val="00252E3B"/>
    <w:rsid w:val="003020F1"/>
    <w:rsid w:val="0041752A"/>
    <w:rsid w:val="004608C7"/>
    <w:rsid w:val="004D4FA8"/>
    <w:rsid w:val="0052753C"/>
    <w:rsid w:val="005420E7"/>
    <w:rsid w:val="005635C8"/>
    <w:rsid w:val="00577993"/>
    <w:rsid w:val="005C10F3"/>
    <w:rsid w:val="005E7E77"/>
    <w:rsid w:val="00682EBB"/>
    <w:rsid w:val="00735E87"/>
    <w:rsid w:val="007D713D"/>
    <w:rsid w:val="00834980"/>
    <w:rsid w:val="00857CB4"/>
    <w:rsid w:val="00873674"/>
    <w:rsid w:val="0089399E"/>
    <w:rsid w:val="009216DA"/>
    <w:rsid w:val="009306A3"/>
    <w:rsid w:val="009851A6"/>
    <w:rsid w:val="009E1BE3"/>
    <w:rsid w:val="00A03A04"/>
    <w:rsid w:val="00A2DC7A"/>
    <w:rsid w:val="00B253D4"/>
    <w:rsid w:val="00B5724B"/>
    <w:rsid w:val="00B61210"/>
    <w:rsid w:val="00BD5FEE"/>
    <w:rsid w:val="00BD74AD"/>
    <w:rsid w:val="00BE655F"/>
    <w:rsid w:val="00BF54BB"/>
    <w:rsid w:val="00C00D91"/>
    <w:rsid w:val="00CA33AB"/>
    <w:rsid w:val="00CB17F0"/>
    <w:rsid w:val="00D00916"/>
    <w:rsid w:val="00D12111"/>
    <w:rsid w:val="00D43313"/>
    <w:rsid w:val="00D47F0E"/>
    <w:rsid w:val="00E566E5"/>
    <w:rsid w:val="00E8241E"/>
    <w:rsid w:val="00EC27D0"/>
    <w:rsid w:val="00ED018A"/>
    <w:rsid w:val="00F02804"/>
    <w:rsid w:val="00F21557"/>
    <w:rsid w:val="00F265E2"/>
    <w:rsid w:val="00F51F38"/>
    <w:rsid w:val="00F91B98"/>
    <w:rsid w:val="00FE0D1B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0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en-CA" w:eastAsia="en-CA"/>
    </w:rPr>
  </w:style>
  <w:style w:type="table" w:styleId="TableGrid">
    <w:name w:val="Table Grid"/>
    <w:basedOn w:val="TableNormal"/>
    <w:uiPriority w:val="39"/>
    <w:rsid w:val="0092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191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80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28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98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3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199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21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56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7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123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50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093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ment@ieso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Sector-Participants/Engagement-Initiatives/Engagements/Transmitter-Selection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to collect stakeholder feedback. Will be publicly posted on the website.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purl.org/dc/terms/"/>
    <ds:schemaRef ds:uri="e8cdfa92-5fbc-415b-802d-96b25a68403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889D5C-922D-418B-858F-F4A731C9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Fatema Khatun</cp:lastModifiedBy>
  <cp:revision>6</cp:revision>
  <dcterms:created xsi:type="dcterms:W3CDTF">2025-06-23T14:57:00Z</dcterms:created>
  <dcterms:modified xsi:type="dcterms:W3CDTF">2025-06-26T17:03:00Z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