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3F9F2DA0">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bookmarkStart w:id="0" w:name="_GoBack"/>
                            <w:r>
                              <w:rPr>
                                <w:lang w:val="en-US"/>
                              </w:rPr>
                              <w:t>Feedback Form</w:t>
                            </w:r>
                            <w:bookmarkEnd w:id="0"/>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bookmarkStart w:id="1" w:name="_GoBack"/>
                      <w:r>
                        <w:rPr>
                          <w:lang w:val="en-US"/>
                        </w:rPr>
                        <w:t>Feedback Form</w:t>
                      </w:r>
                      <w:bookmarkEnd w:id="1"/>
                    </w:p>
                  </w:txbxContent>
                </v:textbox>
                <w10:wrap type="square"/>
              </v:rect>
            </w:pict>
          </mc:Fallback>
        </mc:AlternateContent>
      </w:r>
    </w:p>
    <w:p w14:paraId="1814FA20" w14:textId="62D7A54E" w:rsidR="005A5EF9" w:rsidRDefault="005A5EF9" w:rsidP="005A5EF9">
      <w:pPr>
        <w:pStyle w:val="YellowBarHeading2"/>
      </w:pPr>
    </w:p>
    <w:p w14:paraId="5DCE5DD0" w14:textId="39F8395B" w:rsidR="006F582B" w:rsidRDefault="00FD638A" w:rsidP="006F582B">
      <w:pPr>
        <w:pStyle w:val="Heading2"/>
      </w:pPr>
      <w:r>
        <w:t>Resource Adequacy</w:t>
      </w:r>
      <w:r w:rsidR="00252B43">
        <w:t xml:space="preserve"> webinar</w:t>
      </w:r>
      <w:r w:rsidR="007A1A30">
        <w:t xml:space="preserve"> – </w:t>
      </w:r>
      <w:r>
        <w:t>January 26,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370D9636" w:rsidR="006F582B" w:rsidRDefault="00B44D93" w:rsidP="006F582B">
      <w:pPr>
        <w:pStyle w:val="BodyText"/>
      </w:pPr>
      <w:r w:rsidRPr="005D1848">
        <w:rPr>
          <w:rFonts w:eastAsiaTheme="minorEastAsia" w:cs="Tahoma"/>
          <w:szCs w:val="22"/>
          <w:lang w:val="en-US"/>
        </w:rPr>
        <w:t xml:space="preserve">Following the </w:t>
      </w:r>
      <w:r w:rsidR="00FD638A">
        <w:rPr>
          <w:rFonts w:eastAsiaTheme="minorEastAsia" w:cs="Tahoma"/>
          <w:szCs w:val="22"/>
          <w:lang w:val="en-US"/>
        </w:rPr>
        <w:t>January 26</w:t>
      </w:r>
      <w:r w:rsidRPr="005D1848">
        <w:rPr>
          <w:rFonts w:eastAsiaTheme="minorEastAsia" w:cs="Tahoma"/>
          <w:szCs w:val="22"/>
          <w:lang w:val="en-US"/>
        </w:rPr>
        <w:t>, 202</w:t>
      </w:r>
      <w:r w:rsidR="00FD638A">
        <w:rPr>
          <w:rFonts w:eastAsiaTheme="minorEastAsia" w:cs="Tahoma"/>
          <w:szCs w:val="22"/>
          <w:lang w:val="en-US"/>
        </w:rPr>
        <w:t>1</w:t>
      </w:r>
      <w:r w:rsidRPr="005D1848">
        <w:rPr>
          <w:rFonts w:eastAsiaTheme="minorEastAsia" w:cs="Tahoma"/>
          <w:szCs w:val="22"/>
          <w:lang w:val="en-US"/>
        </w:rPr>
        <w:t xml:space="preserve"> </w:t>
      </w:r>
      <w:r w:rsidR="00C27988">
        <w:rPr>
          <w:rFonts w:eastAsiaTheme="minorEastAsia" w:cs="Tahoma"/>
          <w:szCs w:val="22"/>
          <w:lang w:val="en-US"/>
        </w:rPr>
        <w:t>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410B0237"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FD638A">
        <w:rPr>
          <w:rFonts w:eastAsiaTheme="minorEastAsia" w:cs="Tahoma"/>
          <w:b/>
          <w:szCs w:val="22"/>
          <w:lang w:val="en-US"/>
        </w:rPr>
        <w:t>February 17</w:t>
      </w:r>
      <w:r w:rsidRPr="00717CD0">
        <w:rPr>
          <w:rFonts w:eastAsiaTheme="minorEastAsia" w:cs="Tahoma"/>
          <w:b/>
          <w:szCs w:val="22"/>
          <w:lang w:val="en-US"/>
        </w:rPr>
        <w:t>, 202</w:t>
      </w:r>
      <w:r w:rsidR="003947ED">
        <w:rPr>
          <w:rFonts w:eastAsiaTheme="minorEastAsia" w:cs="Tahoma"/>
          <w:b/>
          <w:szCs w:val="22"/>
          <w:lang w:val="en-US"/>
        </w:rPr>
        <w:t>1</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2F775584" w:rsidR="00C04795" w:rsidRPr="004200EA" w:rsidRDefault="00C27988" w:rsidP="00EF1F49">
      <w:pPr>
        <w:pStyle w:val="Heading3"/>
      </w:pPr>
      <w:bookmarkStart w:id="2" w:name="_Toc35868671"/>
      <w:r>
        <w:lastRenderedPageBreak/>
        <w:t xml:space="preserve">Feedback </w:t>
      </w:r>
      <w:r w:rsidR="003947ED">
        <w:t>Requested</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Description w:val="A table for stakeholders to fill in their stakeholder feedback."/>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525BD3">
        <w:trPr>
          <w:cantSplit/>
          <w:trHeight w:val="144"/>
        </w:trPr>
        <w:tc>
          <w:tcPr>
            <w:tcW w:w="3960" w:type="dxa"/>
            <w:shd w:val="clear" w:color="auto" w:fill="auto"/>
            <w:tcMar>
              <w:top w:w="130" w:type="dxa"/>
              <w:bottom w:w="130" w:type="dxa"/>
            </w:tcMar>
          </w:tcPr>
          <w:p w14:paraId="05D9C244" w14:textId="2556165A" w:rsidR="004200EA" w:rsidRPr="006B7128" w:rsidRDefault="00FD638A" w:rsidP="00EF1F49">
            <w:pPr>
              <w:pStyle w:val="TableNumeralsLeftAlignment"/>
            </w:pPr>
            <w:r w:rsidRPr="00FD638A">
              <w:t>Does the proposed process to set acquisition targets and select competitive mechanisms align with stakeholder needs?</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r w:rsidR="002164D2" w:rsidRPr="006B7128" w14:paraId="286B3F6C" w14:textId="77777777" w:rsidTr="00525BD3">
        <w:trPr>
          <w:cantSplit/>
          <w:trHeight w:val="144"/>
        </w:trPr>
        <w:tc>
          <w:tcPr>
            <w:tcW w:w="3960" w:type="dxa"/>
            <w:shd w:val="clear" w:color="auto" w:fill="auto"/>
            <w:tcMar>
              <w:top w:w="130" w:type="dxa"/>
              <w:bottom w:w="130" w:type="dxa"/>
            </w:tcMar>
          </w:tcPr>
          <w:p w14:paraId="20E18B66" w14:textId="0C3CF1CB" w:rsidR="002164D2" w:rsidRPr="00FD638A" w:rsidRDefault="002164D2" w:rsidP="00EF1F49">
            <w:pPr>
              <w:pStyle w:val="TableNumeralsLeftAlignment"/>
            </w:pPr>
            <w:r w:rsidRPr="00FD638A">
              <w:t xml:space="preserve">Is there any additional information that the IESO should consider including in the </w:t>
            </w:r>
            <w:r w:rsidR="001F398C">
              <w:t>Annual Acquisition Report (</w:t>
            </w:r>
            <w:r w:rsidRPr="00FD638A">
              <w:t>AAR</w:t>
            </w:r>
            <w:r w:rsidR="001F398C">
              <w:t>)</w:t>
            </w:r>
            <w:r w:rsidRPr="00FD638A">
              <w:t xml:space="preserve"> to help participants make investment decisions?</w:t>
            </w:r>
          </w:p>
        </w:tc>
        <w:tc>
          <w:tcPr>
            <w:tcW w:w="6030" w:type="dxa"/>
            <w:shd w:val="clear" w:color="auto" w:fill="auto"/>
            <w:tcMar>
              <w:top w:w="130" w:type="dxa"/>
              <w:left w:w="144" w:type="dxa"/>
              <w:bottom w:w="130" w:type="dxa"/>
              <w:right w:w="0" w:type="dxa"/>
            </w:tcMar>
          </w:tcPr>
          <w:p w14:paraId="07AD8F9D" w14:textId="77777777" w:rsidR="002164D2" w:rsidRPr="006D7540" w:rsidRDefault="002164D2" w:rsidP="00EF1F49">
            <w:pPr>
              <w:pStyle w:val="TableNumeralsLeftAlignment"/>
            </w:pPr>
          </w:p>
        </w:tc>
      </w:tr>
      <w:tr w:rsidR="002164D2" w:rsidRPr="006B7128" w14:paraId="3B124041" w14:textId="77777777" w:rsidTr="00525BD3">
        <w:trPr>
          <w:cantSplit/>
          <w:trHeight w:val="144"/>
        </w:trPr>
        <w:tc>
          <w:tcPr>
            <w:tcW w:w="3960" w:type="dxa"/>
            <w:shd w:val="clear" w:color="auto" w:fill="auto"/>
            <w:tcMar>
              <w:top w:w="130" w:type="dxa"/>
              <w:bottom w:w="130" w:type="dxa"/>
            </w:tcMar>
          </w:tcPr>
          <w:p w14:paraId="1F52463C" w14:textId="616410BD" w:rsidR="002164D2" w:rsidRPr="00FD638A" w:rsidRDefault="002164D2" w:rsidP="00EF1F49">
            <w:pPr>
              <w:pStyle w:val="TableNumeralsLeftAlignment"/>
            </w:pPr>
            <w:r w:rsidRPr="002164D2">
              <w:t>What are the timing considerations from a stakeholder perspective with respect to the AAR?</w:t>
            </w:r>
          </w:p>
        </w:tc>
        <w:tc>
          <w:tcPr>
            <w:tcW w:w="6030" w:type="dxa"/>
            <w:shd w:val="clear" w:color="auto" w:fill="auto"/>
            <w:tcMar>
              <w:top w:w="130" w:type="dxa"/>
              <w:left w:w="144" w:type="dxa"/>
              <w:bottom w:w="130" w:type="dxa"/>
              <w:right w:w="0" w:type="dxa"/>
            </w:tcMar>
          </w:tcPr>
          <w:p w14:paraId="325D299D" w14:textId="77777777" w:rsidR="002164D2" w:rsidRPr="006D7540" w:rsidRDefault="002164D2" w:rsidP="00EF1F49">
            <w:pPr>
              <w:pStyle w:val="TableNumeralsLeftAlignment"/>
            </w:pPr>
          </w:p>
        </w:tc>
      </w:tr>
      <w:tr w:rsidR="002164D2" w:rsidRPr="006B7128" w14:paraId="20CDCC76" w14:textId="77777777" w:rsidTr="00525BD3">
        <w:trPr>
          <w:cantSplit/>
          <w:trHeight w:val="144"/>
        </w:trPr>
        <w:tc>
          <w:tcPr>
            <w:tcW w:w="3960" w:type="dxa"/>
            <w:shd w:val="clear" w:color="auto" w:fill="auto"/>
            <w:tcMar>
              <w:top w:w="130" w:type="dxa"/>
              <w:bottom w:w="130" w:type="dxa"/>
            </w:tcMar>
          </w:tcPr>
          <w:p w14:paraId="36B896A2" w14:textId="60F57525" w:rsidR="002164D2" w:rsidRPr="00FD638A" w:rsidRDefault="002164D2" w:rsidP="00EF1F49">
            <w:pPr>
              <w:pStyle w:val="TableNumeralsLeftAlignment"/>
            </w:pPr>
            <w:r w:rsidRPr="002164D2">
              <w:t>Are there any concerns with the proposed Capacity Auction enhancements?</w:t>
            </w:r>
          </w:p>
        </w:tc>
        <w:tc>
          <w:tcPr>
            <w:tcW w:w="6030" w:type="dxa"/>
            <w:shd w:val="clear" w:color="auto" w:fill="auto"/>
            <w:tcMar>
              <w:top w:w="130" w:type="dxa"/>
              <w:left w:w="144" w:type="dxa"/>
              <w:bottom w:w="130" w:type="dxa"/>
              <w:right w:w="0" w:type="dxa"/>
            </w:tcMar>
          </w:tcPr>
          <w:p w14:paraId="6277964C" w14:textId="77777777" w:rsidR="002164D2" w:rsidRPr="006D7540" w:rsidRDefault="002164D2" w:rsidP="00EF1F49">
            <w:pPr>
              <w:pStyle w:val="TableNumeralsLeftAlignment"/>
            </w:pPr>
          </w:p>
        </w:tc>
      </w:tr>
    </w:tbl>
    <w:p w14:paraId="0CB4D756" w14:textId="02E0EDD1" w:rsidR="00197EE4" w:rsidRDefault="00197EE4" w:rsidP="00456376">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2"/>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75248CF9"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2D6C">
          <w:rPr>
            <w:rStyle w:val="PageNumber"/>
            <w:noProof/>
          </w:rPr>
          <w:t>2</w:t>
        </w:r>
        <w:r>
          <w:rPr>
            <w:rStyle w:val="PageNumber"/>
          </w:rPr>
          <w:fldChar w:fldCharType="end"/>
        </w:r>
      </w:p>
    </w:sdtContent>
  </w:sdt>
  <w:p w14:paraId="4A7CFF92" w14:textId="410F42E7" w:rsidR="00C6016F" w:rsidRDefault="00CD06BE" w:rsidP="00871E07">
    <w:pPr>
      <w:pStyle w:val="Footer"/>
      <w:ind w:right="360"/>
    </w:pPr>
    <w:r>
      <w:t>Demand Response Working Group</w:t>
    </w:r>
    <w:r w:rsidR="00FC7434">
      <w:t xml:space="preserve">, </w:t>
    </w:r>
    <w:r>
      <w:t>08</w:t>
    </w:r>
    <w:r w:rsidR="00FC7434">
      <w:t>/</w:t>
    </w:r>
    <w:r>
      <w:t>October</w:t>
    </w:r>
    <w:r w:rsidR="00FC7434">
      <w:t>/</w:t>
    </w:r>
    <w:r w:rsidR="00575FBB">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1A28BB43"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7F2D6C">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1F398C"/>
    <w:rsid w:val="002040D1"/>
    <w:rsid w:val="00206BC2"/>
    <w:rsid w:val="002164D2"/>
    <w:rsid w:val="002206A7"/>
    <w:rsid w:val="002273F3"/>
    <w:rsid w:val="00230E09"/>
    <w:rsid w:val="00235EFD"/>
    <w:rsid w:val="00245326"/>
    <w:rsid w:val="002529F2"/>
    <w:rsid w:val="00252B43"/>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947ED"/>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C1610"/>
    <w:rsid w:val="004D5A69"/>
    <w:rsid w:val="004D7C5F"/>
    <w:rsid w:val="004E0F5C"/>
    <w:rsid w:val="004F115E"/>
    <w:rsid w:val="00502752"/>
    <w:rsid w:val="005066CE"/>
    <w:rsid w:val="005250E4"/>
    <w:rsid w:val="00525BD3"/>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7F2D6C"/>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36EAB"/>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29D5"/>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638A"/>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56">
      <w:bodyDiv w:val="1"/>
      <w:marLeft w:val="0"/>
      <w:marRight w:val="0"/>
      <w:marTop w:val="0"/>
      <w:marBottom w:val="0"/>
      <w:divBdr>
        <w:top w:val="none" w:sz="0" w:space="0" w:color="auto"/>
        <w:left w:val="none" w:sz="0" w:space="0" w:color="auto"/>
        <w:bottom w:val="none" w:sz="0" w:space="0" w:color="auto"/>
        <w:right w:val="none" w:sz="0" w:space="0" w:color="auto"/>
      </w:divBdr>
      <w:divsChild>
        <w:div w:id="3870044">
          <w:marLeft w:val="144"/>
          <w:marRight w:val="0"/>
          <w:marTop w:val="0"/>
          <w:marBottom w:val="180"/>
          <w:divBdr>
            <w:top w:val="none" w:sz="0" w:space="0" w:color="auto"/>
            <w:left w:val="none" w:sz="0" w:space="0" w:color="auto"/>
            <w:bottom w:val="none" w:sz="0" w:space="0" w:color="auto"/>
            <w:right w:val="none" w:sz="0" w:space="0" w:color="auto"/>
          </w:divBdr>
        </w:div>
      </w:divsChild>
    </w:div>
    <w:div w:id="290357239">
      <w:bodyDiv w:val="1"/>
      <w:marLeft w:val="0"/>
      <w:marRight w:val="0"/>
      <w:marTop w:val="0"/>
      <w:marBottom w:val="0"/>
      <w:divBdr>
        <w:top w:val="none" w:sz="0" w:space="0" w:color="auto"/>
        <w:left w:val="none" w:sz="0" w:space="0" w:color="auto"/>
        <w:bottom w:val="none" w:sz="0" w:space="0" w:color="auto"/>
        <w:right w:val="none" w:sz="0" w:space="0" w:color="auto"/>
      </w:divBdr>
      <w:divsChild>
        <w:div w:id="432749629">
          <w:marLeft w:val="547"/>
          <w:marRight w:val="0"/>
          <w:marTop w:val="0"/>
          <w:marBottom w:val="180"/>
          <w:divBdr>
            <w:top w:val="none" w:sz="0" w:space="0" w:color="auto"/>
            <w:left w:val="none" w:sz="0" w:space="0" w:color="auto"/>
            <w:bottom w:val="none" w:sz="0" w:space="0" w:color="auto"/>
            <w:right w:val="none" w:sz="0" w:space="0" w:color="auto"/>
          </w:divBdr>
        </w:div>
      </w:divsChild>
    </w:div>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1079524666">
      <w:bodyDiv w:val="1"/>
      <w:marLeft w:val="0"/>
      <w:marRight w:val="0"/>
      <w:marTop w:val="0"/>
      <w:marBottom w:val="0"/>
      <w:divBdr>
        <w:top w:val="none" w:sz="0" w:space="0" w:color="auto"/>
        <w:left w:val="none" w:sz="0" w:space="0" w:color="auto"/>
        <w:bottom w:val="none" w:sz="0" w:space="0" w:color="auto"/>
        <w:right w:val="none" w:sz="0" w:space="0" w:color="auto"/>
      </w:divBdr>
      <w:divsChild>
        <w:div w:id="517280617">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448425570">
      <w:bodyDiv w:val="1"/>
      <w:marLeft w:val="0"/>
      <w:marRight w:val="0"/>
      <w:marTop w:val="0"/>
      <w:marBottom w:val="0"/>
      <w:divBdr>
        <w:top w:val="none" w:sz="0" w:space="0" w:color="auto"/>
        <w:left w:val="none" w:sz="0" w:space="0" w:color="auto"/>
        <w:bottom w:val="none" w:sz="0" w:space="0" w:color="auto"/>
        <w:right w:val="none" w:sz="0" w:space="0" w:color="auto"/>
      </w:divBdr>
      <w:divsChild>
        <w:div w:id="1516111020">
          <w:marLeft w:val="547"/>
          <w:marRight w:val="0"/>
          <w:marTop w:val="0"/>
          <w:marBottom w:val="180"/>
          <w:divBdr>
            <w:top w:val="none" w:sz="0" w:space="0" w:color="auto"/>
            <w:left w:val="none" w:sz="0" w:space="0" w:color="auto"/>
            <w:bottom w:val="none" w:sz="0" w:space="0" w:color="auto"/>
            <w:right w:val="none" w:sz="0" w:space="0" w:color="auto"/>
          </w:divBdr>
        </w:div>
      </w:divsChild>
    </w:div>
    <w:div w:id="1562014127">
      <w:bodyDiv w:val="1"/>
      <w:marLeft w:val="0"/>
      <w:marRight w:val="0"/>
      <w:marTop w:val="0"/>
      <w:marBottom w:val="0"/>
      <w:divBdr>
        <w:top w:val="none" w:sz="0" w:space="0" w:color="auto"/>
        <w:left w:val="none" w:sz="0" w:space="0" w:color="auto"/>
        <w:bottom w:val="none" w:sz="0" w:space="0" w:color="auto"/>
        <w:right w:val="none" w:sz="0" w:space="0" w:color="auto"/>
      </w:divBdr>
      <w:divsChild>
        <w:div w:id="63067461">
          <w:marLeft w:val="144"/>
          <w:marRight w:val="0"/>
          <w:marTop w:val="0"/>
          <w:marBottom w:val="180"/>
          <w:divBdr>
            <w:top w:val="none" w:sz="0" w:space="0" w:color="auto"/>
            <w:left w:val="none" w:sz="0" w:space="0" w:color="auto"/>
            <w:bottom w:val="none" w:sz="0" w:space="0" w:color="auto"/>
            <w:right w:val="none" w:sz="0" w:space="0" w:color="auto"/>
          </w:divBdr>
        </w:div>
      </w:divsChild>
    </w:div>
    <w:div w:id="1620793748">
      <w:bodyDiv w:val="1"/>
      <w:marLeft w:val="0"/>
      <w:marRight w:val="0"/>
      <w:marTop w:val="0"/>
      <w:marBottom w:val="0"/>
      <w:divBdr>
        <w:top w:val="none" w:sz="0" w:space="0" w:color="auto"/>
        <w:left w:val="none" w:sz="0" w:space="0" w:color="auto"/>
        <w:bottom w:val="none" w:sz="0" w:space="0" w:color="auto"/>
        <w:right w:val="none" w:sz="0" w:space="0" w:color="auto"/>
      </w:divBdr>
      <w:divsChild>
        <w:div w:id="976910677">
          <w:marLeft w:val="144"/>
          <w:marRight w:val="0"/>
          <w:marTop w:val="0"/>
          <w:marBottom w:val="180"/>
          <w:divBdr>
            <w:top w:val="none" w:sz="0" w:space="0" w:color="auto"/>
            <w:left w:val="none" w:sz="0" w:space="0" w:color="auto"/>
            <w:bottom w:val="none" w:sz="0" w:space="0" w:color="auto"/>
            <w:right w:val="none" w:sz="0" w:space="0" w:color="auto"/>
          </w:divBdr>
        </w:div>
      </w:divsChild>
    </w:div>
    <w:div w:id="1872064860">
      <w:bodyDiv w:val="1"/>
      <w:marLeft w:val="0"/>
      <w:marRight w:val="0"/>
      <w:marTop w:val="0"/>
      <w:marBottom w:val="0"/>
      <w:divBdr>
        <w:top w:val="none" w:sz="0" w:space="0" w:color="auto"/>
        <w:left w:val="none" w:sz="0" w:space="0" w:color="auto"/>
        <w:bottom w:val="none" w:sz="0" w:space="0" w:color="auto"/>
        <w:right w:val="none" w:sz="0" w:space="0" w:color="auto"/>
      </w:divBdr>
      <w:divsChild>
        <w:div w:id="1018578385">
          <w:marLeft w:val="547"/>
          <w:marRight w:val="0"/>
          <w:marTop w:val="0"/>
          <w:marBottom w:val="180"/>
          <w:divBdr>
            <w:top w:val="none" w:sz="0" w:space="0" w:color="auto"/>
            <w:left w:val="none" w:sz="0" w:space="0" w:color="auto"/>
            <w:bottom w:val="none" w:sz="0" w:space="0" w:color="auto"/>
            <w:right w:val="none" w:sz="0" w:space="0" w:color="auto"/>
          </w:divBdr>
        </w:div>
      </w:divsChild>
    </w:div>
    <w:div w:id="1954633020">
      <w:bodyDiv w:val="1"/>
      <w:marLeft w:val="0"/>
      <w:marRight w:val="0"/>
      <w:marTop w:val="0"/>
      <w:marBottom w:val="0"/>
      <w:divBdr>
        <w:top w:val="none" w:sz="0" w:space="0" w:color="auto"/>
        <w:left w:val="none" w:sz="0" w:space="0" w:color="auto"/>
        <w:bottom w:val="none" w:sz="0" w:space="0" w:color="auto"/>
        <w:right w:val="none" w:sz="0" w:space="0" w:color="auto"/>
      </w:divBdr>
      <w:divsChild>
        <w:div w:id="207229679">
          <w:marLeft w:val="144"/>
          <w:marRight w:val="0"/>
          <w:marTop w:val="0"/>
          <w:marBottom w:val="180"/>
          <w:divBdr>
            <w:top w:val="none" w:sz="0" w:space="0" w:color="auto"/>
            <w:left w:val="none" w:sz="0" w:space="0" w:color="auto"/>
            <w:bottom w:val="none" w:sz="0" w:space="0" w:color="auto"/>
            <w:right w:val="none" w:sz="0" w:space="0" w:color="auto"/>
          </w:divBdr>
        </w:div>
      </w:divsChild>
    </w:div>
    <w:div w:id="2012636259">
      <w:bodyDiv w:val="1"/>
      <w:marLeft w:val="0"/>
      <w:marRight w:val="0"/>
      <w:marTop w:val="0"/>
      <w:marBottom w:val="0"/>
      <w:divBdr>
        <w:top w:val="none" w:sz="0" w:space="0" w:color="auto"/>
        <w:left w:val="none" w:sz="0" w:space="0" w:color="auto"/>
        <w:bottom w:val="none" w:sz="0" w:space="0" w:color="auto"/>
        <w:right w:val="none" w:sz="0" w:space="0" w:color="auto"/>
      </w:divBdr>
      <w:divsChild>
        <w:div w:id="568157581">
          <w:marLeft w:val="144"/>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Engagements/Resource-Adequacy-Engag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9917-5053-43E5-B8E8-C9349C3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1600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webinar – January 26, 2021 Feedback</dc:title>
  <dc:subject/>
  <dc:creator>Independent Electricity System Operator</dc:creator>
  <cp:keywords/>
  <dc:description/>
  <cp:lastModifiedBy>Daniela Drazic</cp:lastModifiedBy>
  <cp:revision>6</cp:revision>
  <cp:lastPrinted>2020-04-17T18:00:00Z</cp:lastPrinted>
  <dcterms:created xsi:type="dcterms:W3CDTF">2021-01-13T21:39:00Z</dcterms:created>
  <dcterms:modified xsi:type="dcterms:W3CDTF">2021-01-14T18:29:00Z</dcterms:modified>
  <cp:category/>
</cp:coreProperties>
</file>