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8240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7797C470" w:rsidR="00834980" w:rsidRDefault="00B61210" w:rsidP="00BD74AD">
      <w:pPr>
        <w:pStyle w:val="Heading2"/>
      </w:pPr>
      <w:r>
        <w:t>Long-Term</w:t>
      </w:r>
      <w:r w:rsidR="00BD5FEE">
        <w:t xml:space="preserve"> 2</w:t>
      </w:r>
      <w:r>
        <w:t xml:space="preserve"> RFP</w:t>
      </w:r>
      <w:r w:rsidR="51DD60D5">
        <w:t xml:space="preserve"> </w:t>
      </w:r>
      <w:r w:rsidR="00D12111">
        <w:t xml:space="preserve">– </w:t>
      </w:r>
      <w:r w:rsidR="00500321">
        <w:t xml:space="preserve">May 21,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145803C9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cs="Tahoma"/>
                                <w:szCs w:val="22"/>
                              </w:rPr>
                            </w:pPr>
                            <w:r w:rsidRPr="00735E87">
                              <w:rPr>
                                <w:rFonts w:cs="Tahoma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r w:rsidR="00D43313">
                              <w:rPr>
                                <w:rFonts w:cs="Tahoma"/>
                                <w:szCs w:val="22"/>
                              </w:rPr>
                              <w:t>LT</w:t>
                            </w:r>
                            <w:r w:rsidR="00500321">
                              <w:rPr>
                                <w:rFonts w:cs="Tahoma"/>
                                <w:szCs w:val="22"/>
                              </w:rPr>
                              <w:t>2</w:t>
                            </w:r>
                            <w:r w:rsidR="00D43313">
                              <w:rPr>
                                <w:rFonts w:cs="Tahoma"/>
                                <w:szCs w:val="22"/>
                              </w:rPr>
                              <w:t xml:space="preserve"> RFP</w:t>
                            </w:r>
                            <w:r w:rsidRPr="00735E87">
                              <w:rPr>
                                <w:rFonts w:cs="Tahoma"/>
                                <w:szCs w:val="22"/>
                              </w:rPr>
                              <w:t xml:space="preserve"> 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cs="Tahoma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145803C9" w:rsidR="00BD74AD" w:rsidRPr="00735E87" w:rsidRDefault="00BD74AD" w:rsidP="00735E87">
                      <w:pPr>
                        <w:spacing w:line="300" w:lineRule="atLeast"/>
                        <w:rPr>
                          <w:rFonts w:cs="Tahoma"/>
                          <w:szCs w:val="22"/>
                        </w:rPr>
                      </w:pPr>
                      <w:r w:rsidRPr="00735E87">
                        <w:rPr>
                          <w:rFonts w:cs="Tahoma"/>
                          <w:szCs w:val="22"/>
                        </w:rPr>
                        <w:t xml:space="preserve">To promote transparency, feedback submitted will be posted on the </w:t>
                      </w:r>
                      <w:r w:rsidR="00D43313">
                        <w:rPr>
                          <w:rFonts w:cs="Tahoma"/>
                          <w:szCs w:val="22"/>
                        </w:rPr>
                        <w:t>LT</w:t>
                      </w:r>
                      <w:r w:rsidR="00500321">
                        <w:rPr>
                          <w:rFonts w:cs="Tahoma"/>
                          <w:szCs w:val="22"/>
                        </w:rPr>
                        <w:t>2</w:t>
                      </w:r>
                      <w:r w:rsidR="00D43313">
                        <w:rPr>
                          <w:rFonts w:cs="Tahoma"/>
                          <w:szCs w:val="22"/>
                        </w:rPr>
                        <w:t xml:space="preserve"> RFP</w:t>
                      </w:r>
                      <w:r w:rsidRPr="00735E87">
                        <w:rPr>
                          <w:rFonts w:cs="Tahoma"/>
                          <w:szCs w:val="22"/>
                        </w:rPr>
                        <w:t xml:space="preserve"> 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cs="Tahoma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7B0D76E1" w:rsidR="00834980" w:rsidRDefault="00D12111">
      <w:pPr>
        <w:pStyle w:val="BodyText"/>
      </w:pPr>
      <w:r>
        <w:t xml:space="preserve">Following the LT2 RFP </w:t>
      </w:r>
      <w:r w:rsidR="00500321">
        <w:t xml:space="preserve">May 21, </w:t>
      </w:r>
      <w:r>
        <w:t>202</w:t>
      </w:r>
      <w:r w:rsidR="00500321">
        <w:t>5</w:t>
      </w:r>
      <w:r>
        <w:t>, engagement webinar, the Independent Electricity System Operator (IESO) is seeking feedback from stakeholders on the items discussed. The presentation and recording can be accessed from the L</w:t>
      </w:r>
      <w:r w:rsidR="00B61210">
        <w:t>T2</w:t>
      </w:r>
      <w:r>
        <w:t xml:space="preserve"> </w:t>
      </w:r>
      <w:hyperlink r:id="rId10" w:history="1">
        <w:r w:rsidR="00834980" w:rsidRPr="00B61210">
          <w:rPr>
            <w:rStyle w:val="Hyperlink"/>
            <w:color w:val="006B71"/>
          </w:rPr>
          <w:t>engagement web page</w:t>
        </w:r>
      </w:hyperlink>
      <w:r>
        <w:t>.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4E969FFB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1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BD74AD">
        <w:rPr>
          <w:b/>
          <w:bCs/>
        </w:rPr>
        <w:t xml:space="preserve">May </w:t>
      </w:r>
      <w:r w:rsidR="00500321">
        <w:rPr>
          <w:b/>
          <w:bCs/>
        </w:rPr>
        <w:t>2</w:t>
      </w:r>
      <w:r w:rsidR="00BD74AD">
        <w:rPr>
          <w:b/>
          <w:bCs/>
        </w:rPr>
        <w:t xml:space="preserve">9, </w:t>
      </w:r>
      <w:r>
        <w:rPr>
          <w:b/>
          <w:bCs/>
        </w:rPr>
        <w:t>202</w:t>
      </w:r>
      <w:r w:rsidR="00BD74AD">
        <w:rPr>
          <w:b/>
          <w:bCs/>
        </w:rPr>
        <w:t>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2FB6E28E" w14:textId="58A758CB" w:rsidR="78EBD97C" w:rsidRDefault="78EBD97C" w:rsidP="11D96B79">
      <w:pPr>
        <w:pStyle w:val="BodyText"/>
      </w:pPr>
      <w:r w:rsidRPr="11D96B79">
        <w:rPr>
          <w:rFonts w:eastAsia="Arial Unicode MS" w:cs="Arial Unicode MS"/>
          <w:color w:val="003366"/>
          <w:sz w:val="28"/>
          <w:szCs w:val="28"/>
        </w:rPr>
        <w:t>Post-Proposal Applicable Tariffs</w:t>
      </w:r>
    </w:p>
    <w:p w14:paraId="37943BB8" w14:textId="31AE7474" w:rsidR="00500321" w:rsidRDefault="00B5724B" w:rsidP="00B61210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Do you have any comments related to the </w:t>
      </w:r>
      <w:r w:rsidR="3E45D0EB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approach to mitigating the risk of Post-Proposal Applicable Tariffs</w:t>
      </w:r>
      <w:r w:rsidRPr="00B5724B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 xml:space="preserve"> presented during the </w:t>
      </w:r>
      <w:r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webinar</w:t>
      </w:r>
      <w:r w:rsidRPr="00B5724B">
        <w:rPr>
          <w:rFonts w:eastAsia="Arial Unicode MS" w:cs="Arial Unicode MS"/>
          <w:color w:val="auto"/>
          <w:kern w:val="2"/>
          <w14:textOutline w14:w="0" w14:cap="flat" w14:cmpd="sng" w14:algn="ctr">
            <w14:noFill/>
            <w14:prstDash w14:val="solid"/>
            <w14:bevel/>
          </w14:textOutline>
        </w:rPr>
        <w:t>?</w:t>
      </w: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F0D3608" w14:textId="474E74D4" w:rsidR="00B5724B" w:rsidRDefault="00735E87" w:rsidP="11D96B79">
      <w:pPr>
        <w:spacing w:after="140" w:line="300" w:lineRule="exact"/>
      </w:pPr>
      <w:r>
        <w:br/>
        <w:t>​</w:t>
      </w:r>
      <w:r w:rsidR="03293F28" w:rsidRPr="11D96B79">
        <w:rPr>
          <w:rFonts w:cs="Arial Unicode MS"/>
          <w:color w:val="003366"/>
          <w:sz w:val="28"/>
          <w:szCs w:val="28"/>
        </w:rPr>
        <w:t>Gas Turbine Delivery Delay Provisions</w:t>
      </w:r>
    </w:p>
    <w:p w14:paraId="019C0AB6" w14:textId="719A295E" w:rsidR="00B5724B" w:rsidRDefault="03293F28" w:rsidP="11D96B79">
      <w:pPr>
        <w:pStyle w:val="BodyText"/>
        <w:rPr>
          <w:rFonts w:eastAsia="Arial Unicode MS" w:cs="Arial Unicode MS"/>
          <w:color w:val="003366"/>
          <w:sz w:val="28"/>
          <w:szCs w:val="28"/>
        </w:rPr>
      </w:pPr>
      <w:r w:rsidRPr="11D96B79">
        <w:rPr>
          <w:rFonts w:eastAsia="Arial Unicode MS" w:cs="Arial Unicode MS"/>
          <w:color w:val="auto"/>
        </w:rPr>
        <w:t>Do you have any comments related to the approach to handling potential delays in the delivery of gas turbines presented during the webinar?</w:t>
      </w:r>
    </w:p>
    <w:p w14:paraId="27E2ECC1" w14:textId="2ABCCC0E" w:rsidR="00B5724B" w:rsidRDefault="00B5724B" w:rsidP="00500321"/>
    <w:p w14:paraId="59C23B16" w14:textId="04AC5CDE" w:rsidR="00B5724B" w:rsidRDefault="51C5EEEE" w:rsidP="11D96B79">
      <w:pPr>
        <w:spacing w:after="140" w:line="300" w:lineRule="exact"/>
      </w:pPr>
      <w:r w:rsidRPr="11D96B79">
        <w:rPr>
          <w:rFonts w:cs="Arial Unicode MS"/>
          <w:color w:val="003366"/>
          <w:sz w:val="28"/>
          <w:szCs w:val="28"/>
        </w:rPr>
        <w:t>Crown Land Site Report and MNR Confirmation Letter</w:t>
      </w:r>
    </w:p>
    <w:p w14:paraId="0728A7C6" w14:textId="5F3AC7B3" w:rsidR="00B5724B" w:rsidRDefault="51C5EEEE" w:rsidP="11D96B79">
      <w:pPr>
        <w:pStyle w:val="BodyText"/>
        <w:rPr>
          <w:rFonts w:eastAsia="Arial Unicode MS" w:cs="Arial Unicode MS"/>
          <w:color w:val="003366"/>
          <w:sz w:val="28"/>
          <w:szCs w:val="28"/>
        </w:rPr>
      </w:pPr>
      <w:r w:rsidRPr="11D96B79">
        <w:rPr>
          <w:rFonts w:eastAsia="Arial Unicode MS" w:cs="Arial Unicode MS"/>
          <w:color w:val="auto"/>
        </w:rPr>
        <w:t xml:space="preserve">Do you have any comments related to the </w:t>
      </w:r>
      <w:r w:rsidR="20F5FD96" w:rsidRPr="11D96B79">
        <w:rPr>
          <w:rFonts w:eastAsia="Arial Unicode MS" w:cs="Arial Unicode MS"/>
          <w:color w:val="auto"/>
        </w:rPr>
        <w:t>CLSR and MNR Confirmation Letter requirements presented during the webinar</w:t>
      </w:r>
      <w:r w:rsidRPr="11D96B79">
        <w:rPr>
          <w:rFonts w:eastAsia="Arial Unicode MS" w:cs="Arial Unicode MS"/>
          <w:color w:val="auto"/>
        </w:rPr>
        <w:t>?</w:t>
      </w:r>
    </w:p>
    <w:p w14:paraId="3376CBB6" w14:textId="55F81CDA" w:rsidR="00B5724B" w:rsidRDefault="00735E87" w:rsidP="00500321">
      <w:r>
        <w:br/>
      </w:r>
    </w:p>
    <w:p w14:paraId="4A727B1C" w14:textId="402E7F66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LT2 RFP Deliverability Update</w:t>
      </w:r>
    </w:p>
    <w:p w14:paraId="6091ED30" w14:textId="6B9481E6" w:rsidR="00B5724B" w:rsidRDefault="00B5724B" w:rsidP="0052753C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Do you have any comments regarding the </w:t>
      </w:r>
      <w:r w:rsidR="001A68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deliverability guidance </w:t>
      </w: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update</w:t>
      </w:r>
      <w:r w:rsidR="001A6850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B5724B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presented during the webinar? </w:t>
      </w:r>
    </w:p>
    <w:p w14:paraId="43302FDC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6B5720ED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76EEA4D2" w:rsidR="001F3091" w:rsidRPr="001F3091" w:rsidRDefault="001F3091" w:rsidP="00500321"/>
    <w:sectPr w:rsidR="001F3091" w:rsidRPr="001F3091"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DAAF" w14:textId="77777777" w:rsidR="00E256FC" w:rsidRDefault="00E256FC">
      <w:r>
        <w:separator/>
      </w:r>
    </w:p>
  </w:endnote>
  <w:endnote w:type="continuationSeparator" w:id="0">
    <w:p w14:paraId="4B119DB2" w14:textId="77777777" w:rsidR="00E256FC" w:rsidRDefault="00E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6366F71B" w:rsidR="00834980" w:rsidRDefault="007D713D" w:rsidP="00682EBB">
    <w:pPr>
      <w:pStyle w:val="Footer"/>
      <w:tabs>
        <w:tab w:val="clear" w:pos="11333"/>
        <w:tab w:val="right" w:pos="9873"/>
      </w:tabs>
    </w:pPr>
    <w:r>
      <w:t>L</w:t>
    </w:r>
    <w:r w:rsidR="00B5724B">
      <w:t>T2-RFP Feedback Form</w:t>
    </w:r>
    <w:r w:rsidR="00682EBB">
      <w:t xml:space="preserve"> </w:t>
    </w:r>
    <w:r>
      <w:t>2</w:t>
    </w:r>
    <w:r w:rsidR="00500321">
      <w:t>1</w:t>
    </w:r>
    <w:r w:rsidR="00682EBB">
      <w:t>/</w:t>
    </w:r>
    <w:r w:rsidR="00500321">
      <w:t>May</w:t>
    </w:r>
    <w:r>
      <w:t>/</w:t>
    </w:r>
    <w:r w:rsidR="00682EBB">
      <w:t>202</w:t>
    </w:r>
    <w:r>
      <w:t>5</w:t>
    </w:r>
    <w:r w:rsidR="00682EBB"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E546" w14:textId="77777777" w:rsidR="00E256FC" w:rsidRDefault="00E256FC">
      <w:r>
        <w:separator/>
      </w:r>
    </w:p>
  </w:footnote>
  <w:footnote w:type="continuationSeparator" w:id="0">
    <w:p w14:paraId="1383C699" w14:textId="77777777" w:rsidR="00E256FC" w:rsidRDefault="00E2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0649"/>
    <w:rsid w:val="00006835"/>
    <w:rsid w:val="00017EBB"/>
    <w:rsid w:val="000203DE"/>
    <w:rsid w:val="00102B98"/>
    <w:rsid w:val="00146556"/>
    <w:rsid w:val="001763AA"/>
    <w:rsid w:val="001A6850"/>
    <w:rsid w:val="001B4AF2"/>
    <w:rsid w:val="001D2D3B"/>
    <w:rsid w:val="001F3091"/>
    <w:rsid w:val="00242762"/>
    <w:rsid w:val="00252E3B"/>
    <w:rsid w:val="00255F7D"/>
    <w:rsid w:val="003020F1"/>
    <w:rsid w:val="00396DDF"/>
    <w:rsid w:val="00412870"/>
    <w:rsid w:val="00437433"/>
    <w:rsid w:val="004608C7"/>
    <w:rsid w:val="004C3E05"/>
    <w:rsid w:val="004D407D"/>
    <w:rsid w:val="004D4FA8"/>
    <w:rsid w:val="004F3605"/>
    <w:rsid w:val="00500321"/>
    <w:rsid w:val="00513862"/>
    <w:rsid w:val="0052753C"/>
    <w:rsid w:val="005420E7"/>
    <w:rsid w:val="005635C8"/>
    <w:rsid w:val="00577993"/>
    <w:rsid w:val="005E7E77"/>
    <w:rsid w:val="005F45AB"/>
    <w:rsid w:val="00642E48"/>
    <w:rsid w:val="00682EBB"/>
    <w:rsid w:val="00735E87"/>
    <w:rsid w:val="007D713D"/>
    <w:rsid w:val="00834980"/>
    <w:rsid w:val="00857CB4"/>
    <w:rsid w:val="00873674"/>
    <w:rsid w:val="009306A3"/>
    <w:rsid w:val="009851A6"/>
    <w:rsid w:val="009E1BE3"/>
    <w:rsid w:val="00A2DC7A"/>
    <w:rsid w:val="00B3321F"/>
    <w:rsid w:val="00B5724B"/>
    <w:rsid w:val="00B61210"/>
    <w:rsid w:val="00BD5FEE"/>
    <w:rsid w:val="00BD74AD"/>
    <w:rsid w:val="00BF54BB"/>
    <w:rsid w:val="00C00D91"/>
    <w:rsid w:val="00CA33AB"/>
    <w:rsid w:val="00CB17F0"/>
    <w:rsid w:val="00CD22C1"/>
    <w:rsid w:val="00D00916"/>
    <w:rsid w:val="00D12111"/>
    <w:rsid w:val="00D43313"/>
    <w:rsid w:val="00D47F0E"/>
    <w:rsid w:val="00E256FC"/>
    <w:rsid w:val="00E566E5"/>
    <w:rsid w:val="00E7250D"/>
    <w:rsid w:val="00EC27D0"/>
    <w:rsid w:val="00F02804"/>
    <w:rsid w:val="00F21557"/>
    <w:rsid w:val="00F265E2"/>
    <w:rsid w:val="00F51F38"/>
    <w:rsid w:val="00F91B98"/>
    <w:rsid w:val="03293F28"/>
    <w:rsid w:val="070CA3B3"/>
    <w:rsid w:val="0EDA0C7D"/>
    <w:rsid w:val="11D96B79"/>
    <w:rsid w:val="1347D4A2"/>
    <w:rsid w:val="1645E668"/>
    <w:rsid w:val="187BE759"/>
    <w:rsid w:val="1A071DAF"/>
    <w:rsid w:val="20A703EF"/>
    <w:rsid w:val="20F5FD96"/>
    <w:rsid w:val="2356297B"/>
    <w:rsid w:val="2C181BE1"/>
    <w:rsid w:val="3148FEE9"/>
    <w:rsid w:val="396DF03B"/>
    <w:rsid w:val="3A954A6A"/>
    <w:rsid w:val="3E45D0EB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0C81FA4"/>
    <w:rsid w:val="51C5EEEE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8EBD97C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79A76DDA-A0D2-4A7E-90DB-CD13E252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21"/>
    <w:rPr>
      <w:rFonts w:ascii="Tahoma" w:hAnsi="Tahoma"/>
      <w:sz w:val="22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642E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ment@ieso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Sector-Participants/Engagement-Initiatives/Engagements/Long-Term-RF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4a8f1-d75f-4265-84ff-d9fe3cee82c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8069C32E524294264664073CADB5" ma:contentTypeVersion="10" ma:contentTypeDescription="Create a new document." ma:contentTypeScope="" ma:versionID="b625a069e475d875dadf9d86a72654e9">
  <xsd:schema xmlns:xsd="http://www.w3.org/2001/XMLSchema" xmlns:xs="http://www.w3.org/2001/XMLSchema" xmlns:p="http://schemas.microsoft.com/office/2006/metadata/properties" xmlns:ns2="52316f7d-c880-4346-8ea9-a78753d9258a" xmlns:ns3="e854a8f1-d75f-4265-84ff-d9fe3cee82c5" targetNamespace="http://schemas.microsoft.com/office/2006/metadata/properties" ma:root="true" ma:fieldsID="d2bae96241e4de47ca5472c73021426f" ns2:_="" ns3:_="">
    <xsd:import namespace="52316f7d-c880-4346-8ea9-a78753d9258a"/>
    <xsd:import namespace="e854a8f1-d75f-4265-84ff-d9fe3cee8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f7d-c880-4346-8ea9-a78753d9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a8f1-d75f-4265-84ff-d9fe3cee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e854a8f1-d75f-4265-84ff-d9fe3cee82c5"/>
  </ds:schemaRefs>
</ds:datastoreItem>
</file>

<file path=customXml/itemProps3.xml><?xml version="1.0" encoding="utf-8"?>
<ds:datastoreItem xmlns:ds="http://schemas.openxmlformats.org/officeDocument/2006/customXml" ds:itemID="{BD55DED6-F1C0-4B5A-8EA5-0AB243D20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6f7d-c880-4346-8ea9-a78753d9258a"/>
    <ds:schemaRef ds:uri="e854a8f1-d75f-4265-84ff-d9fe3cee8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>IESO</Company>
  <LinksUpToDate>false</LinksUpToDate>
  <CharactersWithSpaces>1438</CharactersWithSpaces>
  <SharedDoc>false</SharedDoc>
  <HLinks>
    <vt:vector size="12" baseType="variant">
      <vt:variant>
        <vt:i4>2949125</vt:i4>
      </vt:variant>
      <vt:variant>
        <vt:i4>3</vt:i4>
      </vt:variant>
      <vt:variant>
        <vt:i4>0</vt:i4>
      </vt:variant>
      <vt:variant>
        <vt:i4>5</vt:i4>
      </vt:variant>
      <vt:variant>
        <vt:lpwstr>mailto:engagement@ieso.ca</vt:lpwstr>
      </vt:variant>
      <vt:variant>
        <vt:lpwstr/>
      </vt:variant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https://www.ieso.ca/Sector-Participants/Engagement-Initiatives/Engagements/Long-Term-RFP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Zhaoda Qu</dc:creator>
  <cp:keywords/>
  <cp:lastModifiedBy>Trisha Hickson</cp:lastModifiedBy>
  <cp:revision>2</cp:revision>
  <dcterms:created xsi:type="dcterms:W3CDTF">2025-05-23T12:58:00Z</dcterms:created>
  <dcterms:modified xsi:type="dcterms:W3CDTF">2025-05-23T12:58:00Z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0x0101009A518069C32E524294264664073CADB5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