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0E11B61C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3EC69227" w:rsidR="006F582B" w:rsidRDefault="00042DD5" w:rsidP="006F582B">
      <w:pPr>
        <w:pStyle w:val="Heading2"/>
      </w:pPr>
      <w:bookmarkStart w:id="0" w:name="_GoBack"/>
      <w:r>
        <w:t>Regional Planning Process Review Update</w:t>
      </w:r>
      <w:r w:rsidR="007A1A30">
        <w:t xml:space="preserve"> – </w:t>
      </w:r>
      <w:r w:rsidR="001E65FA">
        <w:t>August 25, 2022</w:t>
      </w:r>
      <w:bookmarkEnd w:id="0"/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748F1757" w14:textId="77777777" w:rsidR="009362BC" w:rsidRDefault="009362BC" w:rsidP="009362BC">
      <w:pPr>
        <w:pStyle w:val="BodyText"/>
        <w:rPr>
          <w:rFonts w:eastAsiaTheme="minorEastAsia" w:cs="Tahoma"/>
          <w:szCs w:val="22"/>
          <w:lang w:val="en-US"/>
        </w:rPr>
      </w:pPr>
    </w:p>
    <w:p w14:paraId="536A8DD9" w14:textId="5A4ED73B" w:rsidR="00042DD5" w:rsidRDefault="009362BC" w:rsidP="009362BC">
      <w:pPr>
        <w:pStyle w:val="BodyText"/>
        <w:rPr>
          <w:lang w:val="en-US"/>
        </w:rPr>
      </w:pPr>
      <w:r w:rsidRPr="009362BC">
        <w:rPr>
          <w:rFonts w:eastAsiaTheme="minorEastAsia" w:cs="Tahoma"/>
          <w:szCs w:val="22"/>
          <w:lang w:val="en-US"/>
        </w:rPr>
        <w:t xml:space="preserve">Following the </w:t>
      </w:r>
      <w:r w:rsidR="001E65FA">
        <w:rPr>
          <w:rFonts w:eastAsiaTheme="minorEastAsia" w:cs="Tahoma"/>
          <w:szCs w:val="22"/>
          <w:lang w:val="en-US"/>
        </w:rPr>
        <w:t>August 25, 2022</w:t>
      </w:r>
      <w:r w:rsidR="00E14A79">
        <w:rPr>
          <w:rFonts w:eastAsiaTheme="minorEastAsia" w:cs="Tahoma"/>
          <w:szCs w:val="22"/>
          <w:lang w:val="en-US"/>
        </w:rPr>
        <w:t xml:space="preserve"> webinar on </w:t>
      </w:r>
      <w:r w:rsidR="000233D4">
        <w:rPr>
          <w:rFonts w:eastAsiaTheme="minorEastAsia" w:cs="Tahoma"/>
          <w:szCs w:val="22"/>
          <w:lang w:val="en-US"/>
        </w:rPr>
        <w:t xml:space="preserve">the </w:t>
      </w:r>
      <w:r w:rsidR="00042DD5">
        <w:rPr>
          <w:rFonts w:eastAsiaTheme="minorEastAsia" w:cs="Tahoma"/>
          <w:szCs w:val="22"/>
          <w:lang w:val="en-US"/>
        </w:rPr>
        <w:t>Regional Planning Process Review</w:t>
      </w:r>
      <w:r>
        <w:rPr>
          <w:rFonts w:eastAsiaTheme="minorEastAsia" w:cs="Tahoma"/>
          <w:szCs w:val="22"/>
          <w:lang w:val="en-US"/>
        </w:rPr>
        <w:t>,</w:t>
      </w:r>
      <w:r w:rsidRPr="009362BC">
        <w:rPr>
          <w:rFonts w:eastAsiaTheme="minorEastAsia" w:cs="Tahoma"/>
          <w:szCs w:val="22"/>
          <w:lang w:val="en-US"/>
        </w:rPr>
        <w:t xml:space="preserve"> the</w:t>
      </w:r>
      <w:r w:rsidR="00042DD5">
        <w:rPr>
          <w:rFonts w:eastAsiaTheme="minorEastAsia" w:cs="Tahoma"/>
          <w:szCs w:val="22"/>
          <w:lang w:val="en-US"/>
        </w:rPr>
        <w:t xml:space="preserve"> Independent Electricity System Operator</w:t>
      </w:r>
      <w:r w:rsidRPr="009362BC">
        <w:rPr>
          <w:rFonts w:eastAsiaTheme="minorEastAsia" w:cs="Tahoma"/>
          <w:szCs w:val="22"/>
          <w:lang w:val="en-US"/>
        </w:rPr>
        <w:t xml:space="preserve"> </w:t>
      </w:r>
      <w:r w:rsidR="00042DD5">
        <w:rPr>
          <w:rFonts w:eastAsiaTheme="minorEastAsia" w:cs="Tahoma"/>
          <w:szCs w:val="22"/>
          <w:lang w:val="en-US"/>
        </w:rPr>
        <w:t>(</w:t>
      </w:r>
      <w:r w:rsidRPr="009362BC">
        <w:rPr>
          <w:rFonts w:eastAsiaTheme="minorEastAsia" w:cs="Tahoma"/>
          <w:szCs w:val="22"/>
          <w:lang w:val="en-US"/>
        </w:rPr>
        <w:t>IESO</w:t>
      </w:r>
      <w:r w:rsidR="00042DD5">
        <w:rPr>
          <w:rFonts w:eastAsiaTheme="minorEastAsia" w:cs="Tahoma"/>
          <w:szCs w:val="22"/>
          <w:lang w:val="en-US"/>
        </w:rPr>
        <w:t>)</w:t>
      </w:r>
      <w:r w:rsidRPr="009362BC">
        <w:rPr>
          <w:rFonts w:eastAsiaTheme="minorEastAsia" w:cs="Tahoma"/>
          <w:szCs w:val="22"/>
          <w:lang w:val="en-US"/>
        </w:rPr>
        <w:t xml:space="preserve"> is seeking fe</w:t>
      </w:r>
      <w:r w:rsidR="00042DD5">
        <w:rPr>
          <w:rFonts w:eastAsiaTheme="minorEastAsia" w:cs="Tahoma"/>
          <w:szCs w:val="22"/>
          <w:lang w:val="en-US"/>
        </w:rPr>
        <w:t xml:space="preserve">edback from participants </w:t>
      </w:r>
      <w:r w:rsidR="00042DD5" w:rsidRPr="00042DD5">
        <w:rPr>
          <w:rFonts w:eastAsiaTheme="minorEastAsia" w:cs="Tahoma"/>
          <w:szCs w:val="22"/>
          <w:lang w:val="en-US"/>
        </w:rPr>
        <w:t>on</w:t>
      </w:r>
      <w:r w:rsidR="00AF7C94">
        <w:rPr>
          <w:rFonts w:eastAsiaTheme="minorEastAsia" w:cs="Tahoma"/>
          <w:szCs w:val="22"/>
          <w:lang w:val="en-US"/>
        </w:rPr>
        <w:t xml:space="preserve"> the </w:t>
      </w:r>
      <w:r w:rsidR="001E65FA">
        <w:rPr>
          <w:rFonts w:eastAsiaTheme="minorEastAsia" w:cs="Tahoma"/>
          <w:szCs w:val="22"/>
          <w:lang w:val="en-US"/>
        </w:rPr>
        <w:t xml:space="preserve">hourly </w:t>
      </w:r>
      <w:r w:rsidR="00AF7C94">
        <w:rPr>
          <w:rFonts w:eastAsiaTheme="minorEastAsia" w:cs="Tahoma"/>
          <w:szCs w:val="22"/>
          <w:lang w:val="en-US"/>
        </w:rPr>
        <w:t>demand profiling methodology, as well as the non-wires a</w:t>
      </w:r>
      <w:r w:rsidR="001E65FA">
        <w:rPr>
          <w:rFonts w:eastAsiaTheme="minorEastAsia" w:cs="Tahoma"/>
          <w:szCs w:val="22"/>
          <w:lang w:val="en-US"/>
        </w:rPr>
        <w:t>lternatives (NWAs) options analysis</w:t>
      </w:r>
      <w:r w:rsidR="00AF7C94">
        <w:rPr>
          <w:rFonts w:eastAsiaTheme="minorEastAsia" w:cs="Tahoma"/>
          <w:szCs w:val="22"/>
          <w:lang w:val="en-US"/>
        </w:rPr>
        <w:t xml:space="preserve"> in Integrated Regional Resource Plans (IRRPs)</w:t>
      </w:r>
      <w:r w:rsidR="001E65FA">
        <w:rPr>
          <w:rFonts w:eastAsiaTheme="minorEastAsia" w:cs="Tahoma"/>
          <w:szCs w:val="22"/>
          <w:lang w:val="en-US"/>
        </w:rPr>
        <w:t>.</w:t>
      </w:r>
    </w:p>
    <w:p w14:paraId="76B82B19" w14:textId="7A50EC02" w:rsidR="0040480E" w:rsidRPr="00042DD5" w:rsidRDefault="009362BC" w:rsidP="00042DD5">
      <w:pPr>
        <w:pStyle w:val="BodyText"/>
        <w:rPr>
          <w:rFonts w:eastAsiaTheme="minorEastAsia" w:cs="Tahoma"/>
          <w:szCs w:val="22"/>
          <w:lang w:val="en-US"/>
        </w:rPr>
      </w:pPr>
      <w:r w:rsidRPr="009362BC">
        <w:rPr>
          <w:rFonts w:eastAsiaTheme="minorEastAsia" w:cs="Tahoma"/>
          <w:szCs w:val="22"/>
          <w:lang w:val="en-US"/>
        </w:rPr>
        <w:t>The IESO will work to consider feedback and incorporate comments as appropriate and post responses on the engagement webpage.</w:t>
      </w:r>
    </w:p>
    <w:p w14:paraId="6D31DC2B" w14:textId="3D7471C9" w:rsidR="009362BC" w:rsidRPr="009362BC" w:rsidRDefault="009362BC" w:rsidP="009362BC">
      <w:pPr>
        <w:rPr>
          <w:rFonts w:cs="Tahoma"/>
          <w:szCs w:val="22"/>
        </w:rPr>
      </w:pPr>
      <w:r w:rsidRPr="009362BC">
        <w:rPr>
          <w:rFonts w:cs="Tahoma"/>
          <w:szCs w:val="22"/>
        </w:rPr>
        <w:t xml:space="preserve">The referenced presentation can be found under the </w:t>
      </w:r>
      <w:r w:rsidR="001E65FA">
        <w:rPr>
          <w:rFonts w:cs="Tahoma"/>
          <w:szCs w:val="22"/>
        </w:rPr>
        <w:t>August 25, 2022</w:t>
      </w:r>
      <w:r w:rsidRPr="009362BC">
        <w:rPr>
          <w:rFonts w:cs="Tahoma"/>
          <w:szCs w:val="22"/>
        </w:rPr>
        <w:t xml:space="preserve"> entry on </w:t>
      </w:r>
      <w:r w:rsidR="00E14A79">
        <w:rPr>
          <w:rFonts w:cs="Tahoma"/>
          <w:szCs w:val="22"/>
        </w:rPr>
        <w:t>the</w:t>
      </w:r>
      <w:r w:rsidR="00F43A30">
        <w:rPr>
          <w:rFonts w:cs="Tahoma"/>
          <w:szCs w:val="22"/>
        </w:rPr>
        <w:t xml:space="preserve"> </w:t>
      </w:r>
      <w:hyperlink r:id="rId8" w:history="1">
        <w:r w:rsidR="00042DD5" w:rsidRPr="00042DD5">
          <w:rPr>
            <w:rStyle w:val="Hyperlink"/>
            <w:noProof w:val="0"/>
            <w:lang w:eastAsia="en-US"/>
            <w14:numForm w14:val="default"/>
            <w14:numSpacing w14:val="default"/>
          </w:rPr>
          <w:t>DER Roadmap webpage</w:t>
        </w:r>
      </w:hyperlink>
      <w:r w:rsidR="00042DD5">
        <w:t>.</w:t>
      </w:r>
    </w:p>
    <w:p w14:paraId="2CD8483F" w14:textId="3FB62CA1" w:rsidR="009362BC" w:rsidRPr="009362BC" w:rsidRDefault="009362BC" w:rsidP="009362BC">
      <w:pPr>
        <w:rPr>
          <w:rFonts w:cs="Tahoma"/>
          <w:szCs w:val="22"/>
        </w:rPr>
      </w:pPr>
    </w:p>
    <w:p w14:paraId="00585EA6" w14:textId="59599885" w:rsidR="009362BC" w:rsidRPr="009362BC" w:rsidRDefault="009362BC" w:rsidP="009362BC">
      <w:pPr>
        <w:rPr>
          <w:rFonts w:cs="Tahoma"/>
          <w:szCs w:val="22"/>
        </w:rPr>
      </w:pPr>
      <w:r w:rsidRPr="009362BC">
        <w:rPr>
          <w:rFonts w:cs="Tahoma"/>
          <w:b/>
          <w:szCs w:val="22"/>
        </w:rPr>
        <w:t xml:space="preserve">Please provide feedback by </w:t>
      </w:r>
      <w:r w:rsidR="001E65FA">
        <w:rPr>
          <w:rFonts w:cs="Tahoma"/>
          <w:b/>
          <w:color w:val="FF0000"/>
          <w:szCs w:val="22"/>
        </w:rPr>
        <w:t>September 16, 2022</w:t>
      </w:r>
      <w:r w:rsidRPr="009362BC">
        <w:rPr>
          <w:rFonts w:cs="Tahoma"/>
          <w:b/>
          <w:color w:val="FF0000"/>
          <w:szCs w:val="22"/>
        </w:rPr>
        <w:t xml:space="preserve"> </w:t>
      </w:r>
      <w:r w:rsidRPr="009362BC">
        <w:rPr>
          <w:rFonts w:cs="Tahoma"/>
          <w:b/>
          <w:szCs w:val="22"/>
        </w:rPr>
        <w:t xml:space="preserve">to </w:t>
      </w:r>
      <w:hyperlink r:id="rId9" w:history="1">
        <w:r w:rsidRPr="009362BC">
          <w:rPr>
            <w:rStyle w:val="Hyperlink"/>
            <w:rFonts w:cs="Tahoma"/>
            <w:b/>
            <w:szCs w:val="22"/>
          </w:rPr>
          <w:t>engagement@ieso.ca</w:t>
        </w:r>
      </w:hyperlink>
      <w:r w:rsidRPr="009362BC">
        <w:rPr>
          <w:rFonts w:cs="Tahoma"/>
          <w:b/>
          <w:szCs w:val="22"/>
        </w:rPr>
        <w:t xml:space="preserve">. </w:t>
      </w:r>
      <w:r w:rsidRPr="009362BC">
        <w:rPr>
          <w:rFonts w:cs="Tahoma"/>
          <w:szCs w:val="22"/>
        </w:rPr>
        <w:t xml:space="preserve">Please use subject: </w:t>
      </w:r>
      <w:r w:rsidRPr="009362BC">
        <w:rPr>
          <w:rFonts w:cs="Tahoma"/>
          <w:i/>
          <w:szCs w:val="22"/>
        </w:rPr>
        <w:t xml:space="preserve">Feedback: </w:t>
      </w:r>
      <w:r w:rsidR="00042DD5">
        <w:rPr>
          <w:rFonts w:cs="Tahoma"/>
          <w:i/>
          <w:szCs w:val="22"/>
        </w:rPr>
        <w:t>Regional Planning Process Review Update</w:t>
      </w:r>
      <w:r w:rsidRPr="009362BC">
        <w:rPr>
          <w:rFonts w:cs="Tahoma"/>
          <w:szCs w:val="22"/>
        </w:rPr>
        <w:t xml:space="preserve">. To promote transparency, this feedback will be posted on </w:t>
      </w:r>
      <w:r w:rsidR="0040480E">
        <w:rPr>
          <w:rFonts w:cs="Tahoma"/>
          <w:szCs w:val="22"/>
        </w:rPr>
        <w:t xml:space="preserve">the </w:t>
      </w:r>
      <w:hyperlink r:id="rId10" w:history="1">
        <w:r w:rsidR="00042DD5" w:rsidRPr="00042DD5">
          <w:rPr>
            <w:rStyle w:val="Hyperlink"/>
            <w:noProof w:val="0"/>
            <w:lang w:eastAsia="en-US"/>
            <w14:numForm w14:val="default"/>
            <w14:numSpacing w14:val="default"/>
          </w:rPr>
          <w:t>DER Roadmap webpage</w:t>
        </w:r>
      </w:hyperlink>
      <w:r w:rsidRPr="009362BC">
        <w:rPr>
          <w:rFonts w:cs="Tahoma"/>
          <w:szCs w:val="22"/>
        </w:rPr>
        <w:t xml:space="preserve"> unless otherwise requested by the sender.  </w:t>
      </w:r>
    </w:p>
    <w:p w14:paraId="5933BDE6" w14:textId="77777777" w:rsidR="009362BC" w:rsidRPr="009362BC" w:rsidRDefault="009362BC" w:rsidP="009362BC">
      <w:pPr>
        <w:rPr>
          <w:rFonts w:cs="Tahoma"/>
          <w:szCs w:val="22"/>
        </w:rPr>
      </w:pPr>
    </w:p>
    <w:p w14:paraId="280CE50C" w14:textId="0B511A64" w:rsidR="009B6BAE" w:rsidRDefault="009362BC" w:rsidP="00BF6E43">
      <w:pPr>
        <w:pStyle w:val="BodyText"/>
        <w:rPr>
          <w:rFonts w:cs="Tahoma"/>
          <w:szCs w:val="22"/>
        </w:rPr>
      </w:pPr>
      <w:r w:rsidRPr="009362BC">
        <w:rPr>
          <w:rFonts w:cs="Tahoma"/>
          <w:szCs w:val="22"/>
        </w:rPr>
        <w:t>Thank you for your time.</w:t>
      </w:r>
    </w:p>
    <w:p w14:paraId="416E2C98" w14:textId="77777777" w:rsidR="00042DD5" w:rsidRPr="00BF6E43" w:rsidRDefault="00042DD5" w:rsidP="00BF6E43">
      <w:pPr>
        <w:pStyle w:val="BodyText"/>
        <w:rPr>
          <w:rFonts w:cs="Tahoma"/>
          <w:szCs w:val="22"/>
        </w:rPr>
      </w:pPr>
    </w:p>
    <w:p w14:paraId="4358B92E" w14:textId="41590DEA" w:rsidR="00C04795" w:rsidRPr="004200EA" w:rsidRDefault="001E65FA" w:rsidP="00EF1F49">
      <w:pPr>
        <w:pStyle w:val="Heading3"/>
      </w:pPr>
      <w:bookmarkStart w:id="1" w:name="_Toc35868671"/>
      <w:r>
        <w:lastRenderedPageBreak/>
        <w:t>Hourly Load Forecasting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4200EA" w:rsidRPr="006B7128" w14:paraId="1F6F248C" w14:textId="77777777" w:rsidTr="00D2041D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1E65FA">
        <w:trPr>
          <w:cantSplit/>
          <w:trHeight w:val="733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05D9C244" w14:textId="3AC31769" w:rsidR="004200EA" w:rsidRPr="006B7128" w:rsidRDefault="001E65FA" w:rsidP="00042DD5">
            <w:pPr>
              <w:spacing w:after="0" w:line="240" w:lineRule="auto"/>
            </w:pPr>
            <w:r w:rsidRPr="001E65FA">
              <w:t>What other data or considerations should we include in hourly load profiling? 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DFE4F0C" w14:textId="001F8336" w:rsidR="004200EA" w:rsidRPr="006D7540" w:rsidRDefault="004200EA" w:rsidP="00DC09F6">
            <w:pPr>
              <w:pStyle w:val="TableNumeralsLeftAlignment"/>
            </w:pPr>
          </w:p>
        </w:tc>
      </w:tr>
    </w:tbl>
    <w:p w14:paraId="2B25E991" w14:textId="35DEBFE3" w:rsidR="00BF6E43" w:rsidRPr="004200EA" w:rsidRDefault="00AF7C94" w:rsidP="00BF6E43">
      <w:pPr>
        <w:pStyle w:val="Heading3"/>
      </w:pPr>
      <w:r>
        <w:t>Non-Wires Options Analysis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BF6E43" w:rsidRPr="006B7128" w14:paraId="28D2E16A" w14:textId="77777777" w:rsidTr="000C16DD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687E2BE0" w14:textId="77777777" w:rsidR="00BF6E43" w:rsidRPr="003A3754" w:rsidRDefault="00BF6E43" w:rsidP="000C16DD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B662629" w14:textId="77777777" w:rsidR="00BF6E43" w:rsidRPr="006B7128" w:rsidRDefault="00BF6E43" w:rsidP="000C16DD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BF6E43" w:rsidRPr="006B7128" w14:paraId="6F78933C" w14:textId="77777777" w:rsidTr="001E65FA">
        <w:trPr>
          <w:cantSplit/>
          <w:trHeight w:val="850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3D1E7646" w14:textId="1F4651F3" w:rsidR="00BF6E43" w:rsidRPr="006B7128" w:rsidRDefault="001E65FA" w:rsidP="000233D4">
            <w:pPr>
              <w:spacing w:after="0" w:line="240" w:lineRule="auto"/>
            </w:pPr>
            <w:r w:rsidRPr="001E65FA">
              <w:t>Are there any other NWAs or opportunities that should be considered in the IRRP's options analysis? How can the options analysis methodology be improved?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54AC424E" w14:textId="77777777" w:rsidR="00BF6E43" w:rsidRPr="006D7540" w:rsidRDefault="00BF6E43" w:rsidP="000C16DD">
            <w:pPr>
              <w:pStyle w:val="TableNumeralsLeftAlignment"/>
            </w:pPr>
          </w:p>
        </w:tc>
      </w:tr>
      <w:tr w:rsidR="00C32337" w:rsidRPr="006B7128" w14:paraId="490D79D2" w14:textId="77777777" w:rsidTr="000C16DD">
        <w:trPr>
          <w:cantSplit/>
          <w:trHeight w:val="93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505C9C1A" w14:textId="07F2DE90" w:rsidR="00C32337" w:rsidRPr="001E65FA" w:rsidRDefault="001E65FA" w:rsidP="000233D4">
            <w:pPr>
              <w:spacing w:after="0" w:line="240" w:lineRule="auto"/>
            </w:pPr>
            <w:r w:rsidRPr="001E65FA">
              <w:t>Are there operational considerations that should be accounted for when assessing non-wires solution that relies on a dispatch component? For example, does the current storage sizing approach sufficiently account for how it could be operated in today's system? If not, what improvements would be needed?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BDD6F8F" w14:textId="77777777" w:rsidR="00C32337" w:rsidRPr="006D7540" w:rsidRDefault="00C32337" w:rsidP="000C16DD">
            <w:pPr>
              <w:pStyle w:val="TableNumeralsLeftAlignment"/>
            </w:pPr>
          </w:p>
        </w:tc>
      </w:tr>
    </w:tbl>
    <w:p w14:paraId="3BD88D50" w14:textId="61E26A10" w:rsidR="00D2041D" w:rsidRDefault="00D2041D" w:rsidP="00D2041D">
      <w:pPr>
        <w:pStyle w:val="Heading3"/>
      </w:pPr>
      <w:r>
        <w:t>General Comments/Feedback</w:t>
      </w:r>
    </w:p>
    <w:bookmarkEnd w:id="1"/>
    <w:p w14:paraId="0EA7A0E8" w14:textId="77777777" w:rsidR="00D56CDF" w:rsidRPr="003B554C" w:rsidRDefault="00D56CDF" w:rsidP="00456376">
      <w:pPr>
        <w:pStyle w:val="BodyText"/>
      </w:pPr>
    </w:p>
    <w:sectPr w:rsidR="00D56CDF" w:rsidRPr="003B554C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F3F6D" w14:textId="77777777" w:rsidR="00E80766" w:rsidRDefault="00E80766" w:rsidP="00F83314">
      <w:r>
        <w:separator/>
      </w:r>
    </w:p>
    <w:p w14:paraId="22A0EA6D" w14:textId="77777777" w:rsidR="00E80766" w:rsidRDefault="00E80766"/>
  </w:endnote>
  <w:endnote w:type="continuationSeparator" w:id="0">
    <w:p w14:paraId="5B97D532" w14:textId="77777777" w:rsidR="00E80766" w:rsidRDefault="00E80766" w:rsidP="00F83314">
      <w:r>
        <w:continuationSeparator/>
      </w:r>
    </w:p>
    <w:p w14:paraId="6ADACB82" w14:textId="77777777" w:rsidR="00E80766" w:rsidRDefault="00E807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2A73AAF6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E661E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105A9FEC" w:rsidR="00C6016F" w:rsidRDefault="00042DD5" w:rsidP="00871E07">
    <w:pPr>
      <w:pStyle w:val="Footer"/>
      <w:ind w:right="360"/>
    </w:pPr>
    <w:r>
      <w:t>Regional Planning Process Review Update</w:t>
    </w:r>
    <w:r w:rsidR="00FC7434">
      <w:t xml:space="preserve">, </w:t>
    </w:r>
    <w:r w:rsidR="001E65FA">
      <w:t>25</w:t>
    </w:r>
    <w:r w:rsidR="00FC7434">
      <w:t>/</w:t>
    </w:r>
    <w:r w:rsidR="001E65FA">
      <w:t>August</w:t>
    </w:r>
    <w:r w:rsidR="00FC7434">
      <w:t>/</w:t>
    </w:r>
    <w:r w:rsidR="001E65FA"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62F4C461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AE661E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D4F84" w14:textId="77777777" w:rsidR="00E80766" w:rsidRDefault="00E80766">
      <w:r>
        <w:separator/>
      </w:r>
    </w:p>
  </w:footnote>
  <w:footnote w:type="continuationSeparator" w:id="0">
    <w:p w14:paraId="4A4529F8" w14:textId="77777777" w:rsidR="00E80766" w:rsidRDefault="00E80766" w:rsidP="00F83314">
      <w:r>
        <w:continuationSeparator/>
      </w:r>
    </w:p>
    <w:p w14:paraId="5A67F299" w14:textId="77777777" w:rsidR="00E80766" w:rsidRDefault="00E807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0C293332"/>
    <w:multiLevelType w:val="hybridMultilevel"/>
    <w:tmpl w:val="8DC08184"/>
    <w:lvl w:ilvl="0" w:tplc="08225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C80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0A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5A2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A00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AC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C04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14B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2C6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FF9074A"/>
    <w:multiLevelType w:val="hybridMultilevel"/>
    <w:tmpl w:val="A40E44D2"/>
    <w:lvl w:ilvl="0" w:tplc="958A7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6094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F60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608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D61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926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D4A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062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1E8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C0C37B3"/>
    <w:multiLevelType w:val="hybridMultilevel"/>
    <w:tmpl w:val="2D50CABC"/>
    <w:lvl w:ilvl="0" w:tplc="4446A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A27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08F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8A8C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98E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C6A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3C0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42E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B41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2362CF9"/>
    <w:multiLevelType w:val="hybridMultilevel"/>
    <w:tmpl w:val="31CCAB06"/>
    <w:lvl w:ilvl="0" w:tplc="B8E25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EA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3EC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F60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21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F43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402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569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E05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46C09E0"/>
    <w:multiLevelType w:val="hybridMultilevel"/>
    <w:tmpl w:val="0AC43DB0"/>
    <w:lvl w:ilvl="0" w:tplc="F75AF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480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A0D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70B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6C0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886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867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82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B08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75111D2"/>
    <w:multiLevelType w:val="hybridMultilevel"/>
    <w:tmpl w:val="A62EC412"/>
    <w:lvl w:ilvl="0" w:tplc="6240A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20D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62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A84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60F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F6B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486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667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445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AF93B4F"/>
    <w:multiLevelType w:val="hybridMultilevel"/>
    <w:tmpl w:val="2ACADE4E"/>
    <w:lvl w:ilvl="0" w:tplc="D0607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AC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E5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24D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16D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E8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63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148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48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D804E08"/>
    <w:multiLevelType w:val="hybridMultilevel"/>
    <w:tmpl w:val="9D72C858"/>
    <w:lvl w:ilvl="0" w:tplc="4C3E7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361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78F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80A6D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C65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8EC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C08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A4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22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10963AD"/>
    <w:multiLevelType w:val="hybridMultilevel"/>
    <w:tmpl w:val="56B6FC1A"/>
    <w:lvl w:ilvl="0" w:tplc="FA3EC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6F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C81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807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20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AC3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05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EEA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780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2C4272A"/>
    <w:multiLevelType w:val="hybridMultilevel"/>
    <w:tmpl w:val="70025742"/>
    <w:lvl w:ilvl="0" w:tplc="11CE6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CAEA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F07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C06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AE5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CC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4C5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FA2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5CE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807660B"/>
    <w:multiLevelType w:val="hybridMultilevel"/>
    <w:tmpl w:val="FB663B9A"/>
    <w:lvl w:ilvl="0" w:tplc="E884C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3C7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A21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44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A8D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6AD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2CE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46D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4E0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4ACC47B5"/>
    <w:multiLevelType w:val="hybridMultilevel"/>
    <w:tmpl w:val="3856C59C"/>
    <w:lvl w:ilvl="0" w:tplc="75F24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B4F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BCF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4A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E7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F66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5E0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08A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BA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F361778"/>
    <w:multiLevelType w:val="multilevel"/>
    <w:tmpl w:val="0409001D"/>
    <w:numStyleLink w:val="1ai"/>
  </w:abstractNum>
  <w:abstractNum w:abstractNumId="32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21A438E"/>
    <w:multiLevelType w:val="hybridMultilevel"/>
    <w:tmpl w:val="B10805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0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1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4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4"/>
  </w:num>
  <w:num w:numId="11">
    <w:abstractNumId w:val="46"/>
  </w:num>
  <w:num w:numId="12">
    <w:abstractNumId w:val="23"/>
  </w:num>
  <w:num w:numId="13">
    <w:abstractNumId w:val="32"/>
  </w:num>
  <w:num w:numId="14">
    <w:abstractNumId w:val="34"/>
  </w:num>
  <w:num w:numId="15">
    <w:abstractNumId w:val="31"/>
  </w:num>
  <w:num w:numId="16">
    <w:abstractNumId w:val="38"/>
  </w:num>
  <w:num w:numId="17">
    <w:abstractNumId w:val="12"/>
  </w:num>
  <w:num w:numId="18">
    <w:abstractNumId w:val="40"/>
  </w:num>
  <w:num w:numId="19">
    <w:abstractNumId w:val="33"/>
  </w:num>
  <w:num w:numId="20">
    <w:abstractNumId w:val="41"/>
  </w:num>
  <w:num w:numId="21">
    <w:abstractNumId w:val="39"/>
  </w:num>
  <w:num w:numId="22">
    <w:abstractNumId w:val="43"/>
  </w:num>
  <w:num w:numId="23">
    <w:abstractNumId w:val="25"/>
  </w:num>
  <w:num w:numId="24">
    <w:abstractNumId w:val="29"/>
  </w:num>
  <w:num w:numId="25">
    <w:abstractNumId w:val="45"/>
  </w:num>
  <w:num w:numId="26">
    <w:abstractNumId w:val="22"/>
  </w:num>
  <w:num w:numId="27">
    <w:abstractNumId w:val="47"/>
  </w:num>
  <w:num w:numId="28">
    <w:abstractNumId w:val="26"/>
  </w:num>
  <w:num w:numId="29">
    <w:abstractNumId w:val="44"/>
  </w:num>
  <w:num w:numId="30">
    <w:abstractNumId w:val="24"/>
  </w:num>
  <w:num w:numId="31">
    <w:abstractNumId w:val="35"/>
  </w:num>
  <w:num w:numId="32">
    <w:abstractNumId w:val="42"/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20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36"/>
  </w:num>
  <w:num w:numId="39">
    <w:abstractNumId w:val="11"/>
  </w:num>
  <w:num w:numId="40">
    <w:abstractNumId w:val="27"/>
  </w:num>
  <w:num w:numId="41">
    <w:abstractNumId w:val="13"/>
  </w:num>
  <w:num w:numId="42">
    <w:abstractNumId w:val="19"/>
  </w:num>
  <w:num w:numId="43">
    <w:abstractNumId w:val="21"/>
  </w:num>
  <w:num w:numId="44">
    <w:abstractNumId w:val="28"/>
  </w:num>
  <w:num w:numId="45">
    <w:abstractNumId w:val="16"/>
  </w:num>
  <w:num w:numId="46">
    <w:abstractNumId w:val="18"/>
  </w:num>
  <w:num w:numId="47">
    <w:abstractNumId w:val="10"/>
  </w:num>
  <w:num w:numId="48">
    <w:abstractNumId w:val="15"/>
  </w:num>
  <w:num w:numId="49">
    <w:abstractNumId w:val="30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33D4"/>
    <w:rsid w:val="00027E00"/>
    <w:rsid w:val="00031023"/>
    <w:rsid w:val="00032FAC"/>
    <w:rsid w:val="0003386C"/>
    <w:rsid w:val="000424C0"/>
    <w:rsid w:val="00042DD5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382A"/>
    <w:rsid w:val="000C4332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E65FA"/>
    <w:rsid w:val="001F21B1"/>
    <w:rsid w:val="002040D1"/>
    <w:rsid w:val="00206BC2"/>
    <w:rsid w:val="002206A7"/>
    <w:rsid w:val="002273F3"/>
    <w:rsid w:val="00230E09"/>
    <w:rsid w:val="00235EFD"/>
    <w:rsid w:val="00245326"/>
    <w:rsid w:val="00246D29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B2B29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565EA"/>
    <w:rsid w:val="00371357"/>
    <w:rsid w:val="00374220"/>
    <w:rsid w:val="0037600B"/>
    <w:rsid w:val="003772C4"/>
    <w:rsid w:val="00383086"/>
    <w:rsid w:val="00390B42"/>
    <w:rsid w:val="00391AA6"/>
    <w:rsid w:val="003B07BF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0480E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0C7D"/>
    <w:rsid w:val="00536D37"/>
    <w:rsid w:val="00540C81"/>
    <w:rsid w:val="00546F8B"/>
    <w:rsid w:val="00570A60"/>
    <w:rsid w:val="00571735"/>
    <w:rsid w:val="00573F2B"/>
    <w:rsid w:val="0057575C"/>
    <w:rsid w:val="00575A86"/>
    <w:rsid w:val="00575FBB"/>
    <w:rsid w:val="00581BCC"/>
    <w:rsid w:val="00585866"/>
    <w:rsid w:val="00586D7F"/>
    <w:rsid w:val="00592798"/>
    <w:rsid w:val="0059293A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5F73E2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423B"/>
    <w:rsid w:val="00750BE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21FD8"/>
    <w:rsid w:val="00823D2B"/>
    <w:rsid w:val="00831390"/>
    <w:rsid w:val="00836072"/>
    <w:rsid w:val="0084165E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62BC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95F4D"/>
    <w:rsid w:val="009A702B"/>
    <w:rsid w:val="009B0889"/>
    <w:rsid w:val="009B09EE"/>
    <w:rsid w:val="009B6BAE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7C08"/>
    <w:rsid w:val="00A60FEE"/>
    <w:rsid w:val="00A677AB"/>
    <w:rsid w:val="00A7072C"/>
    <w:rsid w:val="00A71078"/>
    <w:rsid w:val="00A71F50"/>
    <w:rsid w:val="00A74A06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AE661E"/>
    <w:rsid w:val="00AF7C94"/>
    <w:rsid w:val="00B04816"/>
    <w:rsid w:val="00B141CC"/>
    <w:rsid w:val="00B15B1B"/>
    <w:rsid w:val="00B27004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BF6E43"/>
    <w:rsid w:val="00C01175"/>
    <w:rsid w:val="00C04795"/>
    <w:rsid w:val="00C31D32"/>
    <w:rsid w:val="00C32337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082F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09F6"/>
    <w:rsid w:val="00DC2622"/>
    <w:rsid w:val="00DC45E1"/>
    <w:rsid w:val="00DC5459"/>
    <w:rsid w:val="00DD3947"/>
    <w:rsid w:val="00DD5A3D"/>
    <w:rsid w:val="00DE026B"/>
    <w:rsid w:val="00DF2962"/>
    <w:rsid w:val="00E0178C"/>
    <w:rsid w:val="00E07446"/>
    <w:rsid w:val="00E14A79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0766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3A30"/>
    <w:rsid w:val="00F4484E"/>
    <w:rsid w:val="00F44FFB"/>
    <w:rsid w:val="00F54067"/>
    <w:rsid w:val="00F71CFB"/>
    <w:rsid w:val="00F73209"/>
    <w:rsid w:val="00F81023"/>
    <w:rsid w:val="00F83314"/>
    <w:rsid w:val="00F86E4D"/>
    <w:rsid w:val="00F87095"/>
    <w:rsid w:val="00F93C15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456376"/>
    <w:rPr>
      <w:noProof/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456376"/>
    <w:rPr>
      <w:rFonts w:ascii="Tahoma" w:hAnsi="Tahoma" w:cs="Times New Roman (Body CS)"/>
      <w:noProof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DC09F6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5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5E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7090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5572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772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7792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8649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0933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19750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5433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0123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8718">
          <w:marLeft w:val="57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4851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2357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Distributed-Energy-Resources-Roadma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eso.ca/en/Sector-Participants/Engagement-Initiatives/Engagements/Distributed-Energy-Resources-Roadma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agement@ieso.ca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5F43"/>
    <w:rsid w:val="00884744"/>
    <w:rsid w:val="00B513C0"/>
    <w:rsid w:val="00D4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DB571D-911C-413E-A145-661992C8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Banner Title</vt:lpstr>
    </vt:vector>
  </TitlesOfParts>
  <Manager/>
  <Company>Independent Electricity System Operator</Company>
  <LinksUpToDate>false</LinksUpToDate>
  <CharactersWithSpaces>2097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Planning Process Review Update – August 25, 2022 Feedback</dc:title>
  <dc:subject/>
  <dc:creator>Independent Electricity System Operator (IESO)</dc:creator>
  <cp:keywords/>
  <dc:description/>
  <cp:lastModifiedBy>Daniela Drazic</cp:lastModifiedBy>
  <cp:revision>4</cp:revision>
  <cp:lastPrinted>2020-04-17T18:00:00Z</cp:lastPrinted>
  <dcterms:created xsi:type="dcterms:W3CDTF">2022-08-16T14:25:00Z</dcterms:created>
  <dcterms:modified xsi:type="dcterms:W3CDTF">2022-08-18T15:48:00Z</dcterms:modified>
  <cp:category/>
</cp:coreProperties>
</file>