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49AA9DA9" wp14:editId="66217A2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282000" cy="1461600"/>
                <wp:effectExtent l="0" t="0" r="5080" b="5715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000" cy="1461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0;width:494.65pt;height:115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byogIAAOMFAAAOAAAAZHJzL2Uyb0RvYy54bWysVE1v2zAMvQ/YfxB0Xx0bXVAEcYqgRYcB&#10;RVusHXpWZCk2IIsapSTOfv0o+SNt1+0w7CJTEvnE90xyedm1hu0V+gZsyfOzGWfKSqgauy3596eb&#10;Txec+SBsJQxYVfKj8vxy9fHD8uAWqoAaTKWQEYj1i4MreR2CW2SZl7VqhT8DpyxdasBWBNriNqtQ&#10;HAi9NVkxm82zA2DlEKTynk6v+0u+SvhaKxnutfYqMFNyyi2kFdO6iWu2WorFFoWrGzmkIf4hi1Y0&#10;lh6doK5FEGyHzW9QbSMRPOhwJqHNQOtGqsSB2OSzN2wea+FU4kLieDfJ5P8frLzbP7oHJBkOzi88&#10;mZFFp7GNX8qPdUms4ySW6gKTdDgvLugHkKaS7vLzeT6nDeFkp3CHPnxR0LJolBzpbySRxP7Wh951&#10;dBm0q24aY5LtyaU3mAMiPEuRqS7UlUG2F/RHQ1cMT279S+ecEqNs4tGbCCGlsuH8RRTlux0fM41l&#10;IlYu0fJSGFUNtKMTiik7YyO0hZhtzyOeZCcJkxWORkU/Y78pzZqKRCv+nFPeX9WiUj25z4lDDz+x&#10;SPomwIis6f0JewCInXNSqOebD3wH/xiqUnNMwX8RawyeItLLYMMU3DYW8D1mJozBuvcfReqliSqF&#10;btMRx2huoDo+IEPou9Q7edNQ4dwKHx4EUlvSX6FRE+5p0QYOJYfB4qwG/PneefSnbqFbzg7U5iX3&#10;P3YCFWfmq6WyKoqLWLcsvNrhq93m1c7u2iug2supRJxMJsVjMKOpEdpnmkrr+DJdCSvpfSrW0bwK&#10;/QCiqSbVep2caBo4EW7to5MROkocW+Opexbohv4J1Hp3MA4FsXjTRr1vjLSw3gXQTeqxk7KD+DRJ&#10;UhUNUy+Oqpf75HWazatfAAAA//8DAFBLAwQUAAYACAAAACEA6kdOk90AAAAFAQAADwAAAGRycy9k&#10;b3ducmV2LnhtbEyPwU7DMBBE70j9B2srcYmo07RCbYhTVUAlbpSWA8dtvCQR8TqynTbw9RgucFlp&#10;NKOZt8VmNJ04k/OtZQXzWQqCuLK65VrB63F3swLhA7LGzjIp+CQPm3JyVWCu7YVf6HwItYgl7HNU&#10;0ITQ51L6qiGDfmZ74ui9W2cwROlqqR1eYrnpZJamt9Jgy3GhwZ7uG6o+DoNRMD4PX9bvHh0ve5/s&#10;k+XbwzF5Uup6Om7vQAQaw18YfvAjOpSR6WQH1l50CuIj4fdGb71aL0CcFGSLNANZFvI/ffkNAAD/&#10;/wMAUEsBAi0AFAAGAAgAAAAhALaDOJL+AAAA4QEAABMAAAAAAAAAAAAAAAAAAAAAAFtDb250ZW50&#10;X1R5cGVzXS54bWxQSwECLQAUAAYACAAAACEAOP0h/9YAAACUAQAACwAAAAAAAAAAAAAAAAAvAQAA&#10;X3JlbHMvLnJlbHNQSwECLQAUAAYACAAAACEAwOzW8qICAADjBQAADgAAAAAAAAAAAAAAAAAuAgAA&#10;ZHJzL2Uyb0RvYy54bWxQSwECLQAUAAYACAAAACEA6kdOk90AAAAFAQAADwAAAAAAAAAAAAAAAAD8&#10;BAAAZHJzL2Rvd25yZXYueG1sUEsFBgAAAAAEAAQA8wAAAAYGAAAAAA==&#10;" o:allowoverlap="f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5BC5CC5" w14:textId="083B916E" w:rsidR="001216E4" w:rsidRPr="001216E4" w:rsidRDefault="00AD40DE" w:rsidP="005A3A1D">
      <w:pPr>
        <w:pStyle w:val="Heading2"/>
      </w:pPr>
      <w:r>
        <w:t>South &amp; Central Bulk Study – Data Tables</w:t>
      </w:r>
    </w:p>
    <w:p w14:paraId="26724B9F" w14:textId="34B2A089" w:rsidR="009B6BAE" w:rsidRDefault="009B6BAE" w:rsidP="006E7BD2">
      <w:pPr>
        <w:pStyle w:val="Heading3"/>
      </w:pPr>
      <w:r>
        <w:t>Feedback Provided by:</w:t>
      </w:r>
    </w:p>
    <w:p w14:paraId="59EED144" w14:textId="0B7418A0" w:rsidR="009B6BAE" w:rsidRDefault="009B6BAE" w:rsidP="006F582B">
      <w:pPr>
        <w:pStyle w:val="BodyText"/>
      </w:pPr>
      <w:r>
        <w:t xml:space="preserve">Name:  </w:t>
      </w:r>
    </w:p>
    <w:p w14:paraId="4A011DCE" w14:textId="5651949D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</w:p>
    <w:p w14:paraId="6D90F3FE" w14:textId="6C564455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</w:p>
    <w:p w14:paraId="034F6AD0" w14:textId="3AD09F7F" w:rsidR="009B6BAE" w:rsidRDefault="004C1610" w:rsidP="009B6BAE">
      <w:pPr>
        <w:pStyle w:val="BodyText"/>
      </w:pPr>
      <w:r>
        <w:t>Email</w:t>
      </w:r>
      <w:r w:rsidR="009B6BAE">
        <w:t xml:space="preserve">:  </w:t>
      </w:r>
    </w:p>
    <w:p w14:paraId="62525B5F" w14:textId="53F2BDD8" w:rsidR="004C1610" w:rsidRDefault="004C1610" w:rsidP="004C1610">
      <w:pPr>
        <w:pStyle w:val="BodyText"/>
      </w:pPr>
      <w:r>
        <w:t>Date:</w:t>
      </w:r>
    </w:p>
    <w:p w14:paraId="05474CAF" w14:textId="77777777" w:rsidR="002557A7" w:rsidRDefault="002557A7" w:rsidP="002557A7">
      <w:pPr>
        <w:pStyle w:val="Heading3"/>
      </w:pPr>
    </w:p>
    <w:p w14:paraId="1B55962A" w14:textId="75459730" w:rsidR="002557A7" w:rsidRPr="00150D29" w:rsidRDefault="000D6031" w:rsidP="00150D29">
      <w:pPr>
        <w:pStyle w:val="Call-outText"/>
      </w:pPr>
      <w:r>
        <w:t>U</w:t>
      </w:r>
      <w:r w:rsidRPr="00150D29">
        <w:t>nless otherwise requested by the sender</w:t>
      </w:r>
      <w:r>
        <w:t xml:space="preserve">, </w:t>
      </w:r>
      <w:r w:rsidR="00745668">
        <w:t xml:space="preserve">all </w:t>
      </w:r>
      <w:r w:rsidR="002557A7" w:rsidRPr="00150D29">
        <w:t xml:space="preserve">feedback </w:t>
      </w:r>
      <w:r w:rsidR="00B47878">
        <w:t xml:space="preserve">we receive </w:t>
      </w:r>
      <w:r w:rsidR="002557A7" w:rsidRPr="00150D29">
        <w:t xml:space="preserve">will be posted </w:t>
      </w:r>
      <w:r w:rsidR="00745668">
        <w:t xml:space="preserve">publicly </w:t>
      </w:r>
      <w:r w:rsidR="002557A7" w:rsidRPr="00150D29">
        <w:t xml:space="preserve">on </w:t>
      </w:r>
      <w:hyperlink r:id="rId8" w:history="1">
        <w:r w:rsidR="00CD3B10" w:rsidRPr="00CF7502">
          <w:rPr>
            <w:rStyle w:val="Hyperlink"/>
            <w:noProof w:val="0"/>
            <w:lang w:eastAsia="en-US"/>
            <w14:ligatures w14:val="standard"/>
          </w:rPr>
          <w:t>this</w:t>
        </w:r>
        <w:r w:rsidR="002557A7" w:rsidRPr="00CF7502">
          <w:rPr>
            <w:rStyle w:val="Hyperlink"/>
            <w:noProof w:val="0"/>
            <w:lang w:eastAsia="en-US"/>
            <w14:ligatures w14:val="standard"/>
          </w:rPr>
          <w:t xml:space="preserve"> </w:t>
        </w:r>
        <w:r w:rsidR="002557A7" w:rsidRPr="00CF7502">
          <w:rPr>
            <w:rStyle w:val="Hyperlink"/>
            <w:lang w:eastAsia="en-US"/>
          </w:rPr>
          <w:t>engagement webpage</w:t>
        </w:r>
      </w:hyperlink>
      <w:r w:rsidR="00F40404" w:rsidRPr="00F40404">
        <w:t xml:space="preserve"> </w:t>
      </w:r>
      <w:r w:rsidR="00F40404">
        <w:t>t</w:t>
      </w:r>
      <w:r w:rsidR="00F40404" w:rsidRPr="00150D29">
        <w:t>o promote transparency</w:t>
      </w:r>
      <w:r w:rsidR="00F40404">
        <w:t>.</w:t>
      </w:r>
    </w:p>
    <w:p w14:paraId="3B59FC07" w14:textId="4207BCA0" w:rsidR="00F55EC0" w:rsidRDefault="00F55EC0" w:rsidP="00745668">
      <w:pPr>
        <w:pStyle w:val="BodyText"/>
        <w:rPr>
          <w:rFonts w:eastAsiaTheme="minorEastAsia" w:cs="Tahoma"/>
          <w:szCs w:val="22"/>
        </w:rPr>
      </w:pPr>
      <w:r w:rsidRPr="00F55EC0">
        <w:rPr>
          <w:rFonts w:eastAsiaTheme="minorEastAsia" w:cs="Tahoma"/>
          <w:szCs w:val="22"/>
        </w:rPr>
        <w:t xml:space="preserve">The IESO has launched a </w:t>
      </w:r>
      <w:hyperlink r:id="rId9" w:history="1">
        <w:r w:rsidRPr="00F55EC0">
          <w:rPr>
            <w:rStyle w:val="Hyperlink"/>
            <w:rFonts w:eastAsiaTheme="minorEastAsia" w:cs="Tahoma"/>
            <w:noProof w:val="0"/>
            <w:szCs w:val="22"/>
          </w:rPr>
          <w:t>South and Central Bulk Planning engagement</w:t>
        </w:r>
      </w:hyperlink>
      <w:r w:rsidRPr="00F55EC0">
        <w:rPr>
          <w:rFonts w:eastAsiaTheme="minorEastAsia" w:cs="Tahoma"/>
          <w:szCs w:val="22"/>
        </w:rPr>
        <w:t xml:space="preserve"> to actively involve stakeholders and communities in shaping the future of Ontario's transmission system.</w:t>
      </w:r>
      <w:r>
        <w:rPr>
          <w:rFonts w:eastAsiaTheme="minorEastAsia" w:cs="Tahoma"/>
          <w:szCs w:val="22"/>
        </w:rPr>
        <w:t xml:space="preserve"> On September 30, 2025</w:t>
      </w:r>
      <w:r w:rsidR="006558F6">
        <w:rPr>
          <w:rFonts w:eastAsiaTheme="minorEastAsia" w:cs="Tahoma"/>
          <w:szCs w:val="22"/>
        </w:rPr>
        <w:t xml:space="preserve">, a public engagement webinar </w:t>
      </w:r>
      <w:r w:rsidR="00C67932">
        <w:rPr>
          <w:rFonts w:eastAsiaTheme="minorEastAsia" w:cs="Tahoma"/>
          <w:szCs w:val="22"/>
        </w:rPr>
        <w:t>provided</w:t>
      </w:r>
      <w:r w:rsidR="00D57F4D">
        <w:rPr>
          <w:rFonts w:eastAsiaTheme="minorEastAsia" w:cs="Tahoma"/>
          <w:szCs w:val="22"/>
        </w:rPr>
        <w:t xml:space="preserve"> an update </w:t>
      </w:r>
      <w:r w:rsidR="00C67932">
        <w:rPr>
          <w:rFonts w:eastAsiaTheme="minorEastAsia" w:cs="Tahoma"/>
          <w:szCs w:val="22"/>
        </w:rPr>
        <w:t>for</w:t>
      </w:r>
      <w:r w:rsidR="00D57F4D">
        <w:rPr>
          <w:rFonts w:eastAsiaTheme="minorEastAsia" w:cs="Tahoma"/>
          <w:szCs w:val="22"/>
        </w:rPr>
        <w:t xml:space="preserve"> Bulk Planning studies throughout Ontario. For the South &amp; Central Bulk plan, this webinar provided an update on the refined draft portfolios and the energy modelling.</w:t>
      </w:r>
    </w:p>
    <w:p w14:paraId="6BDCF23F" w14:textId="21FE39CF" w:rsidR="00B03881" w:rsidRPr="00AC295C" w:rsidRDefault="00B03881" w:rsidP="00745668">
      <w:pPr>
        <w:pStyle w:val="BodyText"/>
        <w:rPr>
          <w:rFonts w:eastAsiaTheme="minorEastAsia" w:cs="Tahoma"/>
          <w:color w:val="EE0000"/>
          <w:szCs w:val="22"/>
        </w:rPr>
      </w:pPr>
      <w:r>
        <w:rPr>
          <w:rFonts w:eastAsiaTheme="minorEastAsia" w:cs="Tahoma"/>
          <w:szCs w:val="22"/>
        </w:rPr>
        <w:t>As a follow-up to this webinar, this IESO is sharing details of the portfolios of transmission investments being considered</w:t>
      </w:r>
      <w:r w:rsidR="00A45D08">
        <w:rPr>
          <w:rFonts w:eastAsiaTheme="minorEastAsia" w:cs="Tahoma"/>
          <w:szCs w:val="22"/>
        </w:rPr>
        <w:t>, generation assumptions for each scenario in the energy model</w:t>
      </w:r>
      <w:r w:rsidR="00D13221">
        <w:rPr>
          <w:rFonts w:eastAsiaTheme="minorEastAsia" w:cs="Tahoma"/>
          <w:szCs w:val="22"/>
        </w:rPr>
        <w:t>, the sub-zonal load forecast used in the energy model, and the revised zonal diagram demarking the sub-zones created for the energy model.</w:t>
      </w:r>
      <w:r w:rsidR="00BB5DD3">
        <w:rPr>
          <w:rFonts w:eastAsiaTheme="minorEastAsia" w:cs="Tahoma"/>
          <w:szCs w:val="22"/>
        </w:rPr>
        <w:t xml:space="preserve"> </w:t>
      </w:r>
      <w:r w:rsidR="00BB5DD3" w:rsidRPr="006157DE">
        <w:rPr>
          <w:rFonts w:eastAsiaTheme="minorEastAsia" w:cs="Tahoma"/>
          <w:szCs w:val="22"/>
        </w:rPr>
        <w:t xml:space="preserve">Note that as this is still an active planning process, changes to these </w:t>
      </w:r>
      <w:r w:rsidR="00AC295C" w:rsidRPr="006157DE">
        <w:rPr>
          <w:rFonts w:eastAsiaTheme="minorEastAsia" w:cs="Tahoma"/>
          <w:szCs w:val="22"/>
        </w:rPr>
        <w:t>scenarios are still possible before a final recommendation is made.</w:t>
      </w:r>
    </w:p>
    <w:p w14:paraId="09F7886A" w14:textId="64AB129D" w:rsidR="00B65E89" w:rsidRPr="00745668" w:rsidRDefault="00555588" w:rsidP="0074566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hyperlink r:id="rId10" w:tooltip="click to open email" w:history="1">
        <w:r w:rsidR="003D2341" w:rsidRPr="00770D0C">
          <w:rPr>
            <w:rStyle w:val="Hyperlink"/>
            <w:rFonts w:eastAsiaTheme="minorEastAsia" w:cs="Tahoma"/>
            <w:b/>
            <w:noProof w:val="0"/>
            <w:szCs w:val="22"/>
            <w:lang w:val="en-US"/>
          </w:rPr>
          <w:t>engagement@ieso.ca</w:t>
        </w:r>
      </w:hyperlink>
      <w:r w:rsidR="00B7605A">
        <w:t xml:space="preserve"> </w:t>
      </w:r>
      <w:r w:rsidRPr="003D2341">
        <w:rPr>
          <w:rFonts w:eastAsiaTheme="minorEastAsia" w:cs="Tahoma"/>
          <w:b/>
          <w:szCs w:val="22"/>
          <w:lang w:val="en-US"/>
        </w:rPr>
        <w:t>by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6653AA">
        <w:rPr>
          <w:rFonts w:eastAsiaTheme="minorEastAsia" w:cs="Tahoma"/>
          <w:b/>
          <w:szCs w:val="22"/>
          <w:lang w:val="en-US"/>
        </w:rPr>
        <w:t xml:space="preserve">December </w:t>
      </w:r>
      <w:r w:rsidR="00562165">
        <w:rPr>
          <w:rFonts w:eastAsiaTheme="minorEastAsia" w:cs="Tahoma"/>
          <w:b/>
          <w:szCs w:val="22"/>
          <w:lang w:val="en-US"/>
        </w:rPr>
        <w:t>19</w:t>
      </w:r>
      <w:r w:rsidR="006653AA">
        <w:rPr>
          <w:rFonts w:eastAsiaTheme="minorEastAsia" w:cs="Tahoma"/>
          <w:b/>
          <w:szCs w:val="22"/>
          <w:lang w:val="en-US"/>
        </w:rPr>
        <w:t>, 2025.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bookmarkStart w:id="0" w:name="_Toc35868671"/>
      <w:r w:rsidR="00B65E89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</w:rPr>
        <w:br w:type="page"/>
      </w:r>
    </w:p>
    <w:p w14:paraId="3D3DE0AD" w14:textId="77777777" w:rsidR="00B65E89" w:rsidRDefault="00B65E89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4358B92E" w14:textId="4E87C71B" w:rsidR="00C04795" w:rsidRDefault="007D4E2C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r w:rsidRPr="00675670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Draft</w:t>
      </w:r>
      <w:r w:rsidRPr="007D4E2C">
        <w:rPr>
          <w:rFonts w:eastAsiaTheme="minorEastAsia" w:cs="Times New Roman (Headings CS)"/>
          <w:color w:val="EE0000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 xml:space="preserve"> </w:t>
      </w:r>
      <w:r w:rsidR="00675670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T</w:t>
      </w:r>
      <w:r w:rsidR="002B2A2C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 xml:space="preserve">ransmission </w:t>
      </w:r>
      <w:r w:rsidR="00675670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I</w:t>
      </w:r>
      <w:r w:rsidR="002B2A2C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nvestment</w:t>
      </w:r>
      <w:r w:rsidR="00C20264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 xml:space="preserve"> </w:t>
      </w:r>
      <w:r w:rsidR="00675670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Portfolios</w:t>
      </w:r>
    </w:p>
    <w:p w14:paraId="4004005D" w14:textId="77777777" w:rsidR="003269B9" w:rsidRDefault="003269B9" w:rsidP="003269B9">
      <w:pPr>
        <w:pStyle w:val="TableNumeralsLeftAlignment"/>
      </w:pPr>
    </w:p>
    <w:p w14:paraId="2E800F6F" w14:textId="5A692B89" w:rsidR="003269B9" w:rsidRPr="003269B9" w:rsidRDefault="004712B8" w:rsidP="003269B9">
      <w:pPr>
        <w:pStyle w:val="TableNumeralsLeftAlignment"/>
      </w:pPr>
      <w:r>
        <w:t>In the South and Central Bulk Data Tables</w:t>
      </w:r>
      <w:r w:rsidR="00132CFE">
        <w:t xml:space="preserve"> spreadsheet, </w:t>
      </w:r>
      <w:r w:rsidR="00675670" w:rsidRPr="00675670">
        <w:t>Tables 1 through 3</w:t>
      </w:r>
      <w:r w:rsidR="003269B9">
        <w:t xml:space="preserve"> present the </w:t>
      </w:r>
      <w:r w:rsidR="00F83CF3">
        <w:t>three</w:t>
      </w:r>
      <w:r w:rsidR="00D674E9">
        <w:t xml:space="preserve"> draft</w:t>
      </w:r>
      <w:r w:rsidR="00F83CF3">
        <w:t xml:space="preserve"> portfolios of transmission investment options being compared for the South &amp; Central Bulk Study. </w:t>
      </w:r>
      <w:r w:rsidR="00D61F3D">
        <w:t>For transmission lines, the circuit type, voltage, length, from station, to station, and other circuit details are presented.</w:t>
      </w:r>
      <w:r w:rsidR="00E07BFA">
        <w:t xml:space="preserve"> For </w:t>
      </w:r>
      <w:r w:rsidR="004C1AFC">
        <w:t>stations, details of the bus work, number of autotransformers, number of reactors, and number of capacitors are presented.</w:t>
      </w:r>
      <w:r w:rsidR="00D674E9">
        <w:t xml:space="preserve"> The draft portfolios are also mapped </w:t>
      </w:r>
      <w:r w:rsidR="0092684A">
        <w:t>in Figure 1 through 3.</w:t>
      </w:r>
    </w:p>
    <w:p w14:paraId="742C1E27" w14:textId="77777777" w:rsidR="001C65C6" w:rsidRPr="00141068" w:rsidRDefault="001C65C6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145E95C9" w:rsidR="004200EA" w:rsidRPr="006B7128" w:rsidRDefault="00AF5D62" w:rsidP="000D6031">
            <w:pPr>
              <w:pStyle w:val="TableNumeralsLeftAlignment"/>
            </w:pPr>
            <w:r>
              <w:t>Is it clear which</w:t>
            </w:r>
            <w:r w:rsidR="00C9214F">
              <w:t xml:space="preserve"> transmission</w:t>
            </w:r>
            <w:r w:rsidR="00B319C9">
              <w:t xml:space="preserve"> investment options</w:t>
            </w:r>
            <w:r>
              <w:t xml:space="preserve"> are</w:t>
            </w:r>
            <w:r w:rsidR="00B319C9">
              <w:t xml:space="preserve"> being considered </w:t>
            </w:r>
            <w:r w:rsidR="007B2291">
              <w:t>in the three scenarios presented?</w:t>
            </w:r>
            <w:r w:rsidR="004D0CFE">
              <w:t xml:space="preserve"> Is there further information </w:t>
            </w:r>
            <w:r w:rsidR="00EE454A">
              <w:t>you would require to better understand the transmission investment options?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DFE4F0C" w14:textId="718B5686" w:rsidR="00CD0C03" w:rsidRPr="006D7540" w:rsidRDefault="00CD0C03" w:rsidP="007E7433">
            <w:pPr>
              <w:pStyle w:val="TableNumeralsLeftAlignment"/>
            </w:pPr>
          </w:p>
        </w:tc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095E93BA" w:rsidR="00141068" w:rsidRDefault="000F0178" w:rsidP="000D6031">
            <w:pPr>
              <w:pStyle w:val="TableNumeralsLeftAlignment"/>
            </w:pPr>
            <w:r>
              <w:t xml:space="preserve">What feedback do you have </w:t>
            </w:r>
            <w:r w:rsidR="00C20264">
              <w:t>on the transmission investment options?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5B95F8A" w14:textId="12BE339E" w:rsidR="00141068" w:rsidRDefault="00141068" w:rsidP="007E7433">
            <w:pPr>
              <w:pStyle w:val="TableNumeralsLeftAlignment"/>
            </w:pPr>
          </w:p>
        </w:tc>
      </w:tr>
    </w:tbl>
    <w:p w14:paraId="58B5F895" w14:textId="0CB0140E" w:rsidR="00CD3B10" w:rsidRDefault="00CD3B10" w:rsidP="00CD3B10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79F9236E" w14:textId="77777777" w:rsidR="002478A4" w:rsidRDefault="002478A4" w:rsidP="002478A4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27AE7464" w14:textId="77777777" w:rsidR="00504312" w:rsidRDefault="00504312" w:rsidP="002478A4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r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Energy Modelling Assumptions</w:t>
      </w:r>
    </w:p>
    <w:p w14:paraId="10E54B18" w14:textId="77777777" w:rsidR="00504312" w:rsidRDefault="00504312" w:rsidP="002478A4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47F5AEAA" w14:textId="6A0FD974" w:rsidR="00E95D25" w:rsidRPr="00E95D25" w:rsidRDefault="00132CFE" w:rsidP="00504312">
      <w:pPr>
        <w:spacing w:after="0" w:line="240" w:lineRule="auto"/>
        <w:rPr>
          <w:rFonts w:eastAsia="Times New Roman" w:cs="Tahoma"/>
          <w:szCs w:val="15"/>
          <w:lang w:val="en-US"/>
          <w14:ligatures w14:val="standard"/>
          <w14:numForm w14:val="lining"/>
          <w14:numSpacing w14:val="tabular"/>
        </w:rPr>
      </w:pPr>
      <w:r>
        <w:t xml:space="preserve">In the South and Central Bulk Data Tables spreadsheet, </w:t>
      </w:r>
      <w:r w:rsidR="00652316" w:rsidRPr="00504312">
        <w:rPr>
          <w:rFonts w:eastAsia="Times New Roman" w:cs="Tahoma"/>
          <w:bCs/>
          <w:szCs w:val="15"/>
          <w:lang w:val="en-US"/>
          <w14:ligatures w14:val="standard"/>
          <w14:numForm w14:val="lining"/>
          <w14:numSpacing w14:val="tabular"/>
        </w:rPr>
        <w:t xml:space="preserve">Tables 4 through 6 and Figure </w:t>
      </w:r>
      <w:r w:rsidR="00504312">
        <w:rPr>
          <w:rFonts w:eastAsia="Times New Roman" w:cs="Tahoma"/>
          <w:bCs/>
          <w:szCs w:val="15"/>
          <w:lang w:val="en-US"/>
          <w14:ligatures w14:val="standard"/>
          <w14:numForm w14:val="lining"/>
          <w14:numSpacing w14:val="tabular"/>
        </w:rPr>
        <w:t>1 present the g</w:t>
      </w:r>
      <w:r w:rsidR="004E1C27" w:rsidRPr="00504312">
        <w:rPr>
          <w:rFonts w:eastAsia="Times New Roman" w:cs="Tahoma"/>
          <w:bCs/>
          <w:szCs w:val="15"/>
          <w:lang w:val="en-US"/>
          <w14:ligatures w14:val="standard"/>
          <w14:numForm w14:val="lining"/>
          <w14:numSpacing w14:val="tabular"/>
        </w:rPr>
        <w:t xml:space="preserve">eneration and load assumptions, transmission interface limits, and the </w:t>
      </w:r>
      <w:r w:rsidR="008F22E4" w:rsidRPr="00504312">
        <w:rPr>
          <w:rFonts w:eastAsia="Times New Roman" w:cs="Tahoma"/>
          <w:bCs/>
          <w:szCs w:val="15"/>
          <w:lang w:val="en-US"/>
          <w14:ligatures w14:val="standard"/>
          <w14:numForm w14:val="lining"/>
          <w14:numSpacing w14:val="tabular"/>
        </w:rPr>
        <w:t xml:space="preserve">zonal bubble diagram </w:t>
      </w:r>
      <w:r w:rsidR="00AD2B3F" w:rsidRPr="00504312">
        <w:rPr>
          <w:rFonts w:eastAsia="Times New Roman" w:cs="Tahoma"/>
          <w:bCs/>
          <w:szCs w:val="15"/>
          <w:lang w:val="en-US"/>
          <w14:ligatures w14:val="standard"/>
          <w14:numForm w14:val="lining"/>
          <w14:numSpacing w14:val="tabular"/>
        </w:rPr>
        <w:t>for energy modelling</w:t>
      </w:r>
      <w:r w:rsidR="00504312">
        <w:rPr>
          <w:rFonts w:eastAsia="Times New Roman" w:cs="Tahoma"/>
          <w:bCs/>
          <w:szCs w:val="15"/>
          <w:lang w:val="en-US"/>
          <w14:ligatures w14:val="standard"/>
          <w14:numForm w14:val="lining"/>
          <w14:numSpacing w14:val="tabular"/>
        </w:rPr>
        <w:t xml:space="preserve">. </w:t>
      </w:r>
      <w:r w:rsidR="009A6E4D">
        <w:t xml:space="preserve">Each of the three portfolios </w:t>
      </w:r>
      <w:r w:rsidR="00444DA9">
        <w:t xml:space="preserve">presented in Tables 1 through 3 will be assessed through the energy modelling exercise under three </w:t>
      </w:r>
      <w:r w:rsidR="00B9728B">
        <w:t>different generation scenarios</w:t>
      </w:r>
      <w:r w:rsidR="00552C53">
        <w:t xml:space="preserve">. </w:t>
      </w:r>
      <w:r w:rsidR="00BA4BCB">
        <w:t xml:space="preserve">Table 4 presents the generation assumptions </w:t>
      </w:r>
      <w:r w:rsidR="00940FAB">
        <w:t xml:space="preserve">broken down by zone and by resource type. </w:t>
      </w:r>
      <w:r w:rsidR="00601539">
        <w:t xml:space="preserve">Table 5 presents the </w:t>
      </w:r>
      <w:r w:rsidR="00AE3158">
        <w:t>peak load assumptions by zone,</w:t>
      </w:r>
      <w:r w:rsidR="00E4488D">
        <w:t xml:space="preserve"> </w:t>
      </w:r>
      <w:r w:rsidR="00635D72">
        <w:t xml:space="preserve">based </w:t>
      </w:r>
      <w:r w:rsidR="00EC632E">
        <w:t xml:space="preserve">on the IESO’s </w:t>
      </w:r>
      <w:hyperlink r:id="rId11" w:history="1">
        <w:r w:rsidR="00EC632E" w:rsidRPr="00E4488D">
          <w:rPr>
            <w:rStyle w:val="Hyperlink"/>
            <w:noProof w:val="0"/>
            <w:lang w:eastAsia="en-US"/>
            <w14:numForm w14:val="default"/>
            <w14:numSpacing w14:val="default"/>
          </w:rPr>
          <w:t>2025 Annual Planning Outlook</w:t>
        </w:r>
      </w:hyperlink>
      <w:r w:rsidR="00EC632E">
        <w:t>,</w:t>
      </w:r>
      <w:r w:rsidR="00AE3158">
        <w:t xml:space="preserve"> which do not vary by portfolio or generation scenario. </w:t>
      </w:r>
      <w:r w:rsidR="003E4544">
        <w:t>T</w:t>
      </w:r>
      <w:r w:rsidR="00207011">
        <w:t xml:space="preserve">able 6 provides the interface names and their definitions – as depicted in the zonal bubble diagram </w:t>
      </w:r>
      <w:r w:rsidR="00395360">
        <w:t xml:space="preserve">– as well as the interface limit in megawatts (MW). </w:t>
      </w:r>
      <w:r w:rsidR="00B835AE">
        <w:t xml:space="preserve">These are </w:t>
      </w:r>
      <w:r w:rsidR="00FF0A57">
        <w:t>the summer interface limits prior to any of the portfolio investments coming into service.</w:t>
      </w:r>
      <w:r w:rsidR="003E4544">
        <w:t xml:space="preserve"> Finally, Figure 1 depicts the zonal definitions used in the energy modelling as a bubble diagram.</w:t>
      </w:r>
      <w:r w:rsidR="00871FD7">
        <w:t xml:space="preserve"> Th</w:t>
      </w:r>
      <w:r w:rsidR="00882299">
        <w:t>e</w:t>
      </w:r>
      <w:r w:rsidR="00D50908">
        <w:t xml:space="preserve"> energy modelling aggregates generation resources and load within a zone and simulates the economic transfer</w:t>
      </w:r>
      <w:r w:rsidR="00F8213F">
        <w:t xml:space="preserve"> of generation between zones constrained by the interface limits. </w:t>
      </w:r>
      <w:r w:rsidR="002D71E9">
        <w:t xml:space="preserve">The IESO controlled grid is currently divided into </w:t>
      </w:r>
      <w:r w:rsidR="00F66FAE">
        <w:t>ten zones which have been further divided into fourteen zones for the purpose of this study.</w:t>
      </w:r>
    </w:p>
    <w:p w14:paraId="0F9060E1" w14:textId="77777777" w:rsidR="002478A4" w:rsidRPr="00141068" w:rsidRDefault="002478A4" w:rsidP="002478A4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2478A4" w:rsidRPr="006B7128" w14:paraId="6DC74D5D" w14:textId="77777777" w:rsidTr="00D2246D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30E140BA" w14:textId="77777777" w:rsidR="002478A4" w:rsidRPr="003A3754" w:rsidRDefault="002478A4" w:rsidP="00D2246D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C7CE0C2" w14:textId="77777777" w:rsidR="002478A4" w:rsidRPr="006B7128" w:rsidRDefault="002478A4" w:rsidP="00D2246D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2478A4" w:rsidRPr="006B7128" w14:paraId="0FA06406" w14:textId="77777777" w:rsidTr="00D2246D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11EFCF4A" w14:textId="03A5344A" w:rsidR="002478A4" w:rsidRPr="006B7128" w:rsidRDefault="005235E5" w:rsidP="00D2246D">
            <w:pPr>
              <w:pStyle w:val="TableNumeralsLeftAlignment"/>
            </w:pPr>
            <w:r>
              <w:t xml:space="preserve">Do you have any feedback on the specific resource type potential per zone </w:t>
            </w:r>
            <w:r>
              <w:lastRenderedPageBreak/>
              <w:t>as presented in the generation scenarios?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7F00FF1" w14:textId="77777777" w:rsidR="002478A4" w:rsidRPr="006D7540" w:rsidRDefault="002478A4" w:rsidP="00D2246D">
            <w:pPr>
              <w:pStyle w:val="TableNumeralsLeftAlignment"/>
            </w:pPr>
          </w:p>
        </w:tc>
      </w:tr>
      <w:tr w:rsidR="002478A4" w:rsidRPr="006B7128" w14:paraId="3F82CE52" w14:textId="77777777" w:rsidTr="00D2246D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1729FAFF" w14:textId="63E6B829" w:rsidR="002478A4" w:rsidRDefault="005235E5" w:rsidP="00D2246D">
            <w:pPr>
              <w:pStyle w:val="TableNumeralsLeftAlignment"/>
            </w:pPr>
            <w:r>
              <w:t>Do you have any other feedback on the generation scenarios?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408EC0AF" w14:textId="77777777" w:rsidR="002478A4" w:rsidRDefault="002478A4" w:rsidP="00D2246D">
            <w:pPr>
              <w:pStyle w:val="TableNumeralsLeftAlignment"/>
            </w:pPr>
          </w:p>
        </w:tc>
      </w:tr>
      <w:tr w:rsidR="002478A4" w:rsidRPr="006B7128" w14:paraId="20FEDEE2" w14:textId="77777777" w:rsidTr="00D2246D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1831E3FA" w14:textId="7F6BA38C" w:rsidR="002478A4" w:rsidRPr="007E7433" w:rsidDel="00EF4515" w:rsidRDefault="00360644" w:rsidP="00D2246D">
            <w:pPr>
              <w:pStyle w:val="TableNumeralsLeftAlignment"/>
            </w:pPr>
            <w:r>
              <w:t>Is it clear which interfaces are being modelled?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4D03AC89" w14:textId="77777777" w:rsidR="002478A4" w:rsidRDefault="002478A4" w:rsidP="00D2246D">
            <w:pPr>
              <w:pStyle w:val="TableNumeralsLeftAlignment"/>
            </w:pPr>
          </w:p>
        </w:tc>
      </w:tr>
      <w:tr w:rsidR="00360644" w:rsidRPr="006B7128" w14:paraId="3B1E2ADC" w14:textId="77777777" w:rsidTr="00D2246D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274EF4D1" w14:textId="1C5CEA11" w:rsidR="00360644" w:rsidRDefault="00360644" w:rsidP="00D2246D">
            <w:pPr>
              <w:pStyle w:val="TableNumeralsLeftAlignment"/>
            </w:pPr>
            <w:r>
              <w:t>Is it clear how the zones are broken down and how those interface limits are applied?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1B12CBB9" w14:textId="77777777" w:rsidR="00360644" w:rsidRDefault="00360644" w:rsidP="00D2246D">
            <w:pPr>
              <w:pStyle w:val="TableNumeralsLeftAlignment"/>
            </w:pPr>
          </w:p>
        </w:tc>
      </w:tr>
    </w:tbl>
    <w:p w14:paraId="6CB95925" w14:textId="77777777" w:rsidR="002478A4" w:rsidRDefault="002478A4" w:rsidP="002478A4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27BB357B" w14:textId="77777777" w:rsidR="00360644" w:rsidRDefault="00360644" w:rsidP="002478A4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3BD88D50" w14:textId="69B43083" w:rsidR="00D2041D" w:rsidRDefault="00D2041D" w:rsidP="00D2041D">
      <w:pPr>
        <w:pStyle w:val="Heading3"/>
      </w:pPr>
      <w:r>
        <w:t>General Comments/Feedback</w:t>
      </w:r>
      <w:bookmarkEnd w:id="0"/>
    </w:p>
    <w:sectPr w:rsidR="00D2041D" w:rsidSect="00132CFE">
      <w:footerReference w:type="default" r:id="rId12"/>
      <w:footerReference w:type="first" r:id="rId13"/>
      <w:pgSz w:w="12240" w:h="15840"/>
      <w:pgMar w:top="720" w:right="907" w:bottom="158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AE2A" w14:textId="77777777" w:rsidR="00CF67D1" w:rsidRDefault="00CF67D1" w:rsidP="00F83314">
      <w:r>
        <w:separator/>
      </w:r>
    </w:p>
    <w:p w14:paraId="73BC6296" w14:textId="77777777" w:rsidR="00CF67D1" w:rsidRDefault="00CF67D1"/>
  </w:endnote>
  <w:endnote w:type="continuationSeparator" w:id="0">
    <w:p w14:paraId="4C21E5B8" w14:textId="77777777" w:rsidR="00CF67D1" w:rsidRDefault="00CF67D1" w:rsidP="00F83314">
      <w:r>
        <w:continuationSeparator/>
      </w:r>
    </w:p>
    <w:p w14:paraId="4B769F1B" w14:textId="77777777" w:rsidR="00CF67D1" w:rsidRDefault="00CF67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Content>
      <w:p w14:paraId="3ABCA336" w14:textId="4B97C15B" w:rsidR="003543AA" w:rsidRDefault="00354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234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EF2D42D" w:rsidR="00C6016F" w:rsidRDefault="00C6016F" w:rsidP="0087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083B0340" w:rsidR="00C6016F" w:rsidRDefault="00132CFE" w:rsidP="00E24C84">
    <w:pPr>
      <w:pStyle w:val="Footer"/>
    </w:pPr>
    <w:r>
      <w:t>Feedback – South and Central Bulk Data Tables</w:t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3D2341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4BAF" w14:textId="77777777" w:rsidR="00CF67D1" w:rsidRDefault="00CF67D1">
      <w:r>
        <w:separator/>
      </w:r>
    </w:p>
  </w:footnote>
  <w:footnote w:type="continuationSeparator" w:id="0">
    <w:p w14:paraId="5957BA3E" w14:textId="77777777" w:rsidR="00CF67D1" w:rsidRDefault="00CF67D1" w:rsidP="00F83314">
      <w:r>
        <w:continuationSeparator/>
      </w:r>
    </w:p>
    <w:p w14:paraId="1590C1D4" w14:textId="77777777" w:rsidR="00CF67D1" w:rsidRDefault="00CF67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71E0371"/>
    <w:multiLevelType w:val="hybridMultilevel"/>
    <w:tmpl w:val="79620ECA"/>
    <w:lvl w:ilvl="0" w:tplc="9A04F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89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60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81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80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A8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0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83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C09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9B31FE2"/>
    <w:multiLevelType w:val="hybridMultilevel"/>
    <w:tmpl w:val="BB424B9A"/>
    <w:lvl w:ilvl="0" w:tplc="E5F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C4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29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8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23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CE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C3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63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8E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E8851FD"/>
    <w:multiLevelType w:val="hybridMultilevel"/>
    <w:tmpl w:val="1B724AD0"/>
    <w:lvl w:ilvl="0" w:tplc="90940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3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E7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C6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25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62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8A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0E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AF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3FD2"/>
    <w:multiLevelType w:val="hybridMultilevel"/>
    <w:tmpl w:val="3DF8A1E4"/>
    <w:lvl w:ilvl="0" w:tplc="307A1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18B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6E5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40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01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E1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22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4A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5E4FD4"/>
    <w:multiLevelType w:val="hybridMultilevel"/>
    <w:tmpl w:val="D5302FD4"/>
    <w:lvl w:ilvl="0" w:tplc="4DE01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E2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2D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0E0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29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AC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E7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47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4F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D3B1A9D"/>
    <w:multiLevelType w:val="hybridMultilevel"/>
    <w:tmpl w:val="5DDEA548"/>
    <w:lvl w:ilvl="0" w:tplc="534C0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67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21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2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64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B0A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45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89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65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361778"/>
    <w:multiLevelType w:val="multilevel"/>
    <w:tmpl w:val="0409001D"/>
    <w:numStyleLink w:val="1ai"/>
  </w:abstractNum>
  <w:abstractNum w:abstractNumId="26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6505BA0"/>
    <w:multiLevelType w:val="hybridMultilevel"/>
    <w:tmpl w:val="C3261A3E"/>
    <w:lvl w:ilvl="0" w:tplc="2B4E9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06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E3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80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82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41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A7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E5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661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D35E55"/>
    <w:multiLevelType w:val="hybridMultilevel"/>
    <w:tmpl w:val="7862EC94"/>
    <w:lvl w:ilvl="0" w:tplc="91587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8B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4C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A8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06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C2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26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40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64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09F6106"/>
    <w:multiLevelType w:val="hybridMultilevel"/>
    <w:tmpl w:val="EFC889C6"/>
    <w:lvl w:ilvl="0" w:tplc="D7D6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F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EE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6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C5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CC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60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29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E6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B65265F"/>
    <w:multiLevelType w:val="hybridMultilevel"/>
    <w:tmpl w:val="A906EC0E"/>
    <w:lvl w:ilvl="0" w:tplc="7C34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64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C4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98E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02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65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82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4C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56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34083740">
    <w:abstractNumId w:val="0"/>
  </w:num>
  <w:num w:numId="2" w16cid:durableId="22949828">
    <w:abstractNumId w:val="1"/>
  </w:num>
  <w:num w:numId="3" w16cid:durableId="18744935">
    <w:abstractNumId w:val="2"/>
  </w:num>
  <w:num w:numId="4" w16cid:durableId="1617831203">
    <w:abstractNumId w:val="3"/>
  </w:num>
  <w:num w:numId="5" w16cid:durableId="206643643">
    <w:abstractNumId w:val="8"/>
  </w:num>
  <w:num w:numId="6" w16cid:durableId="1772705399">
    <w:abstractNumId w:val="4"/>
  </w:num>
  <w:num w:numId="7" w16cid:durableId="1437873405">
    <w:abstractNumId w:val="5"/>
  </w:num>
  <w:num w:numId="8" w16cid:durableId="453796392">
    <w:abstractNumId w:val="6"/>
  </w:num>
  <w:num w:numId="9" w16cid:durableId="1174537888">
    <w:abstractNumId w:val="7"/>
  </w:num>
  <w:num w:numId="10" w16cid:durableId="330530697">
    <w:abstractNumId w:val="13"/>
  </w:num>
  <w:num w:numId="11" w16cid:durableId="288703456">
    <w:abstractNumId w:val="45"/>
  </w:num>
  <w:num w:numId="12" w16cid:durableId="622663168">
    <w:abstractNumId w:val="17"/>
  </w:num>
  <w:num w:numId="13" w16cid:durableId="1212695575">
    <w:abstractNumId w:val="26"/>
  </w:num>
  <w:num w:numId="14" w16cid:durableId="511533996">
    <w:abstractNumId w:val="28"/>
  </w:num>
  <w:num w:numId="15" w16cid:durableId="980233083">
    <w:abstractNumId w:val="25"/>
  </w:num>
  <w:num w:numId="16" w16cid:durableId="588271484">
    <w:abstractNumId w:val="33"/>
  </w:num>
  <w:num w:numId="17" w16cid:durableId="2124878110">
    <w:abstractNumId w:val="12"/>
  </w:num>
  <w:num w:numId="18" w16cid:durableId="1248346904">
    <w:abstractNumId w:val="37"/>
  </w:num>
  <w:num w:numId="19" w16cid:durableId="1574047798">
    <w:abstractNumId w:val="27"/>
  </w:num>
  <w:num w:numId="20" w16cid:durableId="26220844">
    <w:abstractNumId w:val="39"/>
  </w:num>
  <w:num w:numId="21" w16cid:durableId="2031443897">
    <w:abstractNumId w:val="36"/>
  </w:num>
  <w:num w:numId="22" w16cid:durableId="1595934954">
    <w:abstractNumId w:val="41"/>
  </w:num>
  <w:num w:numId="23" w16cid:durableId="1445344459">
    <w:abstractNumId w:val="19"/>
  </w:num>
  <w:num w:numId="24" w16cid:durableId="429011194">
    <w:abstractNumId w:val="23"/>
  </w:num>
  <w:num w:numId="25" w16cid:durableId="1085762333">
    <w:abstractNumId w:val="44"/>
  </w:num>
  <w:num w:numId="26" w16cid:durableId="993332846">
    <w:abstractNumId w:val="16"/>
  </w:num>
  <w:num w:numId="27" w16cid:durableId="1982073007">
    <w:abstractNumId w:val="46"/>
  </w:num>
  <w:num w:numId="28" w16cid:durableId="789934295">
    <w:abstractNumId w:val="21"/>
  </w:num>
  <w:num w:numId="29" w16cid:durableId="1339577239">
    <w:abstractNumId w:val="42"/>
  </w:num>
  <w:num w:numId="30" w16cid:durableId="1760828549">
    <w:abstractNumId w:val="18"/>
  </w:num>
  <w:num w:numId="31" w16cid:durableId="17048920">
    <w:abstractNumId w:val="30"/>
  </w:num>
  <w:num w:numId="32" w16cid:durableId="1343241046">
    <w:abstractNumId w:val="40"/>
  </w:num>
  <w:num w:numId="33" w16cid:durableId="14390601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691875">
    <w:abstractNumId w:val="9"/>
  </w:num>
  <w:num w:numId="35" w16cid:durableId="2012875952">
    <w:abstractNumId w:val="15"/>
  </w:num>
  <w:num w:numId="36" w16cid:durableId="8878858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4597623">
    <w:abstractNumId w:val="31"/>
  </w:num>
  <w:num w:numId="38" w16cid:durableId="406810222">
    <w:abstractNumId w:val="29"/>
  </w:num>
  <w:num w:numId="39" w16cid:durableId="1133520032">
    <w:abstractNumId w:val="32"/>
  </w:num>
  <w:num w:numId="40" w16cid:durableId="1911844752">
    <w:abstractNumId w:val="34"/>
  </w:num>
  <w:num w:numId="41" w16cid:durableId="2022470280">
    <w:abstractNumId w:val="43"/>
  </w:num>
  <w:num w:numId="42" w16cid:durableId="1034379408">
    <w:abstractNumId w:val="35"/>
  </w:num>
  <w:num w:numId="43" w16cid:durableId="554894632">
    <w:abstractNumId w:val="14"/>
  </w:num>
  <w:num w:numId="44" w16cid:durableId="1411733098">
    <w:abstractNumId w:val="38"/>
  </w:num>
  <w:num w:numId="45" w16cid:durableId="1110053823">
    <w:abstractNumId w:val="11"/>
  </w:num>
  <w:num w:numId="46" w16cid:durableId="1249383127">
    <w:abstractNumId w:val="24"/>
  </w:num>
  <w:num w:numId="47" w16cid:durableId="1577548193">
    <w:abstractNumId w:val="20"/>
  </w:num>
  <w:num w:numId="48" w16cid:durableId="1455170978">
    <w:abstractNumId w:val="22"/>
  </w:num>
  <w:num w:numId="49" w16cid:durableId="101581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2EAC"/>
    <w:rsid w:val="0001358C"/>
    <w:rsid w:val="00013BA6"/>
    <w:rsid w:val="00027E00"/>
    <w:rsid w:val="00030E7E"/>
    <w:rsid w:val="00031023"/>
    <w:rsid w:val="00032FAC"/>
    <w:rsid w:val="0003386C"/>
    <w:rsid w:val="000424C0"/>
    <w:rsid w:val="00043811"/>
    <w:rsid w:val="0004568C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67966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D6031"/>
    <w:rsid w:val="000F0178"/>
    <w:rsid w:val="000F1201"/>
    <w:rsid w:val="000F12F2"/>
    <w:rsid w:val="000F55DA"/>
    <w:rsid w:val="0011191A"/>
    <w:rsid w:val="001212B6"/>
    <w:rsid w:val="001216E4"/>
    <w:rsid w:val="00122D98"/>
    <w:rsid w:val="00123B6F"/>
    <w:rsid w:val="00124840"/>
    <w:rsid w:val="00132CA7"/>
    <w:rsid w:val="00132CFE"/>
    <w:rsid w:val="00134223"/>
    <w:rsid w:val="00141068"/>
    <w:rsid w:val="00150D29"/>
    <w:rsid w:val="00164724"/>
    <w:rsid w:val="001708DC"/>
    <w:rsid w:val="001737CD"/>
    <w:rsid w:val="00180C5F"/>
    <w:rsid w:val="00180D33"/>
    <w:rsid w:val="00187A7D"/>
    <w:rsid w:val="00191D1F"/>
    <w:rsid w:val="00197EE4"/>
    <w:rsid w:val="001B31FB"/>
    <w:rsid w:val="001B5068"/>
    <w:rsid w:val="001C122B"/>
    <w:rsid w:val="001C65C6"/>
    <w:rsid w:val="001E257C"/>
    <w:rsid w:val="001E501C"/>
    <w:rsid w:val="001F1149"/>
    <w:rsid w:val="001F21B1"/>
    <w:rsid w:val="001F44AA"/>
    <w:rsid w:val="002040D1"/>
    <w:rsid w:val="00206BC2"/>
    <w:rsid w:val="00207011"/>
    <w:rsid w:val="00207289"/>
    <w:rsid w:val="00214BB1"/>
    <w:rsid w:val="002206A7"/>
    <w:rsid w:val="0022490F"/>
    <w:rsid w:val="002273F3"/>
    <w:rsid w:val="00230E09"/>
    <w:rsid w:val="00235EFD"/>
    <w:rsid w:val="00245326"/>
    <w:rsid w:val="002478A4"/>
    <w:rsid w:val="002529F2"/>
    <w:rsid w:val="00252FA6"/>
    <w:rsid w:val="0025410A"/>
    <w:rsid w:val="00255139"/>
    <w:rsid w:val="002557A7"/>
    <w:rsid w:val="0025740E"/>
    <w:rsid w:val="00257A57"/>
    <w:rsid w:val="00263A1A"/>
    <w:rsid w:val="00266A59"/>
    <w:rsid w:val="00271D4B"/>
    <w:rsid w:val="00272F96"/>
    <w:rsid w:val="002835B9"/>
    <w:rsid w:val="0029171F"/>
    <w:rsid w:val="00291781"/>
    <w:rsid w:val="002975DF"/>
    <w:rsid w:val="002A4F50"/>
    <w:rsid w:val="002A61FA"/>
    <w:rsid w:val="002B2A2C"/>
    <w:rsid w:val="002C11A0"/>
    <w:rsid w:val="002C1201"/>
    <w:rsid w:val="002D3238"/>
    <w:rsid w:val="002D4EB9"/>
    <w:rsid w:val="002D71E9"/>
    <w:rsid w:val="002E4651"/>
    <w:rsid w:val="002E60D7"/>
    <w:rsid w:val="002F3357"/>
    <w:rsid w:val="002F57E8"/>
    <w:rsid w:val="00306409"/>
    <w:rsid w:val="00306932"/>
    <w:rsid w:val="00313BFA"/>
    <w:rsid w:val="003204F9"/>
    <w:rsid w:val="0032141A"/>
    <w:rsid w:val="00321A52"/>
    <w:rsid w:val="00322BFD"/>
    <w:rsid w:val="00323363"/>
    <w:rsid w:val="00323DDD"/>
    <w:rsid w:val="00325545"/>
    <w:rsid w:val="003269B9"/>
    <w:rsid w:val="003337F1"/>
    <w:rsid w:val="00334129"/>
    <w:rsid w:val="0034014B"/>
    <w:rsid w:val="003428C3"/>
    <w:rsid w:val="00343580"/>
    <w:rsid w:val="003543AA"/>
    <w:rsid w:val="0035658F"/>
    <w:rsid w:val="00360644"/>
    <w:rsid w:val="00367205"/>
    <w:rsid w:val="00371357"/>
    <w:rsid w:val="00374220"/>
    <w:rsid w:val="0037600B"/>
    <w:rsid w:val="003772C4"/>
    <w:rsid w:val="0038276C"/>
    <w:rsid w:val="00383086"/>
    <w:rsid w:val="00390B42"/>
    <w:rsid w:val="00391AA6"/>
    <w:rsid w:val="00395360"/>
    <w:rsid w:val="0039709A"/>
    <w:rsid w:val="003A04A2"/>
    <w:rsid w:val="003C0B74"/>
    <w:rsid w:val="003C7EEB"/>
    <w:rsid w:val="003D0BE4"/>
    <w:rsid w:val="003D2341"/>
    <w:rsid w:val="003D271F"/>
    <w:rsid w:val="003D5033"/>
    <w:rsid w:val="003D506F"/>
    <w:rsid w:val="003D599A"/>
    <w:rsid w:val="003E040F"/>
    <w:rsid w:val="003E2280"/>
    <w:rsid w:val="003E4544"/>
    <w:rsid w:val="003E67F9"/>
    <w:rsid w:val="003E7A89"/>
    <w:rsid w:val="003F033F"/>
    <w:rsid w:val="003F1F61"/>
    <w:rsid w:val="004002BB"/>
    <w:rsid w:val="00401A13"/>
    <w:rsid w:val="00404816"/>
    <w:rsid w:val="004053C6"/>
    <w:rsid w:val="004108F9"/>
    <w:rsid w:val="00410B55"/>
    <w:rsid w:val="004200EA"/>
    <w:rsid w:val="0042208A"/>
    <w:rsid w:val="00424BA0"/>
    <w:rsid w:val="00426D11"/>
    <w:rsid w:val="00427133"/>
    <w:rsid w:val="00444DA9"/>
    <w:rsid w:val="00456376"/>
    <w:rsid w:val="00466E16"/>
    <w:rsid w:val="004712B8"/>
    <w:rsid w:val="00482219"/>
    <w:rsid w:val="004847AE"/>
    <w:rsid w:val="00497849"/>
    <w:rsid w:val="00497E17"/>
    <w:rsid w:val="004C1610"/>
    <w:rsid w:val="004C1AFC"/>
    <w:rsid w:val="004D0CFE"/>
    <w:rsid w:val="004D5A69"/>
    <w:rsid w:val="004D7C5F"/>
    <w:rsid w:val="004E07B7"/>
    <w:rsid w:val="004E0F5C"/>
    <w:rsid w:val="004E1C27"/>
    <w:rsid w:val="004E695C"/>
    <w:rsid w:val="004F115E"/>
    <w:rsid w:val="004F59C5"/>
    <w:rsid w:val="00502752"/>
    <w:rsid w:val="00502CA5"/>
    <w:rsid w:val="00504312"/>
    <w:rsid w:val="00506154"/>
    <w:rsid w:val="005066CE"/>
    <w:rsid w:val="00513715"/>
    <w:rsid w:val="005235E5"/>
    <w:rsid w:val="005250E4"/>
    <w:rsid w:val="00525E97"/>
    <w:rsid w:val="00536D37"/>
    <w:rsid w:val="00540C81"/>
    <w:rsid w:val="00546F8B"/>
    <w:rsid w:val="00552C53"/>
    <w:rsid w:val="005530E8"/>
    <w:rsid w:val="00555588"/>
    <w:rsid w:val="005605D0"/>
    <w:rsid w:val="00560680"/>
    <w:rsid w:val="00562165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39B3"/>
    <w:rsid w:val="005A3A1D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0F3E"/>
    <w:rsid w:val="005D14AF"/>
    <w:rsid w:val="005D6B0E"/>
    <w:rsid w:val="005E0602"/>
    <w:rsid w:val="005E0653"/>
    <w:rsid w:val="005F4CFF"/>
    <w:rsid w:val="00600A04"/>
    <w:rsid w:val="00601539"/>
    <w:rsid w:val="00603F19"/>
    <w:rsid w:val="00607A0B"/>
    <w:rsid w:val="00607B1F"/>
    <w:rsid w:val="006123D0"/>
    <w:rsid w:val="006157DE"/>
    <w:rsid w:val="00615CDC"/>
    <w:rsid w:val="00617A9E"/>
    <w:rsid w:val="006246D3"/>
    <w:rsid w:val="00624AEC"/>
    <w:rsid w:val="00625442"/>
    <w:rsid w:val="006326A1"/>
    <w:rsid w:val="0063312A"/>
    <w:rsid w:val="00635B4C"/>
    <w:rsid w:val="00635D72"/>
    <w:rsid w:val="0063689A"/>
    <w:rsid w:val="00651EED"/>
    <w:rsid w:val="00652316"/>
    <w:rsid w:val="0065571D"/>
    <w:rsid w:val="006558F6"/>
    <w:rsid w:val="006635D9"/>
    <w:rsid w:val="006653AA"/>
    <w:rsid w:val="0066614A"/>
    <w:rsid w:val="00675670"/>
    <w:rsid w:val="0067615F"/>
    <w:rsid w:val="00676421"/>
    <w:rsid w:val="00680FC3"/>
    <w:rsid w:val="00682169"/>
    <w:rsid w:val="00682945"/>
    <w:rsid w:val="00683AC9"/>
    <w:rsid w:val="00691025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E7FC5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45668"/>
    <w:rsid w:val="00750BE5"/>
    <w:rsid w:val="00753E8E"/>
    <w:rsid w:val="007577CF"/>
    <w:rsid w:val="00760655"/>
    <w:rsid w:val="0076220E"/>
    <w:rsid w:val="00770B9D"/>
    <w:rsid w:val="00770D0C"/>
    <w:rsid w:val="00774280"/>
    <w:rsid w:val="007759BF"/>
    <w:rsid w:val="007773E7"/>
    <w:rsid w:val="00781339"/>
    <w:rsid w:val="007839CD"/>
    <w:rsid w:val="00787A1A"/>
    <w:rsid w:val="00792720"/>
    <w:rsid w:val="007A0FA5"/>
    <w:rsid w:val="007A1A30"/>
    <w:rsid w:val="007A67EE"/>
    <w:rsid w:val="007A6EC7"/>
    <w:rsid w:val="007A73CF"/>
    <w:rsid w:val="007B2291"/>
    <w:rsid w:val="007B4815"/>
    <w:rsid w:val="007B538A"/>
    <w:rsid w:val="007D4E2C"/>
    <w:rsid w:val="007D7593"/>
    <w:rsid w:val="007E2315"/>
    <w:rsid w:val="007E673E"/>
    <w:rsid w:val="007E7433"/>
    <w:rsid w:val="008015CD"/>
    <w:rsid w:val="00803BF6"/>
    <w:rsid w:val="00806682"/>
    <w:rsid w:val="008218FE"/>
    <w:rsid w:val="00821FD8"/>
    <w:rsid w:val="00823D2B"/>
    <w:rsid w:val="00824943"/>
    <w:rsid w:val="00831390"/>
    <w:rsid w:val="00836072"/>
    <w:rsid w:val="00847E9D"/>
    <w:rsid w:val="00855324"/>
    <w:rsid w:val="00862CA0"/>
    <w:rsid w:val="00871A07"/>
    <w:rsid w:val="00871E07"/>
    <w:rsid w:val="00871FD7"/>
    <w:rsid w:val="00872FD8"/>
    <w:rsid w:val="00875A7E"/>
    <w:rsid w:val="00875E05"/>
    <w:rsid w:val="00881938"/>
    <w:rsid w:val="00882299"/>
    <w:rsid w:val="008823B2"/>
    <w:rsid w:val="008866FF"/>
    <w:rsid w:val="00895B5D"/>
    <w:rsid w:val="00897595"/>
    <w:rsid w:val="008A00E3"/>
    <w:rsid w:val="008B0D27"/>
    <w:rsid w:val="008B2095"/>
    <w:rsid w:val="008C0C77"/>
    <w:rsid w:val="008D1AB7"/>
    <w:rsid w:val="008D6894"/>
    <w:rsid w:val="008E5E99"/>
    <w:rsid w:val="008F1EB5"/>
    <w:rsid w:val="008F22E4"/>
    <w:rsid w:val="008F5089"/>
    <w:rsid w:val="008F739A"/>
    <w:rsid w:val="008F73C6"/>
    <w:rsid w:val="00902A0D"/>
    <w:rsid w:val="00906361"/>
    <w:rsid w:val="00906834"/>
    <w:rsid w:val="00911702"/>
    <w:rsid w:val="00912580"/>
    <w:rsid w:val="0091379F"/>
    <w:rsid w:val="00914988"/>
    <w:rsid w:val="00915C81"/>
    <w:rsid w:val="009248CD"/>
    <w:rsid w:val="00924BD3"/>
    <w:rsid w:val="0092684A"/>
    <w:rsid w:val="00930C7E"/>
    <w:rsid w:val="00936B19"/>
    <w:rsid w:val="00937211"/>
    <w:rsid w:val="00940A1F"/>
    <w:rsid w:val="00940FAB"/>
    <w:rsid w:val="00941827"/>
    <w:rsid w:val="00945BC3"/>
    <w:rsid w:val="00950416"/>
    <w:rsid w:val="00953E44"/>
    <w:rsid w:val="00955033"/>
    <w:rsid w:val="00956691"/>
    <w:rsid w:val="00965AAD"/>
    <w:rsid w:val="00966F34"/>
    <w:rsid w:val="009705C0"/>
    <w:rsid w:val="0097718A"/>
    <w:rsid w:val="00985600"/>
    <w:rsid w:val="00991A11"/>
    <w:rsid w:val="00991B27"/>
    <w:rsid w:val="00991B46"/>
    <w:rsid w:val="009947CA"/>
    <w:rsid w:val="009A6E4D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9F1215"/>
    <w:rsid w:val="00A0005D"/>
    <w:rsid w:val="00A00B71"/>
    <w:rsid w:val="00A00E48"/>
    <w:rsid w:val="00A047A0"/>
    <w:rsid w:val="00A12326"/>
    <w:rsid w:val="00A26334"/>
    <w:rsid w:val="00A315B3"/>
    <w:rsid w:val="00A4096B"/>
    <w:rsid w:val="00A45D08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9391A"/>
    <w:rsid w:val="00AA365E"/>
    <w:rsid w:val="00AA44D1"/>
    <w:rsid w:val="00AA7946"/>
    <w:rsid w:val="00AB1E69"/>
    <w:rsid w:val="00AB412E"/>
    <w:rsid w:val="00AC295C"/>
    <w:rsid w:val="00AC53E7"/>
    <w:rsid w:val="00AD0558"/>
    <w:rsid w:val="00AD2247"/>
    <w:rsid w:val="00AD2B3F"/>
    <w:rsid w:val="00AD377C"/>
    <w:rsid w:val="00AD3B6F"/>
    <w:rsid w:val="00AD40DE"/>
    <w:rsid w:val="00AE23ED"/>
    <w:rsid w:val="00AE3158"/>
    <w:rsid w:val="00AE31C7"/>
    <w:rsid w:val="00AE4C5E"/>
    <w:rsid w:val="00AF5D62"/>
    <w:rsid w:val="00AF7F88"/>
    <w:rsid w:val="00B03881"/>
    <w:rsid w:val="00B04816"/>
    <w:rsid w:val="00B105B7"/>
    <w:rsid w:val="00B141CC"/>
    <w:rsid w:val="00B15B1B"/>
    <w:rsid w:val="00B21A16"/>
    <w:rsid w:val="00B27004"/>
    <w:rsid w:val="00B319C9"/>
    <w:rsid w:val="00B364D0"/>
    <w:rsid w:val="00B4123B"/>
    <w:rsid w:val="00B44D93"/>
    <w:rsid w:val="00B45BE4"/>
    <w:rsid w:val="00B47878"/>
    <w:rsid w:val="00B54E3D"/>
    <w:rsid w:val="00B55305"/>
    <w:rsid w:val="00B61C05"/>
    <w:rsid w:val="00B65E89"/>
    <w:rsid w:val="00B7605A"/>
    <w:rsid w:val="00B81E1D"/>
    <w:rsid w:val="00B82167"/>
    <w:rsid w:val="00B835AE"/>
    <w:rsid w:val="00B94249"/>
    <w:rsid w:val="00B9728B"/>
    <w:rsid w:val="00BA3447"/>
    <w:rsid w:val="00BA479D"/>
    <w:rsid w:val="00BA4BCB"/>
    <w:rsid w:val="00BB179F"/>
    <w:rsid w:val="00BB5DD3"/>
    <w:rsid w:val="00BC1CD2"/>
    <w:rsid w:val="00BC73F3"/>
    <w:rsid w:val="00BE4AA6"/>
    <w:rsid w:val="00BE4D1D"/>
    <w:rsid w:val="00BE558C"/>
    <w:rsid w:val="00BF2E6E"/>
    <w:rsid w:val="00C01175"/>
    <w:rsid w:val="00C04795"/>
    <w:rsid w:val="00C13692"/>
    <w:rsid w:val="00C20264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67932"/>
    <w:rsid w:val="00C7071C"/>
    <w:rsid w:val="00C76B1E"/>
    <w:rsid w:val="00C9214F"/>
    <w:rsid w:val="00C96CCF"/>
    <w:rsid w:val="00CA56A3"/>
    <w:rsid w:val="00CA70BD"/>
    <w:rsid w:val="00CB0FB9"/>
    <w:rsid w:val="00CB4B30"/>
    <w:rsid w:val="00CC1DD8"/>
    <w:rsid w:val="00CC5376"/>
    <w:rsid w:val="00CD06BE"/>
    <w:rsid w:val="00CD0C03"/>
    <w:rsid w:val="00CD0D60"/>
    <w:rsid w:val="00CD26E7"/>
    <w:rsid w:val="00CD3B10"/>
    <w:rsid w:val="00CE0767"/>
    <w:rsid w:val="00CE3824"/>
    <w:rsid w:val="00CE3D01"/>
    <w:rsid w:val="00CF5EE0"/>
    <w:rsid w:val="00CF67D1"/>
    <w:rsid w:val="00CF7502"/>
    <w:rsid w:val="00D108E3"/>
    <w:rsid w:val="00D10DA4"/>
    <w:rsid w:val="00D13221"/>
    <w:rsid w:val="00D14734"/>
    <w:rsid w:val="00D2041D"/>
    <w:rsid w:val="00D258A0"/>
    <w:rsid w:val="00D26C05"/>
    <w:rsid w:val="00D321E6"/>
    <w:rsid w:val="00D36D5F"/>
    <w:rsid w:val="00D37C12"/>
    <w:rsid w:val="00D4161A"/>
    <w:rsid w:val="00D4420D"/>
    <w:rsid w:val="00D469F2"/>
    <w:rsid w:val="00D50908"/>
    <w:rsid w:val="00D5140C"/>
    <w:rsid w:val="00D524E2"/>
    <w:rsid w:val="00D55A48"/>
    <w:rsid w:val="00D56AEC"/>
    <w:rsid w:val="00D56CDF"/>
    <w:rsid w:val="00D57F4D"/>
    <w:rsid w:val="00D61F3D"/>
    <w:rsid w:val="00D630F3"/>
    <w:rsid w:val="00D674E9"/>
    <w:rsid w:val="00D71422"/>
    <w:rsid w:val="00D759BF"/>
    <w:rsid w:val="00D7740B"/>
    <w:rsid w:val="00D907E6"/>
    <w:rsid w:val="00D91B48"/>
    <w:rsid w:val="00D93CA5"/>
    <w:rsid w:val="00DA301F"/>
    <w:rsid w:val="00DA3F0F"/>
    <w:rsid w:val="00DA4168"/>
    <w:rsid w:val="00DA47FD"/>
    <w:rsid w:val="00DA6AC8"/>
    <w:rsid w:val="00DB6BDE"/>
    <w:rsid w:val="00DC0971"/>
    <w:rsid w:val="00DC2622"/>
    <w:rsid w:val="00DC45E1"/>
    <w:rsid w:val="00DC5459"/>
    <w:rsid w:val="00DD3947"/>
    <w:rsid w:val="00DD5A3D"/>
    <w:rsid w:val="00DD6356"/>
    <w:rsid w:val="00DE026B"/>
    <w:rsid w:val="00DF2962"/>
    <w:rsid w:val="00E07446"/>
    <w:rsid w:val="00E07BFA"/>
    <w:rsid w:val="00E153D2"/>
    <w:rsid w:val="00E24C84"/>
    <w:rsid w:val="00E303C3"/>
    <w:rsid w:val="00E31C33"/>
    <w:rsid w:val="00E32D6A"/>
    <w:rsid w:val="00E356D1"/>
    <w:rsid w:val="00E36290"/>
    <w:rsid w:val="00E4085F"/>
    <w:rsid w:val="00E4488D"/>
    <w:rsid w:val="00E47C5C"/>
    <w:rsid w:val="00E504B1"/>
    <w:rsid w:val="00E54649"/>
    <w:rsid w:val="00E5479C"/>
    <w:rsid w:val="00E724C4"/>
    <w:rsid w:val="00E74502"/>
    <w:rsid w:val="00E74C15"/>
    <w:rsid w:val="00E74FCC"/>
    <w:rsid w:val="00E75CF5"/>
    <w:rsid w:val="00E75D9A"/>
    <w:rsid w:val="00E770FC"/>
    <w:rsid w:val="00E823D8"/>
    <w:rsid w:val="00E84B5C"/>
    <w:rsid w:val="00E9071D"/>
    <w:rsid w:val="00E9370D"/>
    <w:rsid w:val="00E95D25"/>
    <w:rsid w:val="00E97D20"/>
    <w:rsid w:val="00EA0148"/>
    <w:rsid w:val="00EA1429"/>
    <w:rsid w:val="00EA250A"/>
    <w:rsid w:val="00EA34E8"/>
    <w:rsid w:val="00EB2896"/>
    <w:rsid w:val="00EB5F0D"/>
    <w:rsid w:val="00EB7697"/>
    <w:rsid w:val="00EC632E"/>
    <w:rsid w:val="00EC6D7A"/>
    <w:rsid w:val="00EC7B54"/>
    <w:rsid w:val="00ED29AC"/>
    <w:rsid w:val="00EE454A"/>
    <w:rsid w:val="00EF0A96"/>
    <w:rsid w:val="00EF1F49"/>
    <w:rsid w:val="00EF229E"/>
    <w:rsid w:val="00EF4515"/>
    <w:rsid w:val="00F12AD2"/>
    <w:rsid w:val="00F2143E"/>
    <w:rsid w:val="00F217AF"/>
    <w:rsid w:val="00F315A0"/>
    <w:rsid w:val="00F40404"/>
    <w:rsid w:val="00F40FD7"/>
    <w:rsid w:val="00F42555"/>
    <w:rsid w:val="00F4484E"/>
    <w:rsid w:val="00F44FFB"/>
    <w:rsid w:val="00F54067"/>
    <w:rsid w:val="00F54232"/>
    <w:rsid w:val="00F55EC0"/>
    <w:rsid w:val="00F66FAE"/>
    <w:rsid w:val="00F719F6"/>
    <w:rsid w:val="00F71CFB"/>
    <w:rsid w:val="00F73209"/>
    <w:rsid w:val="00F76EF7"/>
    <w:rsid w:val="00F80CDC"/>
    <w:rsid w:val="00F81023"/>
    <w:rsid w:val="00F8213F"/>
    <w:rsid w:val="00F832B8"/>
    <w:rsid w:val="00F83314"/>
    <w:rsid w:val="00F83CF3"/>
    <w:rsid w:val="00F83E57"/>
    <w:rsid w:val="00F86E4D"/>
    <w:rsid w:val="00F87095"/>
    <w:rsid w:val="00F93C15"/>
    <w:rsid w:val="00FA1041"/>
    <w:rsid w:val="00FA18DA"/>
    <w:rsid w:val="00FB7E99"/>
    <w:rsid w:val="00FC3FA2"/>
    <w:rsid w:val="00FC7434"/>
    <w:rsid w:val="00FD4119"/>
    <w:rsid w:val="00FD45D6"/>
    <w:rsid w:val="00FD78F2"/>
    <w:rsid w:val="00FE143C"/>
    <w:rsid w:val="00FE2DA7"/>
    <w:rsid w:val="00FF0492"/>
    <w:rsid w:val="00FF0A57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7E7433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150D29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:lang w:val="en-US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0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6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so.ca/Sector-Participants/Engagement-Initiatives/Engagements/South-and-Central-Bulk-Planni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eso.ca/en/Sector-Participants/Planning-and-Forecasting/Annual-Planning-Outloo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ngagment@ieso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eso.ca/Sector-Participants/Engagement-Initiatives/Engagements/South-and-Central-Bulk-Plann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D70D2B-11A3-4C53-AB23-26768932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4146</CharactersWithSpaces>
  <SharedDoc>false</SharedDoc>
  <HyperlinkBase/>
  <HLinks>
    <vt:vector size="24" baseType="variant">
      <vt:variant>
        <vt:i4>3473468</vt:i4>
      </vt:variant>
      <vt:variant>
        <vt:i4>9</vt:i4>
      </vt:variant>
      <vt:variant>
        <vt:i4>0</vt:i4>
      </vt:variant>
      <vt:variant>
        <vt:i4>5</vt:i4>
      </vt:variant>
      <vt:variant>
        <vt:lpwstr>https://www.ieso.ca/en/Sector-Participants/Planning-and-Forecasting/Annual-Planning-Outlook</vt:lpwstr>
      </vt:variant>
      <vt:variant>
        <vt:lpwstr/>
      </vt:variant>
      <vt:variant>
        <vt:i4>4391023</vt:i4>
      </vt:variant>
      <vt:variant>
        <vt:i4>6</vt:i4>
      </vt:variant>
      <vt:variant>
        <vt:i4>0</vt:i4>
      </vt:variant>
      <vt:variant>
        <vt:i4>5</vt:i4>
      </vt:variant>
      <vt:variant>
        <vt:lpwstr>mailto:engagment@ieso.ca</vt:lpwstr>
      </vt:variant>
      <vt:variant>
        <vt:lpwstr/>
      </vt:variant>
      <vt:variant>
        <vt:i4>7602236</vt:i4>
      </vt:variant>
      <vt:variant>
        <vt:i4>3</vt:i4>
      </vt:variant>
      <vt:variant>
        <vt:i4>0</vt:i4>
      </vt:variant>
      <vt:variant>
        <vt:i4>5</vt:i4>
      </vt:variant>
      <vt:variant>
        <vt:lpwstr>https://www.ieso.ca/Sector-Participants/Engagement-Initiatives/Engagements/South-and-Central-Bulk-Planning</vt:lpwstr>
      </vt:variant>
      <vt:variant>
        <vt:lpwstr/>
      </vt:variant>
      <vt:variant>
        <vt:i4>7602236</vt:i4>
      </vt:variant>
      <vt:variant>
        <vt:i4>0</vt:i4>
      </vt:variant>
      <vt:variant>
        <vt:i4>0</vt:i4>
      </vt:variant>
      <vt:variant>
        <vt:i4>5</vt:i4>
      </vt:variant>
      <vt:variant>
        <vt:lpwstr>https://www.ieso.ca/Sector-Participants/Engagement-Initiatives/Engagements/South-and-Central-Bulk-Planning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2025-11-20T14:46:00Z</dcterms:created>
  <dcterms:modified xsi:type="dcterms:W3CDTF">2025-11-20T14:46:00Z</dcterms:modified>
  <cp:category/>
  <cp:contentStatus/>
</cp:coreProperties>
</file>