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591E32" w:rsidP="006F582B">
      <w:pPr>
        <w:pStyle w:val="Heading2"/>
      </w:pPr>
      <w:r>
        <w:t>2021</w:t>
      </w:r>
      <w:r w:rsidR="00D5197A">
        <w:t xml:space="preserve"> Annual Planning Outlook Engagement </w:t>
      </w:r>
      <w:r w:rsidR="007A1A30">
        <w:t xml:space="preserve">– </w:t>
      </w:r>
      <w:r>
        <w:t>January 25, 2022</w:t>
      </w:r>
    </w:p>
    <w:p w:rsidR="009B6BAE" w:rsidRDefault="009B6BAE" w:rsidP="007A06A7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:rsidR="009362BC" w:rsidRP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591E32">
        <w:rPr>
          <w:rFonts w:eastAsiaTheme="minorEastAsia" w:cs="Tahoma"/>
          <w:szCs w:val="22"/>
          <w:lang w:val="en-US"/>
        </w:rPr>
        <w:t>January 25, 2022</w:t>
      </w:r>
      <w:r w:rsidR="00E14A79">
        <w:rPr>
          <w:rFonts w:eastAsiaTheme="minorEastAsia" w:cs="Tahoma"/>
          <w:szCs w:val="22"/>
          <w:lang w:val="en-US"/>
        </w:rPr>
        <w:t xml:space="preserve"> </w:t>
      </w:r>
      <w:r w:rsidR="00026E18">
        <w:rPr>
          <w:rFonts w:eastAsiaTheme="minorEastAsia" w:cs="Tahoma"/>
          <w:szCs w:val="22"/>
          <w:lang w:val="en-US"/>
        </w:rPr>
        <w:t>engagem</w:t>
      </w:r>
      <w:bookmarkStart w:id="0" w:name="_GoBack"/>
      <w:bookmarkEnd w:id="0"/>
      <w:r w:rsidR="00026E18">
        <w:rPr>
          <w:rFonts w:eastAsiaTheme="minorEastAsia" w:cs="Tahoma"/>
          <w:szCs w:val="22"/>
          <w:lang w:val="en-US"/>
        </w:rPr>
        <w:t xml:space="preserve">ent </w:t>
      </w:r>
      <w:r w:rsidR="00E14A79">
        <w:rPr>
          <w:rFonts w:eastAsiaTheme="minorEastAsia" w:cs="Tahoma"/>
          <w:szCs w:val="22"/>
          <w:lang w:val="en-US"/>
        </w:rPr>
        <w:t>webinar on</w:t>
      </w:r>
      <w:r w:rsidR="00591E32">
        <w:rPr>
          <w:rFonts w:eastAsiaTheme="minorEastAsia" w:cs="Tahoma"/>
          <w:szCs w:val="22"/>
          <w:lang w:val="en-US"/>
        </w:rPr>
        <w:t xml:space="preserve"> 2021</w:t>
      </w:r>
      <w:r w:rsidR="00D5197A">
        <w:rPr>
          <w:rFonts w:eastAsiaTheme="minorEastAsia" w:cs="Tahoma"/>
          <w:szCs w:val="22"/>
          <w:lang w:val="en-US"/>
        </w:rPr>
        <w:t xml:space="preserve"> Annual Planning Outlook (APO)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</w:t>
      </w:r>
      <w:r w:rsidR="00953BD5">
        <w:rPr>
          <w:rFonts w:eastAsiaTheme="minorEastAsia" w:cs="Tahoma"/>
          <w:szCs w:val="22"/>
          <w:lang w:val="en-US"/>
        </w:rPr>
        <w:t>Independent Electricity System Operator (</w:t>
      </w:r>
      <w:r w:rsidRPr="009362BC">
        <w:rPr>
          <w:rFonts w:eastAsiaTheme="minorEastAsia" w:cs="Tahoma"/>
          <w:szCs w:val="22"/>
          <w:lang w:val="en-US"/>
        </w:rPr>
        <w:t>IESO</w:t>
      </w:r>
      <w:r w:rsidR="00953BD5">
        <w:rPr>
          <w:rFonts w:eastAsiaTheme="minorEastAsia" w:cs="Tahoma"/>
          <w:szCs w:val="22"/>
          <w:lang w:val="en-US"/>
        </w:rPr>
        <w:t>)</w:t>
      </w:r>
      <w:r w:rsidRPr="009362BC">
        <w:rPr>
          <w:rFonts w:eastAsiaTheme="minorEastAsia" w:cs="Tahoma"/>
          <w:szCs w:val="22"/>
          <w:lang w:val="en-US"/>
        </w:rPr>
        <w:t xml:space="preserve"> is seeking feedback from participants on </w:t>
      </w:r>
      <w:r w:rsidR="00E8279C">
        <w:rPr>
          <w:rFonts w:eastAsiaTheme="minorEastAsia" w:cs="Tahoma"/>
          <w:szCs w:val="22"/>
          <w:lang w:val="en-US"/>
        </w:rPr>
        <w:t>the APO report, module, methodology and supplemental data. T</w:t>
      </w:r>
      <w:r w:rsidR="00D5197A">
        <w:rPr>
          <w:rFonts w:eastAsiaTheme="minorEastAsia" w:cs="Tahoma"/>
          <w:szCs w:val="22"/>
          <w:lang w:val="en-US"/>
        </w:rPr>
        <w:t>he e</w:t>
      </w:r>
      <w:r w:rsidR="00591E32">
        <w:rPr>
          <w:rFonts w:eastAsiaTheme="minorEastAsia" w:cs="Tahoma"/>
          <w:szCs w:val="22"/>
          <w:lang w:val="en-US"/>
        </w:rPr>
        <w:t>ngagement presentation, the 2021</w:t>
      </w:r>
      <w:r w:rsidR="00D5197A">
        <w:rPr>
          <w:rFonts w:eastAsiaTheme="minorEastAsia" w:cs="Tahoma"/>
          <w:szCs w:val="22"/>
          <w:lang w:val="en-US"/>
        </w:rPr>
        <w:t xml:space="preserve"> APO, and additional information on the outlook can be found on the </w:t>
      </w:r>
      <w:hyperlink r:id="rId8" w:history="1"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Annual Planning Outlook</w:t>
        </w:r>
        <w:r w:rsidR="00D5197A" w:rsidRPr="0040480E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 xml:space="preserve"> webpage</w:t>
        </w:r>
      </w:hyperlink>
      <w:r w:rsidR="00D5197A">
        <w:rPr>
          <w:rStyle w:val="Hyperlink"/>
          <w:rFonts w:cs="Tahoma"/>
          <w:noProof w:val="0"/>
          <w:szCs w:val="22"/>
          <w:lang w:eastAsia="en-US"/>
          <w14:numForm w14:val="default"/>
          <w14:numSpacing w14:val="default"/>
        </w:rPr>
        <w:t>.</w:t>
      </w:r>
      <w:r w:rsidR="00D5197A" w:rsidRPr="009362BC">
        <w:rPr>
          <w:rFonts w:cs="Tahoma"/>
          <w:szCs w:val="22"/>
        </w:rPr>
        <w:t xml:space="preserve">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</w:t>
      </w:r>
      <w:r w:rsidR="00D5197A">
        <w:rPr>
          <w:rFonts w:eastAsiaTheme="minorEastAsia" w:cs="Tahoma"/>
          <w:szCs w:val="22"/>
          <w:lang w:val="en-US"/>
        </w:rPr>
        <w:t>orporate comments in future outlooks as appropriate</w:t>
      </w:r>
      <w:r w:rsidRPr="009362BC">
        <w:rPr>
          <w:rFonts w:eastAsiaTheme="minorEastAsia" w:cs="Tahoma"/>
          <w:szCs w:val="22"/>
          <w:lang w:val="en-US"/>
        </w:rPr>
        <w:t>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ab/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D5197A">
        <w:rPr>
          <w:rFonts w:cs="Tahoma"/>
          <w:b/>
          <w:color w:val="FF0000"/>
          <w:szCs w:val="22"/>
        </w:rPr>
        <w:t>February</w:t>
      </w:r>
      <w:r w:rsidR="0040480E">
        <w:rPr>
          <w:rFonts w:cs="Tahoma"/>
          <w:b/>
          <w:color w:val="FF0000"/>
          <w:szCs w:val="22"/>
        </w:rPr>
        <w:t xml:space="preserve"> 1</w:t>
      </w:r>
      <w:r w:rsidR="00591E32">
        <w:rPr>
          <w:rFonts w:cs="Tahoma"/>
          <w:b/>
          <w:color w:val="FF0000"/>
          <w:szCs w:val="22"/>
        </w:rPr>
        <w:t>8</w:t>
      </w:r>
      <w:r w:rsidR="0040480E">
        <w:rPr>
          <w:rFonts w:cs="Tahoma"/>
          <w:b/>
          <w:color w:val="FF0000"/>
          <w:szCs w:val="22"/>
        </w:rPr>
        <w:t xml:space="preserve">, </w:t>
      </w:r>
      <w:r w:rsidR="00591E32">
        <w:rPr>
          <w:rFonts w:cs="Tahoma"/>
          <w:b/>
          <w:color w:val="FF0000"/>
          <w:szCs w:val="22"/>
        </w:rPr>
        <w:t>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591E32">
        <w:rPr>
          <w:rFonts w:cs="Tahoma"/>
          <w:i/>
          <w:szCs w:val="22"/>
        </w:rPr>
        <w:t>2021</w:t>
      </w:r>
      <w:r w:rsidR="00D5197A">
        <w:rPr>
          <w:rFonts w:cs="Tahoma"/>
          <w:i/>
          <w:szCs w:val="22"/>
        </w:rPr>
        <w:t xml:space="preserve"> Annual Planning Outlook Engagement</w:t>
      </w:r>
      <w:r w:rsidRPr="009362BC">
        <w:rPr>
          <w:rFonts w:cs="Tahoma"/>
          <w:szCs w:val="22"/>
        </w:rPr>
        <w:t>.</w:t>
      </w:r>
      <w:r w:rsidR="00D5197A">
        <w:rPr>
          <w:rFonts w:eastAsiaTheme="minorEastAsia" w:cs="Tahoma"/>
          <w:szCs w:val="22"/>
          <w:lang w:val="en-US"/>
        </w:rPr>
        <w:t xml:space="preserve"> </w:t>
      </w:r>
      <w:r w:rsidRPr="009362BC">
        <w:rPr>
          <w:rFonts w:cs="Tahoma"/>
          <w:szCs w:val="22"/>
        </w:rPr>
        <w:t xml:space="preserve">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D5197A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Annual Planning Outlook</w:t>
        </w:r>
        <w:r w:rsidR="0040480E" w:rsidRPr="0040480E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 xml:space="preserve">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:rsidR="009362BC" w:rsidRPr="009362BC" w:rsidRDefault="009362BC" w:rsidP="009362BC">
      <w:pPr>
        <w:rPr>
          <w:rFonts w:cs="Tahoma"/>
          <w:szCs w:val="22"/>
        </w:rPr>
      </w:pPr>
    </w:p>
    <w:p w:rsidR="009B6BAE" w:rsidRPr="009362BC" w:rsidRDefault="009362BC" w:rsidP="009362BC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591E32" w:rsidP="007A06A7">
      <w:pPr>
        <w:pStyle w:val="Heading3"/>
      </w:pPr>
      <w:bookmarkStart w:id="1" w:name="_Toc35868671"/>
      <w:r>
        <w:lastRenderedPageBreak/>
        <w:t>2021</w:t>
      </w:r>
      <w:r w:rsidR="00E8279C" w:rsidRPr="00E8279C">
        <w:t xml:space="preserve"> Annual Planning Outlook Report</w:t>
      </w:r>
      <w:r w:rsidR="00B32396">
        <w:t xml:space="preserve"> – General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4200EA" w:rsidRPr="006B7128" w:rsidTr="00E8279C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E8279C">
        <w:trPr>
          <w:cantSplit/>
          <w:trHeight w:val="931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E8279C" w:rsidRDefault="00E8279C" w:rsidP="00E8279C">
            <w:pPr>
              <w:spacing w:line="240" w:lineRule="auto"/>
            </w:pPr>
            <w:r>
              <w:t>What chapter/section is most helpful?</w:t>
            </w:r>
          </w:p>
          <w:p w:rsidR="00E8279C" w:rsidRDefault="00E8279C" w:rsidP="00E8279C">
            <w:pPr>
              <w:spacing w:line="240" w:lineRule="auto"/>
            </w:pPr>
            <w:r>
              <w:t xml:space="preserve">Choose all that apply: </w:t>
            </w:r>
            <w:r w:rsidRPr="00E8279C">
              <w:t xml:space="preserve">Demand forecast, supply outlook, transmission outlook, capacity adequacy, energy adequacy, surplus baseload generation, </w:t>
            </w:r>
            <w:r w:rsidR="00023620">
              <w:t>locational considerations</w:t>
            </w:r>
            <w:r w:rsidRPr="00E8279C">
              <w:t>, integrating needs, marginal costs, greenhouse gas emissions, other</w:t>
            </w:r>
          </w:p>
          <w:p w:rsidR="004200EA" w:rsidRPr="006B7128" w:rsidRDefault="00E8279C" w:rsidP="00E8279C">
            <w:pPr>
              <w:spacing w:line="240" w:lineRule="auto"/>
            </w:pPr>
            <w:r>
              <w:t>Tell us more: What did you like about it?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:rsidTr="00E8279C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E0178C" w:rsidRPr="00E0178C" w:rsidRDefault="00E8279C" w:rsidP="00E8279C">
            <w:pPr>
              <w:spacing w:after="0" w:line="240" w:lineRule="auto"/>
            </w:pPr>
            <w:r>
              <w:t>What do you want to read more about?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0178C" w:rsidRPr="006D7540" w:rsidRDefault="00E0178C" w:rsidP="00DC09F6">
            <w:pPr>
              <w:pStyle w:val="TableNumeralsLeftAlignment"/>
            </w:pPr>
          </w:p>
        </w:tc>
      </w:tr>
      <w:tr w:rsidR="00E8279C" w:rsidRPr="006B7128" w:rsidTr="00E8279C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E8279C" w:rsidRDefault="00026E18" w:rsidP="00827DFF">
            <w:pPr>
              <w:spacing w:after="0" w:line="240" w:lineRule="auto"/>
            </w:pPr>
            <w:r w:rsidRPr="00E8279C">
              <w:t xml:space="preserve">What </w:t>
            </w:r>
            <w:r w:rsidR="00827DFF">
              <w:t>key factors, uncertainties</w:t>
            </w:r>
            <w:r w:rsidRPr="00E8279C">
              <w:t>, and additional considerations should the IESO include in future outlooks?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8279C" w:rsidRPr="006D7540" w:rsidRDefault="00E8279C" w:rsidP="00DC09F6">
            <w:pPr>
              <w:pStyle w:val="TableNumeralsLeftAlignment"/>
            </w:pPr>
          </w:p>
        </w:tc>
      </w:tr>
    </w:tbl>
    <w:p w:rsidR="00197EE4" w:rsidRDefault="00197EE4" w:rsidP="00456376">
      <w:pPr>
        <w:pStyle w:val="BodyText"/>
      </w:pPr>
    </w:p>
    <w:p w:rsidR="00591E32" w:rsidRPr="004200EA" w:rsidRDefault="00591E32" w:rsidP="007A06A7">
      <w:pPr>
        <w:pStyle w:val="Heading3"/>
      </w:pPr>
      <w:r>
        <w:t>2021</w:t>
      </w:r>
      <w:r w:rsidRPr="00E8279C">
        <w:t xml:space="preserve"> Annual Planning Outlook </w:t>
      </w:r>
      <w:r>
        <w:t>– Demand Forecast Specific 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591E32" w:rsidRPr="006B7128" w:rsidTr="00294A8C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:rsidR="00591E32" w:rsidRPr="003A3754" w:rsidRDefault="00591E32" w:rsidP="00294A8C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591E32" w:rsidRPr="006B7128" w:rsidRDefault="00591E32" w:rsidP="00294A8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91E32" w:rsidRPr="006B7128" w:rsidTr="00294A8C">
        <w:trPr>
          <w:cantSplit/>
          <w:trHeight w:val="931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C80194" w:rsidRDefault="00591E32" w:rsidP="00294A8C">
            <w:pPr>
              <w:spacing w:line="240" w:lineRule="auto"/>
            </w:pPr>
            <w:r w:rsidRPr="00591E32">
              <w:t>For consideration for future assessments, are there any known policy instruments that should be flagged for the IESO Planners</w:t>
            </w:r>
            <w:r>
              <w:t>?</w:t>
            </w:r>
          </w:p>
          <w:p w:rsidR="00591E32" w:rsidRPr="00C80194" w:rsidRDefault="00591E32" w:rsidP="00C80194"/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591E32" w:rsidRPr="006D7540" w:rsidRDefault="00591E32" w:rsidP="00294A8C">
            <w:pPr>
              <w:pStyle w:val="TableNumeralsLeftAlignment"/>
            </w:pPr>
          </w:p>
        </w:tc>
      </w:tr>
      <w:tr w:rsidR="00591E32" w:rsidRPr="006B7128" w:rsidTr="00294A8C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C80194" w:rsidRDefault="00591E32" w:rsidP="00294A8C">
            <w:pPr>
              <w:spacing w:after="0" w:line="240" w:lineRule="auto"/>
            </w:pPr>
            <w:r w:rsidRPr="00591E32">
              <w:t>Are the assumptions for the electricity demand drivers reasonable?</w:t>
            </w:r>
          </w:p>
          <w:p w:rsidR="00C80194" w:rsidRPr="00C80194" w:rsidRDefault="00C80194" w:rsidP="00C80194"/>
          <w:p w:rsidR="00591E32" w:rsidRPr="00C80194" w:rsidRDefault="00591E32" w:rsidP="00C80194"/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591E32" w:rsidRPr="006D7540" w:rsidRDefault="00591E32" w:rsidP="00294A8C">
            <w:pPr>
              <w:pStyle w:val="TableNumeralsLeftAlignment"/>
            </w:pPr>
          </w:p>
        </w:tc>
      </w:tr>
      <w:tr w:rsidR="00591E32" w:rsidRPr="006B7128" w:rsidTr="00294A8C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C80194" w:rsidRDefault="00591E32" w:rsidP="00294A8C">
            <w:pPr>
              <w:spacing w:after="0" w:line="240" w:lineRule="auto"/>
            </w:pPr>
            <w:r w:rsidRPr="00591E32">
              <w:t>IESO would appreciate any early signaling of known industrial large loads or expansion projects that may increase loads</w:t>
            </w:r>
            <w:r>
              <w:t>.</w:t>
            </w:r>
          </w:p>
          <w:p w:rsidR="00C80194" w:rsidRPr="00C80194" w:rsidRDefault="00C80194" w:rsidP="00C80194"/>
          <w:p w:rsidR="00591E32" w:rsidRPr="00C80194" w:rsidRDefault="00591E32" w:rsidP="00C80194"/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591E32" w:rsidRPr="006D7540" w:rsidRDefault="00591E32" w:rsidP="00294A8C">
            <w:pPr>
              <w:pStyle w:val="TableNumeralsLeftAlignment"/>
            </w:pPr>
          </w:p>
        </w:tc>
      </w:tr>
    </w:tbl>
    <w:p w:rsidR="00B32396" w:rsidRPr="004200EA" w:rsidRDefault="00B32396" w:rsidP="007A06A7">
      <w:pPr>
        <w:pStyle w:val="Heading3"/>
      </w:pPr>
      <w:r>
        <w:lastRenderedPageBreak/>
        <w:t>2021</w:t>
      </w:r>
      <w:r w:rsidRPr="00E8279C">
        <w:t xml:space="preserve"> Annual Planning Outlook </w:t>
      </w:r>
      <w:r>
        <w:t>– Transmission Specific 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B32396" w:rsidRPr="006B7128" w:rsidTr="009666EC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:rsidR="00B32396" w:rsidRPr="003A3754" w:rsidRDefault="00B32396" w:rsidP="009666EC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B32396" w:rsidRPr="006B7128" w:rsidRDefault="00B32396" w:rsidP="009666E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32396" w:rsidRPr="006B7128" w:rsidTr="009666EC">
        <w:trPr>
          <w:cantSplit/>
          <w:trHeight w:val="931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B32396" w:rsidRPr="006B7128" w:rsidRDefault="00B32396" w:rsidP="00FD6849">
            <w:pPr>
              <w:spacing w:line="240" w:lineRule="auto"/>
            </w:pPr>
            <w:r w:rsidRPr="00B32396">
              <w:t>In the 2021 APO we improved how we presented transmission issues/locational requirements. Specifically, we consolidated and described the locational requirements due to transmission constraints in Ch</w:t>
            </w:r>
            <w:r>
              <w:t>apter</w:t>
            </w:r>
            <w:r w:rsidRPr="00B32396">
              <w:t xml:space="preserve"> 5 and summarized them in Ch</w:t>
            </w:r>
            <w:r>
              <w:t>apter</w:t>
            </w:r>
            <w:r w:rsidRPr="00B32396">
              <w:t xml:space="preserve"> 6. In the 2022</w:t>
            </w:r>
            <w:r w:rsidR="00FD6849">
              <w:t> </w:t>
            </w:r>
            <w:r w:rsidRPr="00B32396">
              <w:t>APO</w:t>
            </w:r>
            <w:r w:rsidR="00FD6849">
              <w:t>,</w:t>
            </w:r>
            <w:r w:rsidRPr="00B32396">
              <w:t xml:space="preserve"> we look to further improve how the IESO presents this information and, as such, </w:t>
            </w:r>
            <w:r w:rsidR="00FD6849">
              <w:t xml:space="preserve">we </w:t>
            </w:r>
            <w:r w:rsidRPr="00B32396">
              <w:t xml:space="preserve">are seeking feedback on the changes made in the 2021 </w:t>
            </w:r>
            <w:r>
              <w:t xml:space="preserve">APO </w:t>
            </w:r>
            <w:r w:rsidRPr="00B32396">
              <w:t>(namely Ch</w:t>
            </w:r>
            <w:r>
              <w:t xml:space="preserve">apter </w:t>
            </w:r>
            <w:r w:rsidRPr="00B32396">
              <w:t>5 and the summary in Ch</w:t>
            </w:r>
            <w:r>
              <w:t xml:space="preserve">apter </w:t>
            </w:r>
            <w:r w:rsidRPr="00B32396">
              <w:t>6)</w:t>
            </w:r>
            <w:r w:rsidR="00FD6849">
              <w:t>,</w:t>
            </w:r>
            <w:r w:rsidRPr="00B32396">
              <w:t xml:space="preserve"> and/or advice to inform further improvements to how this information is presented in the 2022 APO.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B32396" w:rsidRPr="006D7540" w:rsidRDefault="00B32396" w:rsidP="009666EC">
            <w:pPr>
              <w:pStyle w:val="TableNumeralsLeftAlignment"/>
            </w:pPr>
          </w:p>
        </w:tc>
      </w:tr>
    </w:tbl>
    <w:p w:rsidR="00E8279C" w:rsidRDefault="00591E32" w:rsidP="007A06A7">
      <w:pPr>
        <w:pStyle w:val="Heading3"/>
      </w:pPr>
      <w:r>
        <w:t>2021</w:t>
      </w:r>
      <w:r w:rsidR="00E8279C" w:rsidRPr="00E8279C">
        <w:t xml:space="preserve"> Annual Planning Outlook Modules, Methodology, and Supplemental Data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770"/>
        <w:gridCol w:w="5220"/>
      </w:tblGrid>
      <w:tr w:rsidR="00E8279C" w:rsidRPr="006B7128" w:rsidTr="0009545E">
        <w:trPr>
          <w:cantSplit/>
          <w:trHeight w:val="144"/>
          <w:tblHeader/>
        </w:trPr>
        <w:tc>
          <w:tcPr>
            <w:tcW w:w="4770" w:type="dxa"/>
            <w:tcMar>
              <w:top w:w="0" w:type="dxa"/>
              <w:bottom w:w="130" w:type="dxa"/>
            </w:tcMar>
            <w:vAlign w:val="bottom"/>
          </w:tcPr>
          <w:p w:rsidR="00E8279C" w:rsidRPr="003A3754" w:rsidRDefault="00E8279C" w:rsidP="0009545E">
            <w:pPr>
              <w:pStyle w:val="TableHeaderLeftAlignment"/>
            </w:pPr>
            <w:r>
              <w:t>Topic</w:t>
            </w:r>
          </w:p>
        </w:tc>
        <w:tc>
          <w:tcPr>
            <w:tcW w:w="522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E8279C" w:rsidRPr="006B7128" w:rsidRDefault="00E8279C" w:rsidP="0009545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8279C" w:rsidRPr="006B7128" w:rsidTr="0009545E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E8279C" w:rsidRPr="00E0178C" w:rsidRDefault="006E674A" w:rsidP="0009545E">
            <w:pPr>
              <w:spacing w:after="0" w:line="240" w:lineRule="auto"/>
            </w:pPr>
            <w:r w:rsidRPr="006E674A">
              <w:t>Are the assumption</w:t>
            </w:r>
            <w:r w:rsidR="00026E18">
              <w:t>s</w:t>
            </w:r>
            <w:r w:rsidRPr="006E674A">
              <w:t>, inputs, and methodology reasonable</w:t>
            </w:r>
            <w:r>
              <w:t>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8279C" w:rsidRPr="006D7540" w:rsidRDefault="00E8279C" w:rsidP="0009545E">
            <w:pPr>
              <w:pStyle w:val="TableNumeralsLeftAlignment"/>
            </w:pPr>
          </w:p>
        </w:tc>
      </w:tr>
      <w:tr w:rsidR="00E8279C" w:rsidRPr="006B7128" w:rsidTr="0009545E">
        <w:trPr>
          <w:cantSplit/>
          <w:trHeight w:val="144"/>
        </w:trPr>
        <w:tc>
          <w:tcPr>
            <w:tcW w:w="4770" w:type="dxa"/>
            <w:shd w:val="clear" w:color="auto" w:fill="auto"/>
            <w:tcMar>
              <w:top w:w="130" w:type="dxa"/>
              <w:bottom w:w="130" w:type="dxa"/>
            </w:tcMar>
          </w:tcPr>
          <w:p w:rsidR="006E674A" w:rsidRDefault="006E674A" w:rsidP="0009545E">
            <w:pPr>
              <w:spacing w:after="0" w:line="240" w:lineRule="auto"/>
            </w:pPr>
            <w:r w:rsidRPr="006E674A">
              <w:t>What information do you want to see more of</w:t>
            </w:r>
            <w:r>
              <w:t>?</w:t>
            </w:r>
          </w:p>
        </w:tc>
        <w:tc>
          <w:tcPr>
            <w:tcW w:w="522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8279C" w:rsidRPr="006D7540" w:rsidRDefault="00E8279C" w:rsidP="0009545E">
            <w:pPr>
              <w:pStyle w:val="TableNumeralsLeftAlignment"/>
            </w:pPr>
          </w:p>
        </w:tc>
      </w:tr>
    </w:tbl>
    <w:p w:rsidR="00D2041D" w:rsidRDefault="00D2041D" w:rsidP="007A06A7">
      <w:pPr>
        <w:pStyle w:val="Heading3"/>
      </w:pPr>
      <w:r>
        <w:t>General Comments/Feedback</w:t>
      </w:r>
      <w:r w:rsidR="00771E42">
        <w:t>:</w:t>
      </w:r>
    </w:p>
    <w:bookmarkEnd w:id="1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6E" w:rsidRDefault="0000666E" w:rsidP="00F83314">
      <w:r>
        <w:separator/>
      </w:r>
    </w:p>
    <w:p w:rsidR="0000666E" w:rsidRDefault="0000666E"/>
  </w:endnote>
  <w:endnote w:type="continuationSeparator" w:id="0">
    <w:p w:rsidR="0000666E" w:rsidRDefault="0000666E" w:rsidP="00F83314">
      <w:r>
        <w:continuationSeparator/>
      </w:r>
    </w:p>
    <w:p w:rsidR="0000666E" w:rsidRDefault="00006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261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5A261D" w:rsidRDefault="00D5197A" w:rsidP="00871E07">
    <w:pPr>
      <w:pStyle w:val="Footer"/>
      <w:ind w:right="360"/>
    </w:pPr>
    <w:r>
      <w:t>2020 Annual Planning Outlook Engagement</w:t>
    </w:r>
    <w:r w:rsidR="00FC7434">
      <w:t xml:space="preserve">, </w:t>
    </w:r>
    <w:r w:rsidR="00C80194">
      <w:t>25</w:t>
    </w:r>
    <w:r w:rsidR="00FC7434">
      <w:t>/</w:t>
    </w:r>
    <w:r>
      <w:t>January</w:t>
    </w:r>
    <w:r w:rsidR="00FC7434">
      <w:t>/</w:t>
    </w:r>
    <w:r>
      <w:t>202</w:t>
    </w:r>
    <w:r w:rsidR="005A261D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A261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6E" w:rsidRDefault="0000666E">
      <w:r>
        <w:separator/>
      </w:r>
    </w:p>
  </w:footnote>
  <w:footnote w:type="continuationSeparator" w:id="0">
    <w:p w:rsidR="0000666E" w:rsidRDefault="0000666E" w:rsidP="00F83314">
      <w:r>
        <w:continuationSeparator/>
      </w:r>
    </w:p>
    <w:p w:rsidR="0000666E" w:rsidRDefault="00006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FE495E"/>
    <w:multiLevelType w:val="hybridMultilevel"/>
    <w:tmpl w:val="E0467EBE"/>
    <w:lvl w:ilvl="0" w:tplc="ADC6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26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06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A1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AB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46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CE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E9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A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E3F91"/>
    <w:multiLevelType w:val="hybridMultilevel"/>
    <w:tmpl w:val="D41CCC48"/>
    <w:lvl w:ilvl="0" w:tplc="5C409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AE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E3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CD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C3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48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EA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C0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F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7"/>
  </w:num>
  <w:num w:numId="28">
    <w:abstractNumId w:val="17"/>
  </w:num>
  <w:num w:numId="29">
    <w:abstractNumId w:val="33"/>
  </w:num>
  <w:num w:numId="30">
    <w:abstractNumId w:val="15"/>
  </w:num>
  <w:num w:numId="31">
    <w:abstractNumId w:val="23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66E"/>
    <w:rsid w:val="00006C5A"/>
    <w:rsid w:val="00023620"/>
    <w:rsid w:val="00026E18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30D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1E32"/>
    <w:rsid w:val="00592798"/>
    <w:rsid w:val="0059293A"/>
    <w:rsid w:val="0059295B"/>
    <w:rsid w:val="005A261D"/>
    <w:rsid w:val="005A5558"/>
    <w:rsid w:val="005A5723"/>
    <w:rsid w:val="005A5EF9"/>
    <w:rsid w:val="005B341A"/>
    <w:rsid w:val="005B38FB"/>
    <w:rsid w:val="005B7051"/>
    <w:rsid w:val="005C345A"/>
    <w:rsid w:val="005D0417"/>
    <w:rsid w:val="005D0A80"/>
    <w:rsid w:val="005D6B0E"/>
    <w:rsid w:val="005E0602"/>
    <w:rsid w:val="005F4CFF"/>
    <w:rsid w:val="00603F19"/>
    <w:rsid w:val="00607A0B"/>
    <w:rsid w:val="00615CDC"/>
    <w:rsid w:val="0061627F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674A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1E42"/>
    <w:rsid w:val="007759BF"/>
    <w:rsid w:val="00781339"/>
    <w:rsid w:val="00787A1A"/>
    <w:rsid w:val="00792720"/>
    <w:rsid w:val="007A06A7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27DFF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6AAA"/>
    <w:rsid w:val="00895B5D"/>
    <w:rsid w:val="00897595"/>
    <w:rsid w:val="008A6846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BD5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2396"/>
    <w:rsid w:val="00B44D93"/>
    <w:rsid w:val="00B45BE4"/>
    <w:rsid w:val="00B54E3D"/>
    <w:rsid w:val="00B55305"/>
    <w:rsid w:val="00B81E1D"/>
    <w:rsid w:val="00B82DDF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194"/>
    <w:rsid w:val="00CA56A3"/>
    <w:rsid w:val="00CC385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197A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2D5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8279C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6849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36EC5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7A06A7"/>
    <w:pPr>
      <w:keepNext/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86AA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886AA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7A06A7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AAA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254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Planning-and-Forecasting/Annual-Planning-Outlo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Planning-and-Forecasting/Annual-Planning-Outloo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7F37F3"/>
    <w:rsid w:val="00877538"/>
    <w:rsid w:val="00884744"/>
    <w:rsid w:val="00AC712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7CBC0-916C-4A5D-9B73-A788174D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Annual Planning Outlook Engagement – January 25, 2022 Feedback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2022-01-24T21:04:00Z</dcterms:created>
  <dcterms:modified xsi:type="dcterms:W3CDTF">2022-01-24T21:30:00Z</dcterms:modified>
  <cp:category/>
</cp:coreProperties>
</file>