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72E49BC8">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2DB5AAA4" w:rsidR="006F582B" w:rsidRDefault="003947ED" w:rsidP="006F582B">
      <w:pPr>
        <w:pStyle w:val="Heading2"/>
      </w:pPr>
      <w:r>
        <w:t>Transmission Rights Market Review</w:t>
      </w:r>
      <w:r w:rsidR="00252B43">
        <w:t xml:space="preserve"> webinar</w:t>
      </w:r>
      <w:r w:rsidR="007A1A30">
        <w:t xml:space="preserve"> – </w:t>
      </w:r>
      <w:r w:rsidR="00252B43">
        <w:t xml:space="preserve">December </w:t>
      </w:r>
      <w:r>
        <w:t>14</w:t>
      </w:r>
      <w:r w:rsidR="007A1A30">
        <w:t>, 2020</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273F85EC" w:rsidR="006F582B" w:rsidRDefault="00B44D93" w:rsidP="006F582B">
      <w:pPr>
        <w:pStyle w:val="BodyText"/>
      </w:pPr>
      <w:r w:rsidRPr="005D1848">
        <w:rPr>
          <w:rFonts w:eastAsiaTheme="minorEastAsia" w:cs="Tahoma"/>
          <w:szCs w:val="22"/>
          <w:lang w:val="en-US"/>
        </w:rPr>
        <w:t xml:space="preserve">Following the </w:t>
      </w:r>
      <w:r w:rsidR="00252B43">
        <w:rPr>
          <w:rFonts w:eastAsiaTheme="minorEastAsia" w:cs="Tahoma"/>
          <w:szCs w:val="22"/>
          <w:lang w:val="en-US"/>
        </w:rPr>
        <w:t xml:space="preserve">December </w:t>
      </w:r>
      <w:r w:rsidR="003947ED">
        <w:rPr>
          <w:rFonts w:eastAsiaTheme="minorEastAsia" w:cs="Tahoma"/>
          <w:szCs w:val="22"/>
          <w:lang w:val="en-US"/>
        </w:rPr>
        <w:t>14</w:t>
      </w:r>
      <w:r w:rsidRPr="005D1848">
        <w:rPr>
          <w:rFonts w:eastAsiaTheme="minorEastAsia" w:cs="Tahoma"/>
          <w:szCs w:val="22"/>
          <w:lang w:val="en-US"/>
        </w:rPr>
        <w:t xml:space="preserve">, 2020 </w:t>
      </w:r>
      <w:r w:rsidR="003947ED">
        <w:rPr>
          <w:rFonts w:eastAsiaTheme="minorEastAsia" w:cs="Tahoma"/>
          <w:szCs w:val="22"/>
          <w:lang w:val="en-US"/>
        </w:rPr>
        <w:t>Transmission Rights Market Review</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7781978F"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3947ED">
        <w:rPr>
          <w:rFonts w:eastAsiaTheme="minorEastAsia" w:cs="Tahoma"/>
          <w:b/>
          <w:szCs w:val="22"/>
          <w:lang w:val="en-US"/>
        </w:rPr>
        <w:t>January 18</w:t>
      </w:r>
      <w:r w:rsidRPr="00717CD0">
        <w:rPr>
          <w:rFonts w:eastAsiaTheme="minorEastAsia" w:cs="Tahoma"/>
          <w:b/>
          <w:szCs w:val="22"/>
          <w:lang w:val="en-US"/>
        </w:rPr>
        <w:t>, 202</w:t>
      </w:r>
      <w:r w:rsidR="003947ED">
        <w:rPr>
          <w:rFonts w:eastAsiaTheme="minorEastAsia" w:cs="Tahoma"/>
          <w:b/>
          <w:szCs w:val="22"/>
          <w:lang w:val="en-US"/>
        </w:rPr>
        <w:t>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2F775584" w:rsidR="00C04795" w:rsidRPr="004200EA" w:rsidRDefault="00C27988" w:rsidP="00EF1F49">
      <w:pPr>
        <w:pStyle w:val="Heading3"/>
      </w:pPr>
      <w:bookmarkStart w:id="0" w:name="_Toc35868671"/>
      <w:r>
        <w:lastRenderedPageBreak/>
        <w:t xml:space="preserve">Feedback </w:t>
      </w:r>
      <w:r w:rsidR="003947ED">
        <w:t>Requested</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525BD3">
        <w:trPr>
          <w:cantSplit/>
          <w:trHeight w:val="144"/>
        </w:trPr>
        <w:tc>
          <w:tcPr>
            <w:tcW w:w="3960" w:type="dxa"/>
            <w:shd w:val="clear" w:color="auto" w:fill="auto"/>
            <w:tcMar>
              <w:top w:w="130" w:type="dxa"/>
              <w:bottom w:w="130" w:type="dxa"/>
            </w:tcMar>
          </w:tcPr>
          <w:p w14:paraId="05D9C244" w14:textId="62663E20" w:rsidR="004200EA" w:rsidRPr="006B7128" w:rsidRDefault="003947ED" w:rsidP="00EF1F49">
            <w:pPr>
              <w:pStyle w:val="TableNumeralsLeftAlignment"/>
            </w:pPr>
            <w:r w:rsidRPr="003947ED">
              <w:t>Please provide further comments on the high-value opportunities identified during Stage 2</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3D0BE4" w:rsidRPr="006B7128" w14:paraId="3C47BE88" w14:textId="77777777" w:rsidTr="00525BD3">
        <w:trPr>
          <w:cantSplit/>
          <w:trHeight w:val="144"/>
          <w:tblHeader/>
        </w:trPr>
        <w:tc>
          <w:tcPr>
            <w:tcW w:w="396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603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525BD3">
        <w:trPr>
          <w:cantSplit/>
          <w:trHeight w:val="144"/>
        </w:trPr>
        <w:tc>
          <w:tcPr>
            <w:tcW w:w="3960" w:type="dxa"/>
            <w:shd w:val="clear" w:color="auto" w:fill="auto"/>
            <w:tcMar>
              <w:top w:w="130" w:type="dxa"/>
              <w:bottom w:w="130" w:type="dxa"/>
            </w:tcMar>
          </w:tcPr>
          <w:p w14:paraId="70123BC0" w14:textId="6BC1A528" w:rsidR="003D0BE4" w:rsidRPr="006B7128" w:rsidRDefault="003947ED" w:rsidP="003947ED">
            <w:pPr>
              <w:pStyle w:val="TableNumeralsLeftAlignment"/>
            </w:pPr>
            <w:r w:rsidRPr="003947ED">
              <w:t xml:space="preserve">What are the benefits and risks of hedging </w:t>
            </w:r>
            <w:r>
              <w:t>day-ahead market</w:t>
            </w:r>
            <w:r w:rsidRPr="003947ED">
              <w:t xml:space="preserve"> </w:t>
            </w:r>
            <w:r>
              <w:t>net interchange scheduling limit (NISL) congestion costs with transmission right</w:t>
            </w:r>
            <w:r w:rsidRPr="003947ED">
              <w:t>s? Please provide detailed examples, evidence and rationale. </w:t>
            </w:r>
          </w:p>
        </w:tc>
        <w:tc>
          <w:tcPr>
            <w:tcW w:w="6030" w:type="dxa"/>
            <w:shd w:val="clear" w:color="auto" w:fill="auto"/>
            <w:tcMar>
              <w:top w:w="130" w:type="dxa"/>
              <w:left w:w="144" w:type="dxa"/>
              <w:bottom w:w="130" w:type="dxa"/>
              <w:right w:w="0" w:type="dxa"/>
            </w:tcMar>
          </w:tcPr>
          <w:p w14:paraId="068B1E2E" w14:textId="77777777" w:rsidR="003D0BE4" w:rsidRPr="006D7540" w:rsidRDefault="003D0BE4" w:rsidP="00EF1F49">
            <w:pPr>
              <w:pStyle w:val="TableNumeralsLeftAlignment"/>
            </w:pPr>
          </w:p>
        </w:tc>
      </w:tr>
      <w:tr w:rsidR="003947ED" w:rsidRPr="006B7128" w14:paraId="219B3FFB" w14:textId="77777777" w:rsidTr="001211D6">
        <w:trPr>
          <w:cantSplit/>
          <w:trHeight w:val="144"/>
          <w:tblHeader/>
        </w:trPr>
        <w:tc>
          <w:tcPr>
            <w:tcW w:w="3960" w:type="dxa"/>
            <w:tcMar>
              <w:top w:w="0" w:type="dxa"/>
              <w:bottom w:w="130" w:type="dxa"/>
            </w:tcMar>
            <w:vAlign w:val="bottom"/>
          </w:tcPr>
          <w:p w14:paraId="3EA5DDBF" w14:textId="77777777" w:rsidR="003947ED" w:rsidRDefault="003947ED" w:rsidP="001211D6">
            <w:pPr>
              <w:pStyle w:val="TableHeaderLeftAlignment"/>
            </w:pPr>
          </w:p>
          <w:p w14:paraId="62C57E13" w14:textId="6E2FE660" w:rsidR="003947ED" w:rsidRPr="003A3754" w:rsidRDefault="003947ED" w:rsidP="001211D6">
            <w:pPr>
              <w:pStyle w:val="TableHeaderLeftAlignment"/>
            </w:pPr>
            <w:r>
              <w:t>Topic</w:t>
            </w:r>
          </w:p>
        </w:tc>
        <w:tc>
          <w:tcPr>
            <w:tcW w:w="6030" w:type="dxa"/>
            <w:tcMar>
              <w:top w:w="0" w:type="dxa"/>
              <w:left w:w="144" w:type="dxa"/>
              <w:bottom w:w="130" w:type="dxa"/>
              <w:right w:w="0" w:type="dxa"/>
            </w:tcMar>
            <w:vAlign w:val="bottom"/>
          </w:tcPr>
          <w:p w14:paraId="4D827A50" w14:textId="77777777" w:rsidR="003947ED" w:rsidRPr="006B7128" w:rsidRDefault="003947ED" w:rsidP="001211D6">
            <w:pPr>
              <w:pStyle w:val="TableHeaderRightAlignment"/>
              <w:framePr w:wrap="around"/>
            </w:pPr>
            <w:r>
              <w:t>Feedback</w:t>
            </w:r>
          </w:p>
        </w:tc>
      </w:tr>
      <w:tr w:rsidR="003947ED" w:rsidRPr="006B7128" w14:paraId="385EFE91" w14:textId="77777777" w:rsidTr="001211D6">
        <w:trPr>
          <w:cantSplit/>
          <w:trHeight w:val="144"/>
        </w:trPr>
        <w:tc>
          <w:tcPr>
            <w:tcW w:w="3960" w:type="dxa"/>
            <w:shd w:val="clear" w:color="auto" w:fill="auto"/>
            <w:tcMar>
              <w:top w:w="130" w:type="dxa"/>
              <w:bottom w:w="130" w:type="dxa"/>
            </w:tcMar>
          </w:tcPr>
          <w:p w14:paraId="5BF24FC2" w14:textId="3F7A2893" w:rsidR="003947ED" w:rsidRPr="006B7128" w:rsidRDefault="003947ED" w:rsidP="001211D6">
            <w:pPr>
              <w:pStyle w:val="TableNumeralsLeftAlignment"/>
            </w:pPr>
            <w:r w:rsidRPr="003947ED">
              <w:t>Please provide comments on the default changes or any other changes required to the TR market as a result of the relevant MRP changes</w:t>
            </w:r>
          </w:p>
        </w:tc>
        <w:tc>
          <w:tcPr>
            <w:tcW w:w="6030" w:type="dxa"/>
            <w:shd w:val="clear" w:color="auto" w:fill="auto"/>
            <w:tcMar>
              <w:top w:w="130" w:type="dxa"/>
              <w:left w:w="144" w:type="dxa"/>
              <w:bottom w:w="130" w:type="dxa"/>
              <w:right w:w="0" w:type="dxa"/>
            </w:tcMar>
          </w:tcPr>
          <w:p w14:paraId="79EA9B91" w14:textId="77777777" w:rsidR="003947ED" w:rsidRPr="006D7540" w:rsidRDefault="003947ED" w:rsidP="001211D6">
            <w:pPr>
              <w:pStyle w:val="TableNumeralsLeftAlignment"/>
            </w:pPr>
          </w:p>
        </w:tc>
      </w:tr>
    </w:tbl>
    <w:p w14:paraId="11E11424" w14:textId="0E9D45B9" w:rsidR="00C37949" w:rsidRDefault="00C37949" w:rsidP="00C37949">
      <w:pPr>
        <w:pStyle w:val="BodyText"/>
      </w:pPr>
    </w:p>
    <w:p w14:paraId="3BD88D50" w14:textId="61E26A10" w:rsidR="00D2041D" w:rsidRDefault="00D2041D" w:rsidP="00D2041D">
      <w:pPr>
        <w:pStyle w:val="Heading3"/>
      </w:pPr>
      <w:r>
        <w:t>General Comments/Feedback</w:t>
      </w:r>
    </w:p>
    <w:p w14:paraId="0EA7A0E8" w14:textId="48E4E462" w:rsidR="00D56CDF" w:rsidRPr="003B554C" w:rsidRDefault="004B6DC6" w:rsidP="00456376">
      <w:pPr>
        <w:pStyle w:val="BodyText"/>
      </w:pPr>
      <w:sdt>
        <w:sdtPr>
          <w:id w:val="2020188421"/>
          <w:placeholder>
            <w:docPart w:val="2D52CB03BA924531BF01F78E84712BC3"/>
          </w:placeholder>
          <w:showingPlcHdr/>
        </w:sdtPr>
        <w:sdtContent>
          <w:r w:rsidRPr="00073539">
            <w:rPr>
              <w:rStyle w:val="PlaceholderText"/>
            </w:rPr>
            <w:t>Click or tap here to enter text.</w:t>
          </w:r>
        </w:sdtContent>
      </w:sdt>
      <w:bookmarkStart w:id="1" w:name="_GoBack"/>
      <w:bookmarkEnd w:id="1"/>
    </w:p>
    <w:bookmarkEnd w:id="0"/>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08A65DCF"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6DC6">
          <w:rPr>
            <w:rStyle w:val="PageNumber"/>
            <w:noProof/>
          </w:rPr>
          <w:t>2</w:t>
        </w:r>
        <w:r>
          <w:rPr>
            <w:rStyle w:val="PageNumber"/>
          </w:rPr>
          <w:fldChar w:fldCharType="end"/>
        </w:r>
      </w:p>
    </w:sdtContent>
  </w:sdt>
  <w:p w14:paraId="4A7CFF92" w14:textId="700D2BED" w:rsidR="00C6016F" w:rsidRDefault="004B6DC6" w:rsidP="00871E07">
    <w:pPr>
      <w:pStyle w:val="Footer"/>
      <w:ind w:right="360"/>
    </w:pPr>
    <w:r>
      <w:t>Transmission Rights Market Review webinar – December 14, 2020</w:t>
    </w:r>
    <w:r w:rsidR="00FC7434">
      <w:t xml:space="preserve">, </w:t>
    </w:r>
    <w:r>
      <w:t>14</w:t>
    </w:r>
    <w:r w:rsidR="00FC7434">
      <w:t>/</w:t>
    </w:r>
    <w:r>
      <w:t>December</w:t>
    </w:r>
    <w:r w:rsidR="00FC7434">
      <w:t>/</w:t>
    </w:r>
    <w:r w:rsidR="00575FB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2079630E"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4B6DC6">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947ED"/>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B6DC6"/>
    <w:rsid w:val="004C1610"/>
    <w:rsid w:val="004D5A69"/>
    <w:rsid w:val="004D7C5F"/>
    <w:rsid w:val="004E0F5C"/>
    <w:rsid w:val="004F115E"/>
    <w:rsid w:val="00502752"/>
    <w:rsid w:val="005066CE"/>
    <w:rsid w:val="005250E4"/>
    <w:rsid w:val="00525BD3"/>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0FDE"/>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7239">
      <w:bodyDiv w:val="1"/>
      <w:marLeft w:val="0"/>
      <w:marRight w:val="0"/>
      <w:marTop w:val="0"/>
      <w:marBottom w:val="0"/>
      <w:divBdr>
        <w:top w:val="none" w:sz="0" w:space="0" w:color="auto"/>
        <w:left w:val="none" w:sz="0" w:space="0" w:color="auto"/>
        <w:bottom w:val="none" w:sz="0" w:space="0" w:color="auto"/>
        <w:right w:val="none" w:sz="0" w:space="0" w:color="auto"/>
      </w:divBdr>
      <w:divsChild>
        <w:div w:id="432749629">
          <w:marLeft w:val="547"/>
          <w:marRight w:val="0"/>
          <w:marTop w:val="0"/>
          <w:marBottom w:val="180"/>
          <w:divBdr>
            <w:top w:val="none" w:sz="0" w:space="0" w:color="auto"/>
            <w:left w:val="none" w:sz="0" w:space="0" w:color="auto"/>
            <w:bottom w:val="none" w:sz="0" w:space="0" w:color="auto"/>
            <w:right w:val="none" w:sz="0" w:space="0" w:color="auto"/>
          </w:divBdr>
        </w:div>
      </w:divsChild>
    </w:div>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448425570">
      <w:bodyDiv w:val="1"/>
      <w:marLeft w:val="0"/>
      <w:marRight w:val="0"/>
      <w:marTop w:val="0"/>
      <w:marBottom w:val="0"/>
      <w:divBdr>
        <w:top w:val="none" w:sz="0" w:space="0" w:color="auto"/>
        <w:left w:val="none" w:sz="0" w:space="0" w:color="auto"/>
        <w:bottom w:val="none" w:sz="0" w:space="0" w:color="auto"/>
        <w:right w:val="none" w:sz="0" w:space="0" w:color="auto"/>
      </w:divBdr>
      <w:divsChild>
        <w:div w:id="1516111020">
          <w:marLeft w:val="547"/>
          <w:marRight w:val="0"/>
          <w:marTop w:val="0"/>
          <w:marBottom w:val="180"/>
          <w:divBdr>
            <w:top w:val="none" w:sz="0" w:space="0" w:color="auto"/>
            <w:left w:val="none" w:sz="0" w:space="0" w:color="auto"/>
            <w:bottom w:val="none" w:sz="0" w:space="0" w:color="auto"/>
            <w:right w:val="none" w:sz="0" w:space="0" w:color="auto"/>
          </w:divBdr>
        </w:div>
      </w:divsChild>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1872064860">
      <w:bodyDiv w:val="1"/>
      <w:marLeft w:val="0"/>
      <w:marRight w:val="0"/>
      <w:marTop w:val="0"/>
      <w:marBottom w:val="0"/>
      <w:divBdr>
        <w:top w:val="none" w:sz="0" w:space="0" w:color="auto"/>
        <w:left w:val="none" w:sz="0" w:space="0" w:color="auto"/>
        <w:bottom w:val="none" w:sz="0" w:space="0" w:color="auto"/>
        <w:right w:val="none" w:sz="0" w:space="0" w:color="auto"/>
      </w:divBdr>
      <w:divsChild>
        <w:div w:id="1018578385">
          <w:marLeft w:val="547"/>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Working-Groups/Demand-Response-Working-Grou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2D52CB03BA924531BF01F78E84712BC3"/>
        <w:category>
          <w:name w:val="General"/>
          <w:gallery w:val="placeholder"/>
        </w:category>
        <w:types>
          <w:type w:val="bbPlcHdr"/>
        </w:types>
        <w:behaviors>
          <w:behavior w:val="content"/>
        </w:behaviors>
        <w:guid w:val="{D546CBCC-5CCE-4AF5-BD07-FCBFD39EC6AE}"/>
      </w:docPartPr>
      <w:docPartBody>
        <w:p w:rsidR="00000000" w:rsidRDefault="00EB38B9" w:rsidP="00EB38B9">
          <w:pPr>
            <w:pStyle w:val="2D52CB03BA924531BF01F78E84712BC3"/>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 w:val="00EB3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B9"/>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2D52CB03BA924531BF01F78E84712BC3">
    <w:name w:val="2D52CB03BA924531BF01F78E84712BC3"/>
    <w:rsid w:val="00EB3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70DB-242A-41F5-9944-AC1027BB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Rights Market Review webinar – December 14, 2020 Feedback Form</dc:title>
  <dc:subject/>
  <dc:creator>Independent Electricity System Operator</dc:creator>
  <cp:keywords/>
  <dc:description/>
  <cp:lastModifiedBy>Daniela Drazic</cp:lastModifiedBy>
  <cp:revision>4</cp:revision>
  <cp:lastPrinted>2020-04-17T18:00:00Z</cp:lastPrinted>
  <dcterms:created xsi:type="dcterms:W3CDTF">2020-12-14T20:17:00Z</dcterms:created>
  <dcterms:modified xsi:type="dcterms:W3CDTF">2020-12-14T20:24:00Z</dcterms:modified>
  <cp:category/>
</cp:coreProperties>
</file>