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312D2D5E" w:rsidR="006F582B" w:rsidRDefault="00C24FEC" w:rsidP="006F582B">
      <w:pPr>
        <w:pStyle w:val="Heading2"/>
      </w:pPr>
      <w:r>
        <w:t>Transmission Rights Market Review</w:t>
      </w:r>
      <w:r w:rsidR="004526B6" w:rsidRPr="004526B6">
        <w:t xml:space="preserve"> webinar</w:t>
      </w:r>
      <w:r w:rsidR="007A1A30">
        <w:t xml:space="preserve">– October </w:t>
      </w:r>
      <w:r w:rsidR="004526B6">
        <w:t>2</w:t>
      </w:r>
      <w:r>
        <w:t>7</w:t>
      </w:r>
      <w:r w:rsidR="007A1A30">
        <w:t>, 2020</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51D2EBED" w:rsidR="006F582B" w:rsidRDefault="00B44D93" w:rsidP="006F582B">
      <w:pPr>
        <w:pStyle w:val="BodyText"/>
      </w:pPr>
      <w:r w:rsidRPr="005D1848">
        <w:rPr>
          <w:rFonts w:eastAsiaTheme="minorEastAsia" w:cs="Tahoma"/>
          <w:szCs w:val="22"/>
          <w:lang w:val="en-US"/>
        </w:rPr>
        <w:t xml:space="preserve">Following the </w:t>
      </w:r>
      <w:r>
        <w:rPr>
          <w:rFonts w:eastAsiaTheme="minorEastAsia" w:cs="Tahoma"/>
          <w:szCs w:val="22"/>
          <w:lang w:val="en-US"/>
        </w:rPr>
        <w:t xml:space="preserve">October </w:t>
      </w:r>
      <w:r w:rsidR="004526B6">
        <w:rPr>
          <w:rFonts w:eastAsiaTheme="minorEastAsia" w:cs="Tahoma"/>
          <w:szCs w:val="22"/>
          <w:lang w:val="en-US"/>
        </w:rPr>
        <w:t>2</w:t>
      </w:r>
      <w:r w:rsidR="00C24FEC">
        <w:rPr>
          <w:rFonts w:eastAsiaTheme="minorEastAsia" w:cs="Tahoma"/>
          <w:szCs w:val="22"/>
          <w:lang w:val="en-US"/>
        </w:rPr>
        <w:t>7</w:t>
      </w:r>
      <w:r w:rsidRPr="005D1848">
        <w:rPr>
          <w:rFonts w:eastAsiaTheme="minorEastAsia" w:cs="Tahoma"/>
          <w:szCs w:val="22"/>
          <w:lang w:val="en-US"/>
        </w:rPr>
        <w:t xml:space="preserve">, 2020 </w:t>
      </w:r>
      <w:r w:rsidR="00C24FEC">
        <w:t>Transmission Rights Market Review</w:t>
      </w:r>
      <w:r w:rsidR="004526B6" w:rsidRPr="004526B6">
        <w:rPr>
          <w:rFonts w:eastAsiaTheme="minorEastAsia" w:cs="Tahoma"/>
          <w:szCs w:val="22"/>
          <w:lang w:val="en-US"/>
        </w:rPr>
        <w:t xml:space="preserve"> webinar</w:t>
      </w:r>
      <w:r w:rsidRPr="005D1848">
        <w:rPr>
          <w:rFonts w:eastAsiaTheme="minorEastAsia" w:cs="Tahoma"/>
          <w:szCs w:val="22"/>
          <w:lang w:val="en-US"/>
        </w:rPr>
        <w:t xml:space="preserve">,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62817FA9"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B16545">
          <w:rPr>
            <w:rStyle w:val="Hyperlink"/>
          </w:rPr>
          <w:t>engagement@ieso.ca</w:t>
        </w:r>
      </w:hyperlink>
      <w:r>
        <w:rPr>
          <w:rFonts w:eastAsiaTheme="minorEastAsia" w:cs="Tahoma"/>
          <w:szCs w:val="22"/>
          <w:lang w:val="en-US"/>
        </w:rPr>
        <w:t xml:space="preserve"> </w:t>
      </w:r>
      <w:r w:rsidRPr="00717CD0">
        <w:rPr>
          <w:rFonts w:eastAsiaTheme="minorEastAsia" w:cs="Tahoma"/>
          <w:b/>
          <w:szCs w:val="22"/>
          <w:lang w:val="en-US"/>
        </w:rPr>
        <w:t xml:space="preserve">by </w:t>
      </w:r>
      <w:r w:rsidR="00C24FEC">
        <w:rPr>
          <w:rFonts w:eastAsiaTheme="minorEastAsia" w:cs="Tahoma"/>
          <w:b/>
          <w:szCs w:val="22"/>
          <w:lang w:val="en-US"/>
        </w:rPr>
        <w:t>November 17</w:t>
      </w:r>
      <w:r w:rsidRPr="00717CD0">
        <w:rPr>
          <w:rFonts w:eastAsiaTheme="minorEastAsia" w:cs="Tahoma"/>
          <w:b/>
          <w:szCs w:val="22"/>
          <w:lang w:val="en-US"/>
        </w:rPr>
        <w:t>, 2020</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4358B92E" w14:textId="7C22A883" w:rsidR="00C04795" w:rsidRPr="00C24FEC" w:rsidRDefault="009B6BAE" w:rsidP="00C24FEC">
      <w:pPr>
        <w:spacing w:after="0" w:line="240" w:lineRule="auto"/>
        <w:rPr>
          <w:noProof/>
          <w:color w:val="000000" w:themeColor="text1"/>
          <w:u w:color="8CD2F3" w:themeColor="background2"/>
          <w:lang w:eastAsia="en-CA"/>
          <w14:numForm w14:val="lining"/>
          <w14:numSpacing w14:val="tabular"/>
        </w:rPr>
      </w:pPr>
      <w:r>
        <w:br w:type="page"/>
      </w:r>
      <w:bookmarkStart w:id="0" w:name="_Toc35868671"/>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4200EA" w:rsidRPr="006B7128" w14:paraId="1F6F248C" w14:textId="77777777" w:rsidTr="00D2041D">
        <w:trPr>
          <w:cantSplit/>
          <w:trHeight w:val="144"/>
          <w:tblHeader/>
        </w:trPr>
        <w:tc>
          <w:tcPr>
            <w:tcW w:w="5490" w:type="dxa"/>
            <w:tcMar>
              <w:top w:w="0" w:type="dxa"/>
              <w:bottom w:w="130" w:type="dxa"/>
            </w:tcMar>
            <w:vAlign w:val="bottom"/>
          </w:tcPr>
          <w:p w14:paraId="5E43125D" w14:textId="24F7BEA4" w:rsidR="004200EA" w:rsidRPr="003A3754" w:rsidRDefault="00D56CDF" w:rsidP="00AE442F">
            <w:pPr>
              <w:pStyle w:val="TableHeaderLeftAlignment"/>
            </w:pPr>
            <w:r>
              <w:lastRenderedPageBreak/>
              <w:t>Topic</w:t>
            </w:r>
          </w:p>
        </w:tc>
        <w:tc>
          <w:tcPr>
            <w:tcW w:w="450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D2041D">
        <w:trPr>
          <w:cantSplit/>
          <w:trHeight w:val="144"/>
        </w:trPr>
        <w:tc>
          <w:tcPr>
            <w:tcW w:w="5490" w:type="dxa"/>
            <w:shd w:val="clear" w:color="auto" w:fill="auto"/>
            <w:tcMar>
              <w:top w:w="130" w:type="dxa"/>
              <w:bottom w:w="130" w:type="dxa"/>
            </w:tcMar>
          </w:tcPr>
          <w:p w14:paraId="05D9C244" w14:textId="5BAF23E9" w:rsidR="004200EA" w:rsidRPr="006B7128" w:rsidRDefault="00C24FEC" w:rsidP="008750B1">
            <w:pPr>
              <w:pStyle w:val="TableNumeralsLeftAlignment"/>
            </w:pPr>
            <w:r w:rsidRPr="00C24FEC">
              <w:t>Are there other considerations</w:t>
            </w:r>
            <w:r w:rsidR="008750B1">
              <w:t xml:space="preserve"> </w:t>
            </w:r>
            <w:r w:rsidRPr="00C24FEC">
              <w:t xml:space="preserve">on Stage 2 options regarding </w:t>
            </w:r>
            <w:r>
              <w:t>transmission rights (</w:t>
            </w:r>
            <w:r w:rsidRPr="00C24FEC">
              <w:t>TR</w:t>
            </w:r>
            <w:r>
              <w:t>)</w:t>
            </w:r>
            <w:r w:rsidRPr="00C24FEC">
              <w:t xml:space="preserve"> auction process and TR products?</w:t>
            </w:r>
          </w:p>
        </w:tc>
        <w:tc>
          <w:tcPr>
            <w:tcW w:w="4500" w:type="dxa"/>
            <w:shd w:val="clear" w:color="auto" w:fill="auto"/>
            <w:tcMar>
              <w:top w:w="130" w:type="dxa"/>
              <w:left w:w="144" w:type="dxa"/>
              <w:bottom w:w="130" w:type="dxa"/>
              <w:right w:w="0" w:type="dxa"/>
            </w:tcMar>
          </w:tcPr>
          <w:p w14:paraId="0DFE4F0C" w14:textId="001F8336" w:rsidR="004200EA" w:rsidRPr="006D7540" w:rsidRDefault="004200EA" w:rsidP="00C24FEC">
            <w:pPr>
              <w:pStyle w:val="TableNumeralsLeftAlignment"/>
            </w:pPr>
          </w:p>
        </w:tc>
      </w:tr>
    </w:tbl>
    <w:p w14:paraId="08294854" w14:textId="77777777" w:rsidR="00E6315A" w:rsidRDefault="00E6315A" w:rsidP="00E6315A">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E6315A" w:rsidRPr="006B7128" w14:paraId="2BA97184" w14:textId="77777777" w:rsidTr="00587A11">
        <w:trPr>
          <w:cantSplit/>
          <w:trHeight w:val="144"/>
          <w:tblHeader/>
        </w:trPr>
        <w:tc>
          <w:tcPr>
            <w:tcW w:w="5490" w:type="dxa"/>
            <w:tcMar>
              <w:top w:w="0" w:type="dxa"/>
              <w:bottom w:w="130" w:type="dxa"/>
            </w:tcMar>
            <w:vAlign w:val="bottom"/>
          </w:tcPr>
          <w:p w14:paraId="32C87F8E" w14:textId="77777777" w:rsidR="00E6315A" w:rsidRPr="003A3754" w:rsidRDefault="00E6315A" w:rsidP="00587A11">
            <w:pPr>
              <w:pStyle w:val="TableHeaderLeftAlignment"/>
            </w:pPr>
            <w:r>
              <w:t>Topic</w:t>
            </w:r>
          </w:p>
        </w:tc>
        <w:tc>
          <w:tcPr>
            <w:tcW w:w="4500" w:type="dxa"/>
            <w:tcMar>
              <w:top w:w="0" w:type="dxa"/>
              <w:left w:w="144" w:type="dxa"/>
              <w:bottom w:w="130" w:type="dxa"/>
              <w:right w:w="0" w:type="dxa"/>
            </w:tcMar>
            <w:vAlign w:val="bottom"/>
          </w:tcPr>
          <w:p w14:paraId="50D23789" w14:textId="77777777" w:rsidR="00E6315A" w:rsidRPr="006B7128" w:rsidRDefault="00E6315A" w:rsidP="00587A11">
            <w:pPr>
              <w:pStyle w:val="TableHeaderRightAlignment"/>
              <w:framePr w:wrap="around"/>
            </w:pPr>
            <w:r>
              <w:t>Feedback</w:t>
            </w:r>
          </w:p>
        </w:tc>
      </w:tr>
      <w:tr w:rsidR="00E6315A" w:rsidRPr="006B7128" w14:paraId="3D955338" w14:textId="77777777" w:rsidTr="00587A11">
        <w:trPr>
          <w:cantSplit/>
          <w:trHeight w:val="144"/>
        </w:trPr>
        <w:tc>
          <w:tcPr>
            <w:tcW w:w="5490" w:type="dxa"/>
            <w:shd w:val="clear" w:color="auto" w:fill="auto"/>
            <w:tcMar>
              <w:top w:w="130" w:type="dxa"/>
              <w:bottom w:w="130" w:type="dxa"/>
            </w:tcMar>
          </w:tcPr>
          <w:p w14:paraId="1E749A44" w14:textId="77777777" w:rsidR="00E6315A" w:rsidRPr="00C24FEC" w:rsidRDefault="00E6315A" w:rsidP="00587A11">
            <w:pPr>
              <w:pStyle w:val="TableNumeralsLeftAlignment"/>
            </w:pPr>
            <w:r w:rsidRPr="00C24FEC">
              <w:t>Do you have any questions about the data presented in this presentation, or recommendations for further analysis on the methodology?</w:t>
            </w:r>
          </w:p>
        </w:tc>
        <w:tc>
          <w:tcPr>
            <w:tcW w:w="4500" w:type="dxa"/>
            <w:shd w:val="clear" w:color="auto" w:fill="auto"/>
            <w:tcMar>
              <w:top w:w="130" w:type="dxa"/>
              <w:left w:w="144" w:type="dxa"/>
              <w:bottom w:w="130" w:type="dxa"/>
              <w:right w:w="0" w:type="dxa"/>
            </w:tcMar>
          </w:tcPr>
          <w:p w14:paraId="7A4ED6DA" w14:textId="77777777" w:rsidR="00E6315A" w:rsidRPr="006D7540" w:rsidRDefault="00E6315A" w:rsidP="00587A11">
            <w:pPr>
              <w:pStyle w:val="TableNumeralsLeftAlignment"/>
            </w:pPr>
          </w:p>
        </w:tc>
      </w:tr>
    </w:tbl>
    <w:p w14:paraId="32D9FA01" w14:textId="77777777" w:rsidR="00E6315A" w:rsidRDefault="00E6315A" w:rsidP="00456376">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3D0BE4" w:rsidRPr="006B7128" w14:paraId="3C47BE88" w14:textId="77777777" w:rsidTr="00D2041D">
        <w:trPr>
          <w:cantSplit/>
          <w:trHeight w:val="144"/>
          <w:tblHeader/>
        </w:trPr>
        <w:tc>
          <w:tcPr>
            <w:tcW w:w="5490" w:type="dxa"/>
            <w:tcMar>
              <w:top w:w="0" w:type="dxa"/>
              <w:bottom w:w="130" w:type="dxa"/>
            </w:tcMar>
            <w:vAlign w:val="bottom"/>
          </w:tcPr>
          <w:p w14:paraId="2865FAD9" w14:textId="77777777" w:rsidR="003D0BE4" w:rsidRPr="003A3754" w:rsidRDefault="003D0BE4" w:rsidP="00C333FC">
            <w:pPr>
              <w:pStyle w:val="TableHeaderLeftAlignment"/>
            </w:pPr>
            <w:r>
              <w:t>Topic</w:t>
            </w:r>
          </w:p>
        </w:tc>
        <w:tc>
          <w:tcPr>
            <w:tcW w:w="4500" w:type="dxa"/>
            <w:tcMar>
              <w:top w:w="0" w:type="dxa"/>
              <w:left w:w="144" w:type="dxa"/>
              <w:bottom w:w="130" w:type="dxa"/>
              <w:right w:w="0" w:type="dxa"/>
            </w:tcMar>
            <w:vAlign w:val="bottom"/>
          </w:tcPr>
          <w:p w14:paraId="6B5523B5" w14:textId="77777777" w:rsidR="003D0BE4" w:rsidRPr="006B7128" w:rsidRDefault="003D0BE4" w:rsidP="00C333FC">
            <w:pPr>
              <w:pStyle w:val="TableHeaderRightAlignment"/>
              <w:framePr w:wrap="around"/>
            </w:pPr>
            <w:r>
              <w:t>Feedback</w:t>
            </w:r>
          </w:p>
        </w:tc>
      </w:tr>
      <w:tr w:rsidR="003D0BE4" w:rsidRPr="006B7128" w14:paraId="22116DB4" w14:textId="77777777" w:rsidTr="00D2041D">
        <w:trPr>
          <w:cantSplit/>
          <w:trHeight w:val="144"/>
        </w:trPr>
        <w:tc>
          <w:tcPr>
            <w:tcW w:w="5490" w:type="dxa"/>
            <w:shd w:val="clear" w:color="auto" w:fill="auto"/>
            <w:tcMar>
              <w:top w:w="130" w:type="dxa"/>
              <w:bottom w:w="130" w:type="dxa"/>
            </w:tcMar>
          </w:tcPr>
          <w:p w14:paraId="70123BC0" w14:textId="3E9455C4" w:rsidR="003D0BE4" w:rsidRPr="00C24FEC" w:rsidRDefault="00E6315A" w:rsidP="00C24FEC">
            <w:pPr>
              <w:pStyle w:val="TableNumeralsLeftAlignment"/>
            </w:pPr>
            <w:r w:rsidRPr="00E6315A">
              <w:t>Would increasing the Financial Upper Limit (FUL) by a larger percentage and decreasing TRs offered as a result have an impact on your TR bidding strategy or interest in import/export transactions?</w:t>
            </w:r>
          </w:p>
        </w:tc>
        <w:tc>
          <w:tcPr>
            <w:tcW w:w="4500" w:type="dxa"/>
            <w:shd w:val="clear" w:color="auto" w:fill="auto"/>
            <w:tcMar>
              <w:top w:w="130" w:type="dxa"/>
              <w:left w:w="144" w:type="dxa"/>
              <w:bottom w:w="130" w:type="dxa"/>
              <w:right w:w="0" w:type="dxa"/>
            </w:tcMar>
          </w:tcPr>
          <w:p w14:paraId="068B1E2E" w14:textId="7BB4CF76" w:rsidR="008750B1" w:rsidRPr="006D7540" w:rsidRDefault="008750B1" w:rsidP="00C24FEC">
            <w:pPr>
              <w:pStyle w:val="TableNumeralsLeftAlignment"/>
            </w:pPr>
            <w:bookmarkStart w:id="1" w:name="_GoBack"/>
            <w:bookmarkEnd w:id="1"/>
          </w:p>
        </w:tc>
      </w:tr>
    </w:tbl>
    <w:p w14:paraId="3BD88D50" w14:textId="61E26A10" w:rsidR="00D2041D" w:rsidRDefault="00D2041D" w:rsidP="00D2041D">
      <w:pPr>
        <w:pStyle w:val="Heading3"/>
      </w:pPr>
      <w:r>
        <w:t>General Comments/Feedback</w:t>
      </w:r>
    </w:p>
    <w:p w14:paraId="0EA7A0E8" w14:textId="77777777" w:rsidR="00D56CDF" w:rsidRPr="003B554C" w:rsidRDefault="00D56CDF" w:rsidP="00456376">
      <w:pPr>
        <w:pStyle w:val="BodyText"/>
      </w:pPr>
    </w:p>
    <w:bookmarkEnd w:id="0"/>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6CB542A2"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50B1">
          <w:rPr>
            <w:rStyle w:val="PageNumber"/>
            <w:noProof/>
          </w:rPr>
          <w:t>2</w:t>
        </w:r>
        <w:r>
          <w:rPr>
            <w:rStyle w:val="PageNumber"/>
          </w:rPr>
          <w:fldChar w:fldCharType="end"/>
        </w:r>
      </w:p>
    </w:sdtContent>
  </w:sdt>
  <w:p w14:paraId="4A7CFF92" w14:textId="3305EFAA" w:rsidR="00C6016F" w:rsidRDefault="00972A39" w:rsidP="00972A39">
    <w:pPr>
      <w:pStyle w:val="Footer"/>
      <w:ind w:right="360"/>
    </w:pPr>
    <w:r>
      <w:t>Transmission Rights Market Review, 27/October/2020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3E6D63D2"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E6315A">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0D57544"/>
    <w:multiLevelType w:val="hybridMultilevel"/>
    <w:tmpl w:val="09766A34"/>
    <w:lvl w:ilvl="0" w:tplc="D200DC4E">
      <w:start w:val="1"/>
      <w:numFmt w:val="bullet"/>
      <w:lvlText w:val="•"/>
      <w:lvlJc w:val="left"/>
      <w:pPr>
        <w:tabs>
          <w:tab w:val="num" w:pos="720"/>
        </w:tabs>
        <w:ind w:left="720" w:hanging="360"/>
      </w:pPr>
      <w:rPr>
        <w:rFonts w:ascii="Arial" w:hAnsi="Arial" w:hint="default"/>
      </w:rPr>
    </w:lvl>
    <w:lvl w:ilvl="1" w:tplc="52C83484" w:tentative="1">
      <w:start w:val="1"/>
      <w:numFmt w:val="bullet"/>
      <w:lvlText w:val="•"/>
      <w:lvlJc w:val="left"/>
      <w:pPr>
        <w:tabs>
          <w:tab w:val="num" w:pos="1440"/>
        </w:tabs>
        <w:ind w:left="1440" w:hanging="360"/>
      </w:pPr>
      <w:rPr>
        <w:rFonts w:ascii="Arial" w:hAnsi="Arial" w:hint="default"/>
      </w:rPr>
    </w:lvl>
    <w:lvl w:ilvl="2" w:tplc="07D602C6" w:tentative="1">
      <w:start w:val="1"/>
      <w:numFmt w:val="bullet"/>
      <w:lvlText w:val="•"/>
      <w:lvlJc w:val="left"/>
      <w:pPr>
        <w:tabs>
          <w:tab w:val="num" w:pos="2160"/>
        </w:tabs>
        <w:ind w:left="2160" w:hanging="360"/>
      </w:pPr>
      <w:rPr>
        <w:rFonts w:ascii="Arial" w:hAnsi="Arial" w:hint="default"/>
      </w:rPr>
    </w:lvl>
    <w:lvl w:ilvl="3" w:tplc="AEEC1338" w:tentative="1">
      <w:start w:val="1"/>
      <w:numFmt w:val="bullet"/>
      <w:lvlText w:val="•"/>
      <w:lvlJc w:val="left"/>
      <w:pPr>
        <w:tabs>
          <w:tab w:val="num" w:pos="2880"/>
        </w:tabs>
        <w:ind w:left="2880" w:hanging="360"/>
      </w:pPr>
      <w:rPr>
        <w:rFonts w:ascii="Arial" w:hAnsi="Arial" w:hint="default"/>
      </w:rPr>
    </w:lvl>
    <w:lvl w:ilvl="4" w:tplc="C4FA4998" w:tentative="1">
      <w:start w:val="1"/>
      <w:numFmt w:val="bullet"/>
      <w:lvlText w:val="•"/>
      <w:lvlJc w:val="left"/>
      <w:pPr>
        <w:tabs>
          <w:tab w:val="num" w:pos="3600"/>
        </w:tabs>
        <w:ind w:left="3600" w:hanging="360"/>
      </w:pPr>
      <w:rPr>
        <w:rFonts w:ascii="Arial" w:hAnsi="Arial" w:hint="default"/>
      </w:rPr>
    </w:lvl>
    <w:lvl w:ilvl="5" w:tplc="BC36EA4A" w:tentative="1">
      <w:start w:val="1"/>
      <w:numFmt w:val="bullet"/>
      <w:lvlText w:val="•"/>
      <w:lvlJc w:val="left"/>
      <w:pPr>
        <w:tabs>
          <w:tab w:val="num" w:pos="4320"/>
        </w:tabs>
        <w:ind w:left="4320" w:hanging="360"/>
      </w:pPr>
      <w:rPr>
        <w:rFonts w:ascii="Arial" w:hAnsi="Arial" w:hint="default"/>
      </w:rPr>
    </w:lvl>
    <w:lvl w:ilvl="6" w:tplc="95F2F734" w:tentative="1">
      <w:start w:val="1"/>
      <w:numFmt w:val="bullet"/>
      <w:lvlText w:val="•"/>
      <w:lvlJc w:val="left"/>
      <w:pPr>
        <w:tabs>
          <w:tab w:val="num" w:pos="5040"/>
        </w:tabs>
        <w:ind w:left="5040" w:hanging="360"/>
      </w:pPr>
      <w:rPr>
        <w:rFonts w:ascii="Arial" w:hAnsi="Arial" w:hint="default"/>
      </w:rPr>
    </w:lvl>
    <w:lvl w:ilvl="7" w:tplc="47E8FCAA" w:tentative="1">
      <w:start w:val="1"/>
      <w:numFmt w:val="bullet"/>
      <w:lvlText w:val="•"/>
      <w:lvlJc w:val="left"/>
      <w:pPr>
        <w:tabs>
          <w:tab w:val="num" w:pos="5760"/>
        </w:tabs>
        <w:ind w:left="5760" w:hanging="360"/>
      </w:pPr>
      <w:rPr>
        <w:rFonts w:ascii="Arial" w:hAnsi="Arial" w:hint="default"/>
      </w:rPr>
    </w:lvl>
    <w:lvl w:ilvl="8" w:tplc="93ACAF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6"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F361778"/>
    <w:multiLevelType w:val="multilevel"/>
    <w:tmpl w:val="0409001D"/>
    <w:numStyleLink w:val="1ai"/>
  </w:abstractNum>
  <w:abstractNum w:abstractNumId="21"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5"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2"/>
  </w:num>
  <w:num w:numId="11">
    <w:abstractNumId w:val="34"/>
  </w:num>
  <w:num w:numId="12">
    <w:abstractNumId w:val="15"/>
  </w:num>
  <w:num w:numId="13">
    <w:abstractNumId w:val="21"/>
  </w:num>
  <w:num w:numId="14">
    <w:abstractNumId w:val="23"/>
  </w:num>
  <w:num w:numId="15">
    <w:abstractNumId w:val="20"/>
  </w:num>
  <w:num w:numId="16">
    <w:abstractNumId w:val="26"/>
  </w:num>
  <w:num w:numId="17">
    <w:abstractNumId w:val="11"/>
  </w:num>
  <w:num w:numId="18">
    <w:abstractNumId w:val="28"/>
  </w:num>
  <w:num w:numId="19">
    <w:abstractNumId w:val="22"/>
  </w:num>
  <w:num w:numId="20">
    <w:abstractNumId w:val="29"/>
  </w:num>
  <w:num w:numId="21">
    <w:abstractNumId w:val="27"/>
  </w:num>
  <w:num w:numId="22">
    <w:abstractNumId w:val="31"/>
  </w:num>
  <w:num w:numId="23">
    <w:abstractNumId w:val="17"/>
  </w:num>
  <w:num w:numId="24">
    <w:abstractNumId w:val="19"/>
  </w:num>
  <w:num w:numId="25">
    <w:abstractNumId w:val="33"/>
  </w:num>
  <w:num w:numId="26">
    <w:abstractNumId w:val="14"/>
  </w:num>
  <w:num w:numId="27">
    <w:abstractNumId w:val="35"/>
  </w:num>
  <w:num w:numId="28">
    <w:abstractNumId w:val="18"/>
  </w:num>
  <w:num w:numId="29">
    <w:abstractNumId w:val="32"/>
  </w:num>
  <w:num w:numId="30">
    <w:abstractNumId w:val="16"/>
  </w:num>
  <w:num w:numId="31">
    <w:abstractNumId w:val="24"/>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26B6"/>
    <w:rsid w:val="00456376"/>
    <w:rsid w:val="00456678"/>
    <w:rsid w:val="00482219"/>
    <w:rsid w:val="00497849"/>
    <w:rsid w:val="004C1610"/>
    <w:rsid w:val="004D5A69"/>
    <w:rsid w:val="004D7C5F"/>
    <w:rsid w:val="004E0F5C"/>
    <w:rsid w:val="004F115E"/>
    <w:rsid w:val="00502752"/>
    <w:rsid w:val="005066CE"/>
    <w:rsid w:val="005250E4"/>
    <w:rsid w:val="00536D37"/>
    <w:rsid w:val="00540C81"/>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0B1"/>
    <w:rsid w:val="00875A7E"/>
    <w:rsid w:val="00875E05"/>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726CC"/>
    <w:rsid w:val="00972A39"/>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16545"/>
    <w:rsid w:val="00B27004"/>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24FEC"/>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6315A"/>
    <w:rsid w:val="00E74C15"/>
    <w:rsid w:val="00E74FCC"/>
    <w:rsid w:val="00E75D9A"/>
    <w:rsid w:val="00E823D8"/>
    <w:rsid w:val="00EA1429"/>
    <w:rsid w:val="00EA250A"/>
    <w:rsid w:val="00EB2896"/>
    <w:rsid w:val="00EB5F0D"/>
    <w:rsid w:val="00EB7697"/>
    <w:rsid w:val="00EC70CA"/>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C24FEC"/>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028315">
      <w:bodyDiv w:val="1"/>
      <w:marLeft w:val="0"/>
      <w:marRight w:val="0"/>
      <w:marTop w:val="0"/>
      <w:marBottom w:val="0"/>
      <w:divBdr>
        <w:top w:val="none" w:sz="0" w:space="0" w:color="auto"/>
        <w:left w:val="none" w:sz="0" w:space="0" w:color="auto"/>
        <w:bottom w:val="none" w:sz="0" w:space="0" w:color="auto"/>
        <w:right w:val="none" w:sz="0" w:space="0" w:color="auto"/>
      </w:divBdr>
      <w:divsChild>
        <w:div w:id="619454080">
          <w:marLeft w:val="547"/>
          <w:marRight w:val="0"/>
          <w:marTop w:val="0"/>
          <w:marBottom w:val="180"/>
          <w:divBdr>
            <w:top w:val="none" w:sz="0" w:space="0" w:color="auto"/>
            <w:left w:val="none" w:sz="0" w:space="0" w:color="auto"/>
            <w:bottom w:val="none" w:sz="0" w:space="0" w:color="auto"/>
            <w:right w:val="none" w:sz="0" w:space="0" w:color="auto"/>
          </w:divBdr>
        </w:div>
      </w:divsChild>
    </w:div>
    <w:div w:id="929434114">
      <w:bodyDiv w:val="1"/>
      <w:marLeft w:val="0"/>
      <w:marRight w:val="0"/>
      <w:marTop w:val="0"/>
      <w:marBottom w:val="0"/>
      <w:divBdr>
        <w:top w:val="none" w:sz="0" w:space="0" w:color="auto"/>
        <w:left w:val="none" w:sz="0" w:space="0" w:color="auto"/>
        <w:bottom w:val="none" w:sz="0" w:space="0" w:color="auto"/>
        <w:right w:val="none" w:sz="0" w:space="0" w:color="auto"/>
      </w:divBdr>
    </w:div>
    <w:div w:id="1135175683">
      <w:bodyDiv w:val="1"/>
      <w:marLeft w:val="0"/>
      <w:marRight w:val="0"/>
      <w:marTop w:val="0"/>
      <w:marBottom w:val="0"/>
      <w:divBdr>
        <w:top w:val="none" w:sz="0" w:space="0" w:color="auto"/>
        <w:left w:val="none" w:sz="0" w:space="0" w:color="auto"/>
        <w:bottom w:val="none" w:sz="0" w:space="0" w:color="auto"/>
        <w:right w:val="none" w:sz="0" w:space="0" w:color="auto"/>
      </w:divBdr>
    </w:div>
    <w:div w:id="1165436418">
      <w:bodyDiv w:val="1"/>
      <w:marLeft w:val="0"/>
      <w:marRight w:val="0"/>
      <w:marTop w:val="0"/>
      <w:marBottom w:val="0"/>
      <w:divBdr>
        <w:top w:val="none" w:sz="0" w:space="0" w:color="auto"/>
        <w:left w:val="none" w:sz="0" w:space="0" w:color="auto"/>
        <w:bottom w:val="none" w:sz="0" w:space="0" w:color="auto"/>
        <w:right w:val="none" w:sz="0" w:space="0" w:color="auto"/>
      </w:divBdr>
      <w:divsChild>
        <w:div w:id="275258058">
          <w:marLeft w:val="144"/>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632443451">
      <w:bodyDiv w:val="1"/>
      <w:marLeft w:val="0"/>
      <w:marRight w:val="0"/>
      <w:marTop w:val="0"/>
      <w:marBottom w:val="0"/>
      <w:divBdr>
        <w:top w:val="none" w:sz="0" w:space="0" w:color="auto"/>
        <w:left w:val="none" w:sz="0" w:space="0" w:color="auto"/>
        <w:bottom w:val="none" w:sz="0" w:space="0" w:color="auto"/>
        <w:right w:val="none" w:sz="0" w:space="0" w:color="auto"/>
      </w:divBdr>
      <w:divsChild>
        <w:div w:id="187986554">
          <w:marLeft w:val="547"/>
          <w:marRight w:val="0"/>
          <w:marTop w:val="0"/>
          <w:marBottom w:val="180"/>
          <w:divBdr>
            <w:top w:val="none" w:sz="0" w:space="0" w:color="auto"/>
            <w:left w:val="none" w:sz="0" w:space="0" w:color="auto"/>
            <w:bottom w:val="none" w:sz="0" w:space="0" w:color="auto"/>
            <w:right w:val="none" w:sz="0" w:space="0" w:color="auto"/>
          </w:divBdr>
        </w:div>
      </w:divsChild>
    </w:div>
    <w:div w:id="1771310923">
      <w:bodyDiv w:val="1"/>
      <w:marLeft w:val="0"/>
      <w:marRight w:val="0"/>
      <w:marTop w:val="0"/>
      <w:marBottom w:val="0"/>
      <w:divBdr>
        <w:top w:val="none" w:sz="0" w:space="0" w:color="auto"/>
        <w:left w:val="none" w:sz="0" w:space="0" w:color="auto"/>
        <w:bottom w:val="none" w:sz="0" w:space="0" w:color="auto"/>
        <w:right w:val="none" w:sz="0" w:space="0" w:color="auto"/>
      </w:divBdr>
      <w:divsChild>
        <w:div w:id="2083407979">
          <w:marLeft w:val="144"/>
          <w:marRight w:val="0"/>
          <w:marTop w:val="0"/>
          <w:marBottom w:val="180"/>
          <w:divBdr>
            <w:top w:val="none" w:sz="0" w:space="0" w:color="auto"/>
            <w:left w:val="none" w:sz="0" w:space="0" w:color="auto"/>
            <w:bottom w:val="none" w:sz="0" w:space="0" w:color="auto"/>
            <w:right w:val="none" w:sz="0" w:space="0" w:color="auto"/>
          </w:divBdr>
        </w:div>
        <w:div w:id="2093382400">
          <w:marLeft w:val="144"/>
          <w:marRight w:val="0"/>
          <w:marTop w:val="0"/>
          <w:marBottom w:val="180"/>
          <w:divBdr>
            <w:top w:val="none" w:sz="0" w:space="0" w:color="auto"/>
            <w:left w:val="none" w:sz="0" w:space="0" w:color="auto"/>
            <w:bottom w:val="none" w:sz="0" w:space="0" w:color="auto"/>
            <w:right w:val="none" w:sz="0" w:space="0" w:color="auto"/>
          </w:divBdr>
        </w:div>
      </w:divsChild>
    </w:div>
    <w:div w:id="1870680302">
      <w:bodyDiv w:val="1"/>
      <w:marLeft w:val="0"/>
      <w:marRight w:val="0"/>
      <w:marTop w:val="0"/>
      <w:marBottom w:val="0"/>
      <w:divBdr>
        <w:top w:val="none" w:sz="0" w:space="0" w:color="auto"/>
        <w:left w:val="none" w:sz="0" w:space="0" w:color="auto"/>
        <w:bottom w:val="none" w:sz="0" w:space="0" w:color="auto"/>
        <w:right w:val="none" w:sz="0" w:space="0" w:color="auto"/>
      </w:divBdr>
      <w:divsChild>
        <w:div w:id="1401323402">
          <w:marLeft w:val="144"/>
          <w:marRight w:val="0"/>
          <w:marTop w:val="0"/>
          <w:marBottom w:val="180"/>
          <w:divBdr>
            <w:top w:val="none" w:sz="0" w:space="0" w:color="auto"/>
            <w:left w:val="none" w:sz="0" w:space="0" w:color="auto"/>
            <w:bottom w:val="none" w:sz="0" w:space="0" w:color="auto"/>
            <w:right w:val="none" w:sz="0" w:space="0" w:color="auto"/>
          </w:divBdr>
        </w:div>
      </w:divsChild>
    </w:div>
    <w:div w:id="20768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ca/Sector-Participants/Engagement-Initiatives/Engagements/Transmission-Rights-Market-Review"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5F80-B82A-435D-860D-B09F8A13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1656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Independent Electricity System Operator</dc:creator>
  <cp:keywords/>
  <dc:description/>
  <cp:lastModifiedBy>Daniela Drazic</cp:lastModifiedBy>
  <cp:revision>4</cp:revision>
  <cp:lastPrinted>2020-04-17T18:00:00Z</cp:lastPrinted>
  <dcterms:created xsi:type="dcterms:W3CDTF">2020-10-19T18:42:00Z</dcterms:created>
  <dcterms:modified xsi:type="dcterms:W3CDTF">2020-10-19T18:44:00Z</dcterms:modified>
  <cp:category/>
</cp:coreProperties>
</file>