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header36.xml" ContentType="application/vnd.openxmlformats-officedocument.wordprocessingml.header+xml"/>
  <Override PartName="/word/footer21.xml" ContentType="application/vnd.openxmlformats-officedocument.wordprocessingml.footer+xml"/>
  <Override PartName="/word/header23.xml" ContentType="application/vnd.openxmlformats-officedocument.wordprocessingml.header+xml"/>
  <Override PartName="/word/header22.xml" ContentType="application/vnd.openxmlformats-officedocument.wordprocessingml.header+xml"/>
  <Override PartName="/word/footer20.xml" ContentType="application/vnd.openxmlformats-officedocument.wordprocessingml.footer+xml"/>
  <Override PartName="/word/footer22.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header26.xml" ContentType="application/vnd.openxmlformats-officedocument.wordprocessingml.header+xml"/>
  <Override PartName="/word/footer19.xml" ContentType="application/vnd.openxmlformats-officedocument.wordprocessingml.footer+xml"/>
  <Override PartName="/word/header21.xml" ContentType="application/vnd.openxmlformats-officedocument.wordprocessingml.header+xml"/>
  <Override PartName="/word/header20.xml" ContentType="application/vnd.openxmlformats-officedocument.wordprocessingml.header+xml"/>
  <Override PartName="/word/footer14.xml" ContentType="application/vnd.openxmlformats-officedocument.wordprocessingml.footer+xml"/>
  <Override PartName="/word/header16.xml" ContentType="application/vnd.openxmlformats-officedocument.wordprocessingml.header+xml"/>
  <Override PartName="/word/header37.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footer25.xml" ContentType="application/vnd.openxmlformats-officedocument.wordprocessingml.footer+xml"/>
  <Override PartName="/word/footer30.xml" ContentType="application/vnd.openxmlformats-officedocument.wordprocessingml.footer+xml"/>
  <Override PartName="/word/footer35.xml" ContentType="application/vnd.openxmlformats-officedocument.wordprocessingml.footer+xml"/>
  <Override PartName="/word/footer34.xml" ContentType="application/vnd.openxmlformats-officedocument.wordprocessingml.footer+xml"/>
  <Override PartName="/word/header33.xml" ContentType="application/vnd.openxmlformats-officedocument.wordprocessingml.header+xml"/>
  <Override PartName="/word/footer31.xml" ContentType="application/vnd.openxmlformats-officedocument.wordprocessingml.footer+xml"/>
  <Override PartName="/word/header34.xml" ContentType="application/vnd.openxmlformats-officedocument.wordprocessingml.header+xml"/>
  <Override PartName="/word/footer32.xml" ContentType="application/vnd.openxmlformats-officedocument.wordprocessingml.footer+xml"/>
  <Override PartName="/word/header35.xml" ContentType="application/vnd.openxmlformats-officedocument.wordprocessingml.header+xml"/>
  <Override PartName="/word/footer33.xml" ContentType="application/vnd.openxmlformats-officedocument.wordprocessingml.footer+xml"/>
  <Override PartName="/word/header32.xml" ContentType="application/vnd.openxmlformats-officedocument.wordprocessingml.header+xml"/>
  <Override PartName="/word/footer29.xml" ContentType="application/vnd.openxmlformats-officedocument.wordprocessingml.footer+xml"/>
  <Override PartName="/word/header31.xml" ContentType="application/vnd.openxmlformats-officedocument.wordprocessingml.header+xml"/>
  <Override PartName="/word/footer26.xml" ContentType="application/vnd.openxmlformats-officedocument.wordprocessingml.footer+xml"/>
  <Override PartName="/word/footer37.xml" ContentType="application/vnd.openxmlformats-officedocument.wordprocessingml.footer+xml"/>
  <Override PartName="/word/footer36.xml" ContentType="application/vnd.openxmlformats-officedocument.wordprocessingml.footer+xml"/>
  <Override PartName="/word/header29.xml" ContentType="application/vnd.openxmlformats-officedocument.wordprocessingml.header+xml"/>
  <Override PartName="/word/header30.xml" ContentType="application/vnd.openxmlformats-officedocument.wordprocessingml.header+xml"/>
  <Override PartName="/word/footer27.xml" ContentType="application/vnd.openxmlformats-officedocument.wordprocessingml.footer+xml"/>
  <Override PartName="/word/footer28.xml" ContentType="application/vnd.openxmlformats-officedocument.wordprocessingml.footer+xml"/>
  <Override PartName="/word/header39.xml" ContentType="application/vnd.openxmlformats-officedocument.wordprocessingml.header+xml"/>
  <Override PartName="/word/header38.xml" ContentType="application/vnd.openxmlformats-officedocument.wordprocessingml.header+xml"/>
  <Override PartName="/word/footer13.xml" ContentType="application/vnd.openxmlformats-officedocument.wordprocessingml.footer+xml"/>
  <Override PartName="/word/header17.xml" ContentType="application/vnd.openxmlformats-officedocument.wordprocessingml.header+xml"/>
  <Override PartName="/word/header14.xml" ContentType="application/vnd.openxmlformats-officedocument.wordprocessingml.head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header15.xml" ContentType="application/vnd.openxmlformats-officedocument.wordprocessingml.header+xml"/>
  <Override PartName="/word/header11.xml" ContentType="application/vnd.openxmlformats-officedocument.wordprocessingml.header+xml"/>
  <Override PartName="/word/footer5.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2.xml" ContentType="application/vnd.openxmlformats-officedocument.wordprocessingml.footer+xml"/>
  <Override PartName="/word/footer10.xml" ContentType="application/vnd.openxmlformats-officedocument.wordprocessingml.footer+xml"/>
  <Override PartName="/word/header13.xml" ContentType="application/vnd.openxmlformats-officedocument.wordprocessingml.header+xml"/>
  <Override PartName="/word/header12.xml" ContentType="application/vnd.openxmlformats-officedocument.wordprocessingml.header+xml"/>
  <Override PartName="/word/footer1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styles.xml" ContentType="application/vnd.openxmlformats-officedocument.wordprocessingml.styles+xml"/>
  <Override PartName="/word/numbering.xml" ContentType="application/vnd.openxmlformats-officedocument.wordprocessingml.numbering+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commentsExtensible.xml" ContentType="application/vnd.openxmlformats-officedocument.wordprocessingml.commentsExtensible+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3927815" w14:textId="4A05F5D0" w:rsidR="00324EA6" w:rsidRDefault="00812C2E" w:rsidP="00B5390B">
      <w:pPr>
        <w:pStyle w:val="DocumentControlHeading"/>
        <w:tabs>
          <w:tab w:val="left" w:pos="720"/>
        </w:tabs>
        <w:rPr>
          <w:noProof w:val="0"/>
        </w:rPr>
      </w:pPr>
      <w:bookmarkStart w:id="0" w:name="_GoBack"/>
      <w:bookmarkEnd w:id="0"/>
      <w:del w:id="1" w:author="Author">
        <w:r>
          <w:drawing>
            <wp:anchor distT="0" distB="0" distL="114300" distR="114300" simplePos="0" relativeHeight="251666443" behindDoc="1" locked="0" layoutInCell="1" allowOverlap="1" wp14:anchorId="797C880C" wp14:editId="397C1EC2">
              <wp:simplePos x="0" y="0"/>
              <wp:positionH relativeFrom="column">
                <wp:posOffset>2541905</wp:posOffset>
              </wp:positionH>
              <wp:positionV relativeFrom="paragraph">
                <wp:posOffset>7252566</wp:posOffset>
              </wp:positionV>
              <wp:extent cx="3810000" cy="601980"/>
              <wp:effectExtent l="0" t="0" r="0" b="7620"/>
              <wp:wrapNone/>
              <wp:docPr id="32" name="Picture 32" descr="This procedure describes the processes to issue, retrieve and dispute physical markets settlement 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3810000" cy="601980"/>
                      </a:xfrm>
                      <a:prstGeom prst="rect">
                        <a:avLst/>
                      </a:prstGeom>
                    </pic:spPr>
                  </pic:pic>
                </a:graphicData>
              </a:graphic>
              <wp14:sizeRelH relativeFrom="page">
                <wp14:pctWidth>0</wp14:pctWidth>
              </wp14:sizeRelH>
              <wp14:sizeRelV relativeFrom="page">
                <wp14:pctHeight>0</wp14:pctHeight>
              </wp14:sizeRelV>
            </wp:anchor>
          </w:drawing>
        </w:r>
        <w:r w:rsidR="00642744">
          <mc:AlternateContent>
            <mc:Choice Requires="wps">
              <w:drawing>
                <wp:anchor distT="0" distB="0" distL="114300" distR="114300" simplePos="0" relativeHeight="251663371" behindDoc="0" locked="0" layoutInCell="1" allowOverlap="1" wp14:anchorId="69B4CF9E" wp14:editId="588DC3C1">
                  <wp:simplePos x="0" y="0"/>
                  <wp:positionH relativeFrom="column">
                    <wp:posOffset>2265118</wp:posOffset>
                  </wp:positionH>
                  <wp:positionV relativeFrom="page">
                    <wp:posOffset>9238127</wp:posOffset>
                  </wp:positionV>
                  <wp:extent cx="1828800" cy="328295"/>
                  <wp:effectExtent l="0" t="0" r="0" b="0"/>
                  <wp:wrapNone/>
                  <wp:docPr id="2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328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BE2EAE" w14:textId="77777777" w:rsidR="00851C01" w:rsidRPr="00F91C14" w:rsidRDefault="00851C01">
                              <w:pPr>
                                <w:pStyle w:val="Confidentiality"/>
                                <w:rPr>
                                  <w:b/>
                                </w:rPr>
                              </w:pPr>
                              <w:r w:rsidRPr="00F91C14">
                                <w:rPr>
                                  <w:b/>
                                </w:rPr>
                                <w:t>Public</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69B4CF9E" id="_x0000_t202" coordsize="21600,21600" o:spt="202" path="m,l,21600r21600,l21600,xe">
                  <v:stroke joinstyle="miter"/>
                  <v:path gradientshapeok="t" o:connecttype="rect"/>
                </v:shapetype>
                <v:shape id="Text Box 7" o:spid="_x0000_s1026" type="#_x0000_t202" style="position:absolute;margin-left:178.35pt;margin-top:727.4pt;width:2in;height:25.85pt;z-index:251663371;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g+uAIAAMI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" filled="f" stroked="f">
                  <v:textbox style="mso-fit-shape-to-text:t">
                    <w:txbxContent>
                      <w:p w14:paraId="6BBE2EAE" w14:textId="77777777" w:rsidR="00851C01" w:rsidRPr="00F91C14" w:rsidRDefault="00851C01">
                        <w:pPr>
                          <w:pStyle w:val="Confidentiality"/>
                          <w:rPr>
                            <w:b/>
                          </w:rPr>
                        </w:pPr>
                        <w:r w:rsidRPr="00F91C14">
                          <w:rPr>
                            <w:b/>
                          </w:rPr>
                          <w:t>Public</w:t>
                        </w:r>
                      </w:p>
                    </w:txbxContent>
                  </v:textbox>
                  <w10:wrap anchory="page"/>
                </v:shape>
              </w:pict>
            </mc:Fallback>
          </mc:AlternateContent>
        </w:r>
        <w:r w:rsidR="00BF3E47">
          <w:drawing>
            <wp:anchor distT="0" distB="0" distL="114300" distR="114300" simplePos="0" relativeHeight="251665419" behindDoc="0" locked="0" layoutInCell="1" allowOverlap="1" wp14:anchorId="519B9768" wp14:editId="590C57E2">
              <wp:simplePos x="0" y="0"/>
              <wp:positionH relativeFrom="column">
                <wp:posOffset>3495675</wp:posOffset>
              </wp:positionH>
              <wp:positionV relativeFrom="paragraph">
                <wp:posOffset>2260</wp:posOffset>
              </wp:positionV>
              <wp:extent cx="2606722" cy="1186941"/>
              <wp:effectExtent l="0" t="0" r="3175" b="0"/>
              <wp:wrapNone/>
              <wp:docPr id="33" name="Picture 33" descr="IESO Corporat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raziotr\AppData\Local\Microsoft\Windows\Temporary Internet Files\Content.IE5\XBBH0TEY\ieso_E_twolinetag_blk_gry_300dpi.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606722" cy="1186941"/>
                      </a:xfrm>
                      <a:prstGeom prst="rect">
                        <a:avLst/>
                      </a:prstGeom>
                      <a:noFill/>
                      <a:ln>
                        <a:noFill/>
                      </a:ln>
                    </pic:spPr>
                  </pic:pic>
                </a:graphicData>
              </a:graphic>
              <wp14:sizeRelH relativeFrom="page">
                <wp14:pctWidth>0</wp14:pctWidth>
              </wp14:sizeRelH>
              <wp14:sizeRelV relativeFrom="page">
                <wp14:pctHeight>0</wp14:pctHeight>
              </wp14:sizeRelV>
            </wp:anchor>
          </w:drawing>
        </w:r>
        <w:r w:rsidR="00F4040D">
          <mc:AlternateContent>
            <mc:Choice Requires="wps">
              <w:drawing>
                <wp:anchor distT="0" distB="0" distL="114300" distR="114300" simplePos="0" relativeHeight="251662347" behindDoc="0" locked="0" layoutInCell="1" allowOverlap="1" wp14:anchorId="4994508B" wp14:editId="59E2BD5C">
                  <wp:simplePos x="0" y="0"/>
                  <wp:positionH relativeFrom="column">
                    <wp:posOffset>643255</wp:posOffset>
                  </wp:positionH>
                  <wp:positionV relativeFrom="page">
                    <wp:posOffset>2517140</wp:posOffset>
                  </wp:positionV>
                  <wp:extent cx="5732780" cy="3574415"/>
                  <wp:effectExtent l="0" t="0" r="0" b="6985"/>
                  <wp:wrapNone/>
                  <wp:docPr id="27"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2780" cy="3574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44090E" w14:textId="77777777" w:rsidR="00851C01" w:rsidRDefault="005C5CD4" w:rsidP="00C70E2A">
                              <w:pPr>
                                <w:pStyle w:val="Title2"/>
                                <w:pBdr>
                                  <w:top w:val="single" w:sz="12" w:space="31" w:color="auto"/>
                                </w:pBdr>
                                <w:jc w:val="left"/>
                              </w:pPr>
                              <w:r>
                                <w:fldChar w:fldCharType="begin"/>
                              </w:r>
                              <w:r>
                                <w:instrText xml:space="preserve"> DOCPROPERTY "Company"  \* MERGEFORMAT </w:instrText>
                              </w:r>
                              <w:r>
                                <w:fldChar w:fldCharType="separate"/>
                              </w:r>
                              <w:r w:rsidR="00851C01">
                                <w:t>Market Manual 5: Settlements</w:t>
                              </w:r>
                              <w:r>
                                <w:fldChar w:fldCharType="end"/>
                              </w:r>
                            </w:p>
                            <w:p w14:paraId="341C1143" w14:textId="77777777" w:rsidR="00851C01" w:rsidRDefault="005C5CD4" w:rsidP="00C70E2A">
                              <w:pPr>
                                <w:pStyle w:val="Title1"/>
                                <w:jc w:val="left"/>
                              </w:pPr>
                              <w:r>
                                <w:fldChar w:fldCharType="begin"/>
                              </w:r>
                              <w:r>
                                <w:instrText xml:space="preserve"> TITLE  \* MERGEFORMAT </w:instrText>
                              </w:r>
                              <w:r>
                                <w:fldChar w:fldCharType="separate"/>
                              </w:r>
                              <w:r w:rsidR="00851C01">
                                <w:t>Part 5.5: Physical Markets Settlement Statements</w:t>
                              </w:r>
                              <w:r>
                                <w:fldChar w:fldCharType="end"/>
                              </w:r>
                            </w:p>
                            <w:p w14:paraId="33CF1381" w14:textId="77777777" w:rsidR="00851C01" w:rsidRDefault="00851C01"/>
                            <w:p w14:paraId="2A2BFF60" w14:textId="77777777" w:rsidR="00851C01" w:rsidRDefault="005C5CD4" w:rsidP="00E96483">
                              <w:pPr>
                                <w:pStyle w:val="Issue"/>
                              </w:pPr>
                              <w:r>
                                <w:fldChar w:fldCharType="begin"/>
                              </w:r>
                              <w:r>
                                <w:instrText xml:space="preserve"> DOCPROPERTY  Category  \* MERGEFORMAT </w:instrText>
                              </w:r>
                              <w:r>
                                <w:fldChar w:fldCharType="separate"/>
                              </w:r>
                              <w:r w:rsidR="00851C01">
                                <w:t>Issue 84.0</w:t>
                              </w:r>
                              <w:r>
                                <w:fldChar w:fldCharType="end"/>
                              </w:r>
                              <w:r w:rsidR="00851C01">
                                <w:t xml:space="preserve"> </w:t>
                              </w:r>
                            </w:p>
                          </w:txbxContent>
                        </wps:txbx>
                        <wps:bodyPr rot="0" vert="horz" wrap="square" lIns="3200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994508B" id="Text Box 5" o:spid="_x0000_s1027" type="#_x0000_t202" style="position:absolute;margin-left:50.65pt;margin-top:198.2pt;width:451.4pt;height:281.45pt;z-index:251662347;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" filled="f" stroked="f">
                  <v:textbox style="mso-fit-shape-to-text:t" inset="25.2pt">
                    <w:txbxContent>
                      <w:p w14:paraId="1344090E" w14:textId="77777777" w:rsidR="00851C01" w:rsidRDefault="00851C01" w:rsidP="00C70E2A">
                        <w:pPr>
                          <w:pStyle w:val="Title2"/>
                          <w:pBdr>
                            <w:top w:val="single" w:sz="12" w:space="31" w:color="auto"/>
                          </w:pBdr>
                          <w:jc w:val="left"/>
                        </w:pPr>
                        <w:fldSimple w:instr=" DOCPROPERTY &quot;Company&quot;  \* MERGEFORMAT ">
                          <w:r>
                            <w:t>Market Manual 5: Settlements</w:t>
                          </w:r>
                        </w:fldSimple>
                      </w:p>
                      <w:p w14:paraId="341C1143" w14:textId="77777777" w:rsidR="00851C01" w:rsidRDefault="00851C01" w:rsidP="00C70E2A">
                        <w:pPr>
                          <w:pStyle w:val="Title1"/>
                          <w:jc w:val="left"/>
                        </w:pPr>
                        <w:fldSimple w:instr=" TITLE  \* MERGEFORMAT ">
                          <w:r>
                            <w:t>Part 5.5: Physical Markets Settlement Statements</w:t>
                          </w:r>
                        </w:fldSimple>
                      </w:p>
                      <w:p w14:paraId="33CF1381" w14:textId="77777777" w:rsidR="00851C01" w:rsidRDefault="00851C01"/>
                      <w:p w14:paraId="2A2BFF60" w14:textId="77777777" w:rsidR="00851C01" w:rsidRDefault="00851C01" w:rsidP="00E96483">
                        <w:pPr>
                          <w:pStyle w:val="Issue"/>
                        </w:pPr>
                        <w:fldSimple w:instr=" DOCPROPERTY  Category  \* MERGEFORMAT ">
                          <w:r>
                            <w:t>Issue 84.0</w:t>
                          </w:r>
                        </w:fldSimple>
                        <w:r>
                          <w:t xml:space="preserve"> </w:t>
                        </w:r>
                      </w:p>
                    </w:txbxContent>
                  </v:textbox>
                  <w10:wrap anchory="page"/>
                </v:shape>
              </w:pict>
            </mc:Fallback>
          </mc:AlternateContent>
        </w:r>
        <w:r w:rsidR="00F4040D">
          <mc:AlternateContent>
            <mc:Choice Requires="wps">
              <w:drawing>
                <wp:anchor distT="0" distB="0" distL="114300" distR="114300" simplePos="0" relativeHeight="251660299" behindDoc="0" locked="0" layoutInCell="1" allowOverlap="1" wp14:anchorId="6A875C98" wp14:editId="65F81BD1">
                  <wp:simplePos x="0" y="0"/>
                  <wp:positionH relativeFrom="column">
                    <wp:posOffset>-889635</wp:posOffset>
                  </wp:positionH>
                  <wp:positionV relativeFrom="page">
                    <wp:posOffset>897890</wp:posOffset>
                  </wp:positionV>
                  <wp:extent cx="1784350" cy="8533765"/>
                  <wp:effectExtent l="0" t="0" r="25400" b="19685"/>
                  <wp:wrapNone/>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0" cy="853376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969696"/>
                                </a:solidFill>
                              </a14:hiddenFill>
                            </a:ext>
                          </a:extLst>
                        </wps:spPr>
                        <wps:txbx>
                          <w:txbxContent>
                            <w:p w14:paraId="55CC37C9" w14:textId="77777777" w:rsidR="00851C01" w:rsidRDefault="00851C01" w:rsidP="006E74FD">
                              <w:pPr>
                                <w:pStyle w:val="DocumentType"/>
                                <w:keepNext w:val="0"/>
                                <w:spacing w:before="120" w:after="0"/>
                                <w:rPr>
                                  <w:color w:val="auto"/>
                                  <w:szCs w:val="170"/>
                                </w:rPr>
                              </w:pPr>
                              <w:r>
                                <w:rPr>
                                  <w:color w:val="auto"/>
                                  <w:szCs w:val="170"/>
                                </w:rPr>
                                <w:t>PROCEDURE</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875C98" id="Text Box 2" o:spid="_x0000_s1028" type="#_x0000_t202" style="position:absolute;margin-left:-70.05pt;margin-top:70.7pt;width:140.5pt;height:671.95pt;z-index:251660299;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" filled="f" fillcolor="#969696">
                  <v:textbox style="layout-flow:vertical;mso-layout-flow-alt:bottom-to-top">
                    <w:txbxContent>
                      <w:p w14:paraId="55CC37C9" w14:textId="77777777" w:rsidR="00851C01" w:rsidRDefault="00851C01" w:rsidP="006E74FD">
                        <w:pPr>
                          <w:pStyle w:val="DocumentType"/>
                          <w:keepNext w:val="0"/>
                          <w:spacing w:before="120" w:after="0"/>
                          <w:rPr>
                            <w:color w:val="auto"/>
                            <w:szCs w:val="170"/>
                          </w:rPr>
                        </w:pPr>
                        <w:r>
                          <w:rPr>
                            <w:color w:val="auto"/>
                            <w:szCs w:val="170"/>
                          </w:rPr>
                          <w:t>PROCEDURE</w:t>
                        </w:r>
                      </w:p>
                    </w:txbxContent>
                  </v:textbox>
                  <w10:wrap anchory="page"/>
                </v:shape>
              </w:pict>
            </mc:Fallback>
          </mc:AlternateContent>
        </w:r>
        <w:r w:rsidR="00F4040D">
          <mc:AlternateContent>
            <mc:Choice Requires="wps">
              <w:drawing>
                <wp:anchor distT="0" distB="0" distL="114300" distR="114300" simplePos="0" relativeHeight="251661323" behindDoc="0" locked="0" layoutInCell="1" allowOverlap="1" wp14:anchorId="7A5010A4" wp14:editId="6C9B5D1C">
                  <wp:simplePos x="0" y="0"/>
                  <wp:positionH relativeFrom="column">
                    <wp:posOffset>-791845</wp:posOffset>
                  </wp:positionH>
                  <wp:positionV relativeFrom="page">
                    <wp:posOffset>405130</wp:posOffset>
                  </wp:positionV>
                  <wp:extent cx="1686560" cy="492760"/>
                  <wp:effectExtent l="0" t="0" r="0" b="2540"/>
                  <wp:wrapNone/>
                  <wp:docPr id="30"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6560" cy="492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559E91" w14:textId="77777777" w:rsidR="00851C01" w:rsidRDefault="00851C01">
                              <w:pPr>
                                <w:pStyle w:val="Domain"/>
                              </w:pPr>
                              <w:r>
                                <w:t>PUBLIC</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A5010A4" id="Text Box 3" o:spid="_x0000_s1029" type="#_x0000_t202" style="position:absolute;margin-left:-62.35pt;margin-top:31.9pt;width:132.8pt;height:38.8pt;z-index:251661323;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" filled="f" stroked="f">
                  <v:textbox style="mso-fit-shape-to-text:t">
                    <w:txbxContent>
                      <w:p w14:paraId="04559E91" w14:textId="77777777" w:rsidR="00851C01" w:rsidRDefault="00851C01">
                        <w:pPr>
                          <w:pStyle w:val="Domain"/>
                        </w:pPr>
                        <w:r>
                          <w:t>PUBLIC</w:t>
                        </w:r>
                      </w:p>
                    </w:txbxContent>
                  </v:textbox>
                  <w10:wrap anchory="page"/>
                </v:shape>
              </w:pict>
            </mc:Fallback>
          </mc:AlternateContent>
        </w:r>
        <w:r w:rsidR="00F4040D">
          <mc:AlternateContent>
            <mc:Choice Requires="wps">
              <w:drawing>
                <wp:anchor distT="0" distB="0" distL="114300" distR="114300" simplePos="0" relativeHeight="251664395" behindDoc="0" locked="0" layoutInCell="0" allowOverlap="1" wp14:anchorId="1F4FECFE" wp14:editId="58437C74">
                  <wp:simplePos x="0" y="0"/>
                  <wp:positionH relativeFrom="column">
                    <wp:posOffset>4983480</wp:posOffset>
                  </wp:positionH>
                  <wp:positionV relativeFrom="page">
                    <wp:posOffset>274320</wp:posOffset>
                  </wp:positionV>
                  <wp:extent cx="1371600" cy="365760"/>
                  <wp:effectExtent l="0" t="0" r="0" b="0"/>
                  <wp:wrapNone/>
                  <wp:docPr id="3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3657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F6C0900" w14:textId="77777777" w:rsidR="00851C01" w:rsidRDefault="005C5CD4">
                              <w:pPr>
                                <w:pStyle w:val="DocumentNumber"/>
                                <w:jc w:val="right"/>
                              </w:pPr>
                              <w:r>
                                <w:fldChar w:fldCharType="begin"/>
                              </w:r>
                              <w:r>
                                <w:instrText xml:space="preserve"> KEYWORDS  \* MERGEFORMAT </w:instrText>
                              </w:r>
                              <w:r>
                                <w:fldChar w:fldCharType="separate"/>
                              </w:r>
                              <w:r w:rsidR="00851C01">
                                <w:t>MDP_PRO_0033</w:t>
                              </w:r>
                              <w: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4FECFE" id="Text Box 8" o:spid="_x0000_s1030" type="#_x0000_t202" style="position:absolute;margin-left:392.4pt;margin-top:21.6pt;width:108pt;height:28.8pt;z-index:251664395;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" o:allowincell="f" stroked="f">
                  <v:textbox>
                    <w:txbxContent>
                      <w:p w14:paraId="0F6C0900" w14:textId="77777777" w:rsidR="00851C01" w:rsidRDefault="00851C01">
                        <w:pPr>
                          <w:pStyle w:val="DocumentNumber"/>
                          <w:jc w:val="right"/>
                        </w:pPr>
                        <w:fldSimple w:instr=" KEYWORDS  \* MERGEFORMAT ">
                          <w:r>
                            <w:t>MDP_PRO_0033</w:t>
                          </w:r>
                        </w:fldSimple>
                      </w:p>
                    </w:txbxContent>
                  </v:textbox>
                  <w10:wrap anchory="page"/>
                </v:shape>
              </w:pict>
            </mc:Fallback>
          </mc:AlternateContent>
        </w:r>
      </w:del>
      <w:bookmarkStart w:id="2" w:name="_Ref29975109"/>
      <w:bookmarkEnd w:id="2"/>
      <w:r w:rsidR="00384685">
        <w:rPr>
          <w:noProof w:val="0"/>
        </w:rPr>
        <w:t xml:space="preserve"> </w:t>
      </w:r>
      <w:r w:rsidR="00763CDD">
        <w:rPr>
          <w:noProof w:val="0"/>
        </w:rPr>
        <w:tab/>
      </w:r>
    </w:p>
    <w:p w14:paraId="7FB410C6" w14:textId="77777777" w:rsidR="00324EA6" w:rsidRPr="00324EA6" w:rsidRDefault="00324EA6" w:rsidP="00324EA6">
      <w:pPr>
        <w:rPr>
          <w:lang w:val="en-CA"/>
        </w:rPr>
      </w:pPr>
    </w:p>
    <w:p w14:paraId="72901E94" w14:textId="77777777" w:rsidR="00324EA6" w:rsidRPr="00324EA6" w:rsidRDefault="00324EA6" w:rsidP="00324EA6">
      <w:pPr>
        <w:rPr>
          <w:lang w:val="en-CA"/>
        </w:rPr>
      </w:pPr>
    </w:p>
    <w:p w14:paraId="6720AF03" w14:textId="77777777" w:rsidR="00324EA6" w:rsidRPr="00324EA6" w:rsidRDefault="00324EA6" w:rsidP="00324EA6">
      <w:pPr>
        <w:rPr>
          <w:lang w:val="en-CA"/>
        </w:rPr>
      </w:pPr>
    </w:p>
    <w:p w14:paraId="18CF5E16" w14:textId="77777777" w:rsidR="00324EA6" w:rsidRPr="00324EA6" w:rsidRDefault="00324EA6" w:rsidP="00324EA6">
      <w:pPr>
        <w:rPr>
          <w:lang w:val="en-CA"/>
        </w:rPr>
      </w:pPr>
    </w:p>
    <w:p w14:paraId="04C0011D" w14:textId="77777777" w:rsidR="00324EA6" w:rsidRPr="00324EA6" w:rsidRDefault="00324EA6" w:rsidP="00324EA6">
      <w:pPr>
        <w:rPr>
          <w:lang w:val="en-CA"/>
        </w:rPr>
      </w:pPr>
    </w:p>
    <w:p w14:paraId="3489D27C" w14:textId="77777777" w:rsidR="00324EA6" w:rsidRPr="00324EA6" w:rsidRDefault="00324EA6" w:rsidP="00324EA6">
      <w:pPr>
        <w:rPr>
          <w:lang w:val="en-CA"/>
        </w:rPr>
      </w:pPr>
    </w:p>
    <w:p w14:paraId="4C2E0528" w14:textId="77777777" w:rsidR="00324EA6" w:rsidRPr="00324EA6" w:rsidRDefault="00324EA6" w:rsidP="00324EA6">
      <w:pPr>
        <w:rPr>
          <w:lang w:val="en-CA"/>
        </w:rPr>
      </w:pPr>
    </w:p>
    <w:p w14:paraId="42776BF1" w14:textId="77777777" w:rsidR="00324EA6" w:rsidRPr="00324EA6" w:rsidRDefault="00324EA6" w:rsidP="00324EA6">
      <w:pPr>
        <w:rPr>
          <w:lang w:val="en-CA"/>
        </w:rPr>
      </w:pPr>
    </w:p>
    <w:p w14:paraId="6F294DCF" w14:textId="77777777" w:rsidR="00324EA6" w:rsidRPr="00324EA6" w:rsidRDefault="00324EA6" w:rsidP="00324EA6">
      <w:pPr>
        <w:rPr>
          <w:lang w:val="en-CA"/>
        </w:rPr>
      </w:pPr>
    </w:p>
    <w:p w14:paraId="383328CA" w14:textId="77777777" w:rsidR="00324EA6" w:rsidRPr="00324EA6" w:rsidRDefault="00324EA6" w:rsidP="00324EA6">
      <w:pPr>
        <w:rPr>
          <w:lang w:val="en-CA"/>
        </w:rPr>
      </w:pPr>
    </w:p>
    <w:p w14:paraId="1D9EA0C9" w14:textId="77777777" w:rsidR="00324EA6" w:rsidRPr="00324EA6" w:rsidRDefault="00324EA6" w:rsidP="00324EA6">
      <w:pPr>
        <w:rPr>
          <w:lang w:val="en-CA"/>
        </w:rPr>
      </w:pPr>
    </w:p>
    <w:p w14:paraId="1574020F" w14:textId="77777777" w:rsidR="00324EA6" w:rsidRPr="00324EA6" w:rsidRDefault="00324EA6" w:rsidP="00324EA6">
      <w:pPr>
        <w:rPr>
          <w:lang w:val="en-CA"/>
        </w:rPr>
      </w:pPr>
    </w:p>
    <w:p w14:paraId="22D1F501" w14:textId="77777777" w:rsidR="00324EA6" w:rsidRPr="00324EA6" w:rsidRDefault="00324EA6" w:rsidP="00324EA6">
      <w:pPr>
        <w:rPr>
          <w:lang w:val="en-CA"/>
        </w:rPr>
      </w:pPr>
    </w:p>
    <w:p w14:paraId="7EA7EF28" w14:textId="77777777" w:rsidR="00324EA6" w:rsidRPr="00324EA6" w:rsidRDefault="00324EA6" w:rsidP="00324EA6">
      <w:pPr>
        <w:rPr>
          <w:lang w:val="en-CA"/>
        </w:rPr>
      </w:pPr>
    </w:p>
    <w:p w14:paraId="00A96FB4" w14:textId="77777777" w:rsidR="00324EA6" w:rsidRPr="00324EA6" w:rsidRDefault="00324EA6" w:rsidP="00324EA6">
      <w:pPr>
        <w:rPr>
          <w:lang w:val="en-CA"/>
        </w:rPr>
      </w:pPr>
    </w:p>
    <w:p w14:paraId="495156DD" w14:textId="77777777" w:rsidR="00324EA6" w:rsidRPr="00324EA6" w:rsidRDefault="00324EA6" w:rsidP="00324EA6">
      <w:pPr>
        <w:rPr>
          <w:lang w:val="en-CA"/>
        </w:rPr>
      </w:pPr>
    </w:p>
    <w:p w14:paraId="165F2ABF" w14:textId="77777777" w:rsidR="00324EA6" w:rsidRPr="00324EA6" w:rsidRDefault="00324EA6" w:rsidP="00324EA6">
      <w:pPr>
        <w:rPr>
          <w:lang w:val="en-CA"/>
        </w:rPr>
      </w:pPr>
    </w:p>
    <w:p w14:paraId="4575642E" w14:textId="77777777" w:rsidR="00324EA6" w:rsidRPr="00324EA6" w:rsidRDefault="00324EA6" w:rsidP="00324EA6">
      <w:pPr>
        <w:rPr>
          <w:lang w:val="en-CA"/>
        </w:rPr>
      </w:pPr>
    </w:p>
    <w:p w14:paraId="2ED504A8" w14:textId="77777777" w:rsidR="00324EA6" w:rsidRPr="00324EA6" w:rsidRDefault="00324EA6" w:rsidP="00324EA6">
      <w:pPr>
        <w:rPr>
          <w:lang w:val="en-CA"/>
        </w:rPr>
      </w:pPr>
    </w:p>
    <w:p w14:paraId="1ED4F431" w14:textId="77777777" w:rsidR="00324EA6" w:rsidRPr="00324EA6" w:rsidRDefault="00324EA6" w:rsidP="00324EA6">
      <w:pPr>
        <w:rPr>
          <w:lang w:val="en-CA"/>
        </w:rPr>
      </w:pPr>
    </w:p>
    <w:p w14:paraId="6527FF27" w14:textId="77777777" w:rsidR="00324EA6" w:rsidRPr="00324EA6" w:rsidRDefault="00324EA6" w:rsidP="00324EA6">
      <w:pPr>
        <w:rPr>
          <w:lang w:val="en-CA"/>
        </w:rPr>
      </w:pPr>
    </w:p>
    <w:p w14:paraId="6D63AE95" w14:textId="77777777" w:rsidR="00324EA6" w:rsidRPr="00324EA6" w:rsidRDefault="00324EA6" w:rsidP="00324EA6">
      <w:pPr>
        <w:rPr>
          <w:lang w:val="en-CA"/>
        </w:rPr>
      </w:pPr>
    </w:p>
    <w:p w14:paraId="02432F14" w14:textId="7D3CDFDC" w:rsidR="00324EA6" w:rsidRPr="00324EA6" w:rsidRDefault="00324EA6" w:rsidP="00324EA6">
      <w:pPr>
        <w:rPr>
          <w:lang w:val="en-CA"/>
        </w:rPr>
      </w:pPr>
      <w:r>
        <w:rPr>
          <w:noProof/>
          <w:lang w:val="en-CA"/>
        </w:rPr>
        <mc:AlternateContent>
          <mc:Choice Requires="wps">
            <w:drawing>
              <wp:anchor distT="45720" distB="45720" distL="114300" distR="114300" simplePos="0" relativeHeight="251678731" behindDoc="0" locked="0" layoutInCell="1" allowOverlap="1" wp14:anchorId="306F7439" wp14:editId="2C413DD8">
                <wp:simplePos x="0" y="0"/>
                <wp:positionH relativeFrom="page">
                  <wp:posOffset>2298939</wp:posOffset>
                </wp:positionH>
                <wp:positionV relativeFrom="paragraph">
                  <wp:posOffset>9597</wp:posOffset>
                </wp:positionV>
                <wp:extent cx="3657600" cy="2070100"/>
                <wp:effectExtent l="0" t="0" r="0" b="63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0" cy="2070100"/>
                        </a:xfrm>
                        <a:prstGeom prst="rect">
                          <a:avLst/>
                        </a:prstGeom>
                        <a:solidFill>
                          <a:srgbClr val="FFFFFF"/>
                        </a:solidFill>
                        <a:ln w="9525">
                          <a:noFill/>
                          <a:miter lim="800000"/>
                          <a:headEnd/>
                          <a:tailEnd/>
                        </a:ln>
                      </wps:spPr>
                      <wps:txbx>
                        <w:txbxContent>
                          <w:p w14:paraId="35243769" w14:textId="77777777" w:rsidR="00324EA6" w:rsidRPr="003A6195" w:rsidRDefault="00324EA6" w:rsidP="00324EA6">
                            <w:pPr>
                              <w:rPr>
                                <w:color w:val="FF0000"/>
                              </w:rPr>
                            </w:pPr>
                            <w:r w:rsidRPr="003A6195">
                              <w:rPr>
                                <w:color w:val="FF0000"/>
                              </w:rPr>
                              <w:t xml:space="preserve">This </w:t>
                            </w:r>
                            <w:r w:rsidRPr="003A6195">
                              <w:rPr>
                                <w:i/>
                                <w:iCs/>
                                <w:color w:val="FF0000"/>
                              </w:rPr>
                              <w:t>market manual</w:t>
                            </w:r>
                            <w:r w:rsidRPr="003A6195">
                              <w:rPr>
                                <w:color w:val="FF0000"/>
                              </w:rPr>
                              <w:t xml:space="preserve"> is provided for stakeholder engagement purposes.  Proposed changes, to be effective for the December 2022 </w:t>
                            </w:r>
                            <w:r w:rsidRPr="003A6195">
                              <w:rPr>
                                <w:i/>
                                <w:iCs/>
                                <w:color w:val="FF0000"/>
                              </w:rPr>
                              <w:t>capacity auction</w:t>
                            </w:r>
                            <w:r w:rsidRPr="003A6195">
                              <w:rPr>
                                <w:color w:val="FF0000"/>
                              </w:rPr>
                              <w:t xml:space="preserve">, are indicated based on the current version of the </w:t>
                            </w:r>
                            <w:r w:rsidRPr="003A6195">
                              <w:rPr>
                                <w:i/>
                                <w:iCs/>
                                <w:color w:val="FF0000"/>
                              </w:rPr>
                              <w:t>market manual</w:t>
                            </w:r>
                            <w:r w:rsidRPr="003A6195">
                              <w:rPr>
                                <w:color w:val="FF0000"/>
                              </w:rPr>
                              <w:t xml:space="preserve">.  Please note that additional changes to this document may be incorporated as part of future engagement on design enhancements to the </w:t>
                            </w:r>
                            <w:r w:rsidRPr="003A6195">
                              <w:rPr>
                                <w:i/>
                                <w:iCs/>
                                <w:color w:val="FF0000"/>
                              </w:rPr>
                              <w:t>capacity auction</w:t>
                            </w:r>
                            <w:r w:rsidRPr="003A6195">
                              <w:rPr>
                                <w:color w:val="FF0000"/>
                              </w:rPr>
                              <w:t xml:space="preserve"> or other IESO activities prior to this </w:t>
                            </w:r>
                            <w:r w:rsidRPr="003A6195">
                              <w:rPr>
                                <w:i/>
                                <w:iCs/>
                                <w:color w:val="FF0000"/>
                              </w:rPr>
                              <w:t>market manual</w:t>
                            </w:r>
                            <w:r w:rsidRPr="003A6195">
                              <w:rPr>
                                <w:color w:val="FF0000"/>
                              </w:rPr>
                              <w:t xml:space="preserve"> taking effect.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6F7439" id="_x0000_s1031" type="#_x0000_t202" style="position:absolute;margin-left:181pt;margin-top:.75pt;width:4in;height:163pt;z-index:251678731;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" stroked="f">
                <v:textbox>
                  <w:txbxContent>
                    <w:p w14:paraId="35243769" w14:textId="77777777" w:rsidR="00324EA6" w:rsidRPr="003A6195" w:rsidRDefault="00324EA6" w:rsidP="00324EA6">
                      <w:pPr>
                        <w:rPr>
                          <w:color w:val="FF0000"/>
                        </w:rPr>
                      </w:pPr>
                      <w:r w:rsidRPr="003A6195">
                        <w:rPr>
                          <w:color w:val="FF0000"/>
                        </w:rPr>
                        <w:t xml:space="preserve">This </w:t>
                      </w:r>
                      <w:r w:rsidRPr="003A6195">
                        <w:rPr>
                          <w:i/>
                          <w:iCs/>
                          <w:color w:val="FF0000"/>
                        </w:rPr>
                        <w:t>market manual</w:t>
                      </w:r>
                      <w:r w:rsidRPr="003A6195">
                        <w:rPr>
                          <w:color w:val="FF0000"/>
                        </w:rPr>
                        <w:t xml:space="preserve"> is provided for stakeholder engagement purposes.  Proposed changes, to be effective for the December 2022 </w:t>
                      </w:r>
                      <w:r w:rsidRPr="003A6195">
                        <w:rPr>
                          <w:i/>
                          <w:iCs/>
                          <w:color w:val="FF0000"/>
                        </w:rPr>
                        <w:t>capacity auction</w:t>
                      </w:r>
                      <w:r w:rsidRPr="003A6195">
                        <w:rPr>
                          <w:color w:val="FF0000"/>
                        </w:rPr>
                        <w:t xml:space="preserve">, are indicated based on the current version of the </w:t>
                      </w:r>
                      <w:r w:rsidRPr="003A6195">
                        <w:rPr>
                          <w:i/>
                          <w:iCs/>
                          <w:color w:val="FF0000"/>
                        </w:rPr>
                        <w:t>market manual</w:t>
                      </w:r>
                      <w:r w:rsidRPr="003A6195">
                        <w:rPr>
                          <w:color w:val="FF0000"/>
                        </w:rPr>
                        <w:t xml:space="preserve">.  Please note that additional changes to this document may be incorporated as part of future engagement on design enhancements to the </w:t>
                      </w:r>
                      <w:r w:rsidRPr="003A6195">
                        <w:rPr>
                          <w:i/>
                          <w:iCs/>
                          <w:color w:val="FF0000"/>
                        </w:rPr>
                        <w:t>capacity auction</w:t>
                      </w:r>
                      <w:r w:rsidRPr="003A6195">
                        <w:rPr>
                          <w:color w:val="FF0000"/>
                        </w:rPr>
                        <w:t xml:space="preserve"> or other IESO activities prior to this </w:t>
                      </w:r>
                      <w:r w:rsidRPr="003A6195">
                        <w:rPr>
                          <w:i/>
                          <w:iCs/>
                          <w:color w:val="FF0000"/>
                        </w:rPr>
                        <w:t>market manual</w:t>
                      </w:r>
                      <w:r w:rsidRPr="003A6195">
                        <w:rPr>
                          <w:color w:val="FF0000"/>
                        </w:rPr>
                        <w:t xml:space="preserve"> taking effect.</w:t>
                      </w:r>
                    </w:p>
                  </w:txbxContent>
                </v:textbox>
                <w10:wrap type="square" anchorx="page"/>
              </v:shape>
            </w:pict>
          </mc:Fallback>
        </mc:AlternateContent>
      </w:r>
    </w:p>
    <w:p w14:paraId="350C8396" w14:textId="77777777" w:rsidR="00324EA6" w:rsidRPr="00324EA6" w:rsidRDefault="00324EA6" w:rsidP="00324EA6">
      <w:pPr>
        <w:rPr>
          <w:lang w:val="en-CA"/>
        </w:rPr>
      </w:pPr>
    </w:p>
    <w:p w14:paraId="56BFE43D" w14:textId="687A5789" w:rsidR="00324EA6" w:rsidRPr="00324EA6" w:rsidRDefault="00324EA6" w:rsidP="00324EA6">
      <w:pPr>
        <w:rPr>
          <w:lang w:val="en-CA"/>
        </w:rPr>
      </w:pPr>
    </w:p>
    <w:p w14:paraId="61B407C0" w14:textId="060AA1D5" w:rsidR="00324EA6" w:rsidRDefault="00324EA6" w:rsidP="00B5390B">
      <w:pPr>
        <w:pStyle w:val="DocumentControlHeading"/>
        <w:tabs>
          <w:tab w:val="left" w:pos="720"/>
        </w:tabs>
      </w:pPr>
    </w:p>
    <w:p w14:paraId="1B31CADD" w14:textId="2D5DE464" w:rsidR="00324EA6" w:rsidRDefault="00324EA6" w:rsidP="00B5390B">
      <w:pPr>
        <w:pStyle w:val="DocumentControlHeading"/>
        <w:tabs>
          <w:tab w:val="left" w:pos="720"/>
        </w:tabs>
      </w:pPr>
    </w:p>
    <w:p w14:paraId="1A310FF6" w14:textId="24BCE228" w:rsidR="00324EA6" w:rsidRDefault="00324EA6" w:rsidP="00324EA6">
      <w:pPr>
        <w:pStyle w:val="DocumentControlHeading"/>
        <w:tabs>
          <w:tab w:val="left" w:pos="3233"/>
        </w:tabs>
      </w:pPr>
      <w:r>
        <w:tab/>
      </w:r>
    </w:p>
    <w:p w14:paraId="552B58D7" w14:textId="77777777" w:rsidR="00855CB7" w:rsidRDefault="00855CB7" w:rsidP="00B5390B">
      <w:pPr>
        <w:pStyle w:val="DocumentControlHeading"/>
        <w:tabs>
          <w:tab w:val="left" w:pos="720"/>
        </w:tabs>
        <w:rPr>
          <w:noProof w:val="0"/>
        </w:rPr>
      </w:pPr>
      <w:r w:rsidRPr="00324EA6">
        <w:br w:type="page"/>
      </w:r>
      <w:r>
        <w:rPr>
          <w:noProof w:val="0"/>
        </w:rPr>
        <w:lastRenderedPageBreak/>
        <w:t>Disclaimer</w:t>
      </w:r>
    </w:p>
    <w:p w14:paraId="451582F0" w14:textId="77777777" w:rsidR="00855CB7" w:rsidRDefault="00855CB7">
      <w:pPr>
        <w:rPr>
          <w:snapToGrid w:val="0"/>
          <w:lang w:val="en-CA"/>
        </w:rPr>
      </w:pPr>
      <w:r>
        <w:rPr>
          <w:snapToGrid w:val="0"/>
          <w:lang w:val="en-CA"/>
        </w:rPr>
        <w:t xml:space="preserve">The posting of documents on this Web site is done for the convenience of </w:t>
      </w:r>
      <w:r>
        <w:rPr>
          <w:i/>
          <w:snapToGrid w:val="0"/>
          <w:lang w:val="en-CA"/>
        </w:rPr>
        <w:t xml:space="preserve">market participants </w:t>
      </w:r>
      <w:r>
        <w:rPr>
          <w:snapToGrid w:val="0"/>
          <w:lang w:val="en-CA"/>
        </w:rPr>
        <w:t xml:space="preserve">and other interested visitors to the </w:t>
      </w:r>
      <w:r>
        <w:rPr>
          <w:i/>
          <w:snapToGrid w:val="0"/>
          <w:lang w:val="en-CA"/>
        </w:rPr>
        <w:t>IESO</w:t>
      </w:r>
      <w:r>
        <w:rPr>
          <w:snapToGrid w:val="0"/>
          <w:lang w:val="en-CA"/>
        </w:rPr>
        <w:t xml:space="preserve"> Web site. Please be advised that, while the</w:t>
      </w:r>
      <w:r>
        <w:rPr>
          <w:i/>
          <w:snapToGrid w:val="0"/>
          <w:lang w:val="en-CA"/>
        </w:rPr>
        <w:t xml:space="preserve"> IESO </w:t>
      </w:r>
      <w:r>
        <w:rPr>
          <w:snapToGrid w:val="0"/>
          <w:lang w:val="en-CA"/>
        </w:rPr>
        <w:t xml:space="preserve">attempts to have all posted documents conform to the original, changes can result from the original, including changes resulting from the programs used to format the documents for posting on the Web site as well as from the programs used by the viewer to download and read the documents. The </w:t>
      </w:r>
      <w:r>
        <w:rPr>
          <w:i/>
          <w:snapToGrid w:val="0"/>
          <w:lang w:val="en-CA"/>
        </w:rPr>
        <w:t xml:space="preserve">IESO </w:t>
      </w:r>
      <w:r>
        <w:rPr>
          <w:snapToGrid w:val="0"/>
          <w:lang w:val="en-CA"/>
        </w:rPr>
        <w:t xml:space="preserve">makes no representation or warranty, express or </w:t>
      </w:r>
      <w:r w:rsidR="00187D40">
        <w:rPr>
          <w:snapToGrid w:val="0"/>
          <w:lang w:val="en-CA"/>
        </w:rPr>
        <w:t>implied</w:t>
      </w:r>
      <w:r>
        <w:rPr>
          <w:snapToGrid w:val="0"/>
          <w:lang w:val="en-CA"/>
        </w:rPr>
        <w:t xml:space="preserve"> that the documents on this Web site are exact reproductions of the original documents listed. In addition, the documents and information posted on this Web site are subject to change. The </w:t>
      </w:r>
      <w:r>
        <w:rPr>
          <w:i/>
          <w:snapToGrid w:val="0"/>
          <w:lang w:val="en-CA"/>
        </w:rPr>
        <w:t>IESO</w:t>
      </w:r>
      <w:r>
        <w:rPr>
          <w:snapToGrid w:val="0"/>
          <w:lang w:val="en-CA"/>
        </w:rPr>
        <w:t xml:space="preserve"> may revise, withdraw or make final these materials at any time at its sole discretion without further notice. It is solely your responsibility to ensure that you are using up-to-date documents and information.</w:t>
      </w:r>
    </w:p>
    <w:p w14:paraId="654D0BB3" w14:textId="77777777" w:rsidR="00855CB7" w:rsidRDefault="00855CB7" w:rsidP="00A442B9">
      <w:pPr>
        <w:pStyle w:val="BodyText0"/>
      </w:pPr>
      <w:r>
        <w:t>This</w:t>
      </w:r>
      <w:r>
        <w:rPr>
          <w:i/>
        </w:rPr>
        <w:t xml:space="preserve"> market manual </w:t>
      </w:r>
      <w:r>
        <w:t xml:space="preserve">may contain a summary of a particular </w:t>
      </w:r>
      <w:r>
        <w:rPr>
          <w:i/>
        </w:rPr>
        <w:t>market rule</w:t>
      </w:r>
      <w:r>
        <w:t xml:space="preserve">. Where provided, the summary has been used because of the length of the </w:t>
      </w:r>
      <w:r>
        <w:rPr>
          <w:i/>
        </w:rPr>
        <w:t xml:space="preserve">market rule </w:t>
      </w:r>
      <w:r>
        <w:t xml:space="preserve">itself. </w:t>
      </w:r>
      <w:r w:rsidR="00726B5C">
        <w:t xml:space="preserve">The reader should be aware, however, that, where a </w:t>
      </w:r>
      <w:r w:rsidR="00726B5C">
        <w:rPr>
          <w:i/>
        </w:rPr>
        <w:t xml:space="preserve">market rule </w:t>
      </w:r>
      <w:r w:rsidR="00726B5C">
        <w:t xml:space="preserve">is applicable, the obligation that needs to be met is as stated in the </w:t>
      </w:r>
      <w:r w:rsidR="00726B5C" w:rsidRPr="00752CC8">
        <w:rPr>
          <w:i/>
        </w:rPr>
        <w:t>market rules</w:t>
      </w:r>
      <w:r w:rsidR="00726B5C">
        <w:t xml:space="preserve">.  </w:t>
      </w:r>
      <w:r>
        <w:t xml:space="preserve">To the extent of any discrepancy or inconsistency between the provisions of a particular </w:t>
      </w:r>
      <w:r>
        <w:rPr>
          <w:i/>
        </w:rPr>
        <w:t xml:space="preserve">market rule </w:t>
      </w:r>
      <w:r>
        <w:t xml:space="preserve">and the summary, the provision of the </w:t>
      </w:r>
      <w:r>
        <w:rPr>
          <w:i/>
        </w:rPr>
        <w:t xml:space="preserve">market rule </w:t>
      </w:r>
      <w:r>
        <w:t>shall govern.</w:t>
      </w:r>
    </w:p>
    <w:p w14:paraId="57C6BC0D" w14:textId="77777777" w:rsidR="00855CB7" w:rsidRDefault="00855CB7" w:rsidP="00A442B9">
      <w:pPr>
        <w:pStyle w:val="BodyText0"/>
      </w:pPr>
    </w:p>
    <w:p w14:paraId="7E291962" w14:textId="77777777" w:rsidR="00855CB7" w:rsidRDefault="00855CB7">
      <w:pPr>
        <w:pStyle w:val="BodyText"/>
        <w:rPr>
          <w:b/>
          <w:i/>
          <w:lang w:val="en-CA"/>
        </w:rPr>
      </w:pPr>
    </w:p>
    <w:p w14:paraId="25342F8B" w14:textId="77777777" w:rsidR="00855CB7" w:rsidRDefault="00F4040D">
      <w:pPr>
        <w:pStyle w:val="DocumentControlHeading"/>
        <w:rPr>
          <w:noProof w:val="0"/>
        </w:rPr>
        <w:sectPr w:rsidR="00855CB7" w:rsidSect="001B3DFD">
          <w:headerReference w:type="even" r:id="rId10"/>
          <w:headerReference w:type="default" r:id="rId11"/>
          <w:footerReference w:type="even" r:id="rId12"/>
          <w:footerReference w:type="default" r:id="rId13"/>
          <w:headerReference w:type="first" r:id="rId14"/>
          <w:footerReference w:type="first" r:id="rId15"/>
          <w:pgSz w:w="12240" w:h="15840" w:code="1"/>
          <w:pgMar w:top="1440" w:right="1440" w:bottom="1440" w:left="1800" w:header="720" w:footer="720" w:gutter="0"/>
          <w:cols w:space="720"/>
          <w:titlePg/>
        </w:sectPr>
      </w:pPr>
      <w:r>
        <mc:AlternateContent>
          <mc:Choice Requires="wps">
            <w:drawing>
              <wp:anchor distT="0" distB="0" distL="114300" distR="114300" simplePos="0" relativeHeight="251668491" behindDoc="0" locked="0" layoutInCell="1" allowOverlap="1" wp14:anchorId="5E109D11" wp14:editId="3E669082">
                <wp:simplePos x="0" y="0"/>
                <wp:positionH relativeFrom="column">
                  <wp:posOffset>-174929</wp:posOffset>
                </wp:positionH>
                <wp:positionV relativeFrom="page">
                  <wp:posOffset>7545787</wp:posOffset>
                </wp:positionV>
                <wp:extent cx="6214745" cy="1264257"/>
                <wp:effectExtent l="0" t="0" r="90805" b="88900"/>
                <wp:wrapNone/>
                <wp:docPr id="35"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4745" cy="1264257"/>
                        </a:xfrm>
                        <a:prstGeom prst="rect">
                          <a:avLst/>
                        </a:prstGeom>
                        <a:solidFill>
                          <a:srgbClr val="FFFFFF"/>
                        </a:solidFill>
                        <a:ln w="9525">
                          <a:solidFill>
                            <a:srgbClr val="000000"/>
                          </a:solidFill>
                          <a:miter lim="800000"/>
                          <a:headEnd/>
                          <a:tailEnd/>
                        </a:ln>
                        <a:effectLst>
                          <a:outerShdw dist="107763" dir="2700000" algn="ctr" rotWithShape="0">
                            <a:srgbClr val="808080"/>
                          </a:outerShdw>
                        </a:effectLst>
                      </wps:spPr>
                      <wps:txbx>
                        <w:txbxContent>
                          <w:p w14:paraId="300A401D" w14:textId="77777777" w:rsidR="00851C01" w:rsidRDefault="00851C01" w:rsidP="006E74FD">
                            <w:pPr>
                              <w:pStyle w:val="DocumentRef"/>
                            </w:pPr>
                            <w:r>
                              <w:rPr>
                                <w:b/>
                              </w:rPr>
                              <w:t>Document ID</w:t>
                            </w:r>
                            <w:r>
                              <w:tab/>
                              <w:t>MDP_PRO_0033</w:t>
                            </w:r>
                          </w:p>
                          <w:p w14:paraId="144A6770" w14:textId="77777777" w:rsidR="00851C01" w:rsidRDefault="00851C01">
                            <w:pPr>
                              <w:pStyle w:val="DocumentRef"/>
                            </w:pPr>
                            <w:r>
                              <w:rPr>
                                <w:b/>
                              </w:rPr>
                              <w:t>Document Name</w:t>
                            </w:r>
                            <w:r>
                              <w:tab/>
                            </w:r>
                            <w:r w:rsidR="005C5CD4">
                              <w:fldChar w:fldCharType="begin"/>
                            </w:r>
                            <w:r w:rsidR="005C5CD4">
                              <w:instrText xml:space="preserve"> TITLE  \* MERGEFORMAT </w:instrText>
                            </w:r>
                            <w:r w:rsidR="005C5CD4">
                              <w:fldChar w:fldCharType="separate"/>
                            </w:r>
                            <w:r>
                              <w:t>Part 5.5: Physical Markets Settlement Statements</w:t>
                            </w:r>
                            <w:r w:rsidR="005C5CD4">
                              <w:fldChar w:fldCharType="end"/>
                            </w:r>
                          </w:p>
                          <w:p w14:paraId="056EF16F" w14:textId="77777777" w:rsidR="00851C01" w:rsidRDefault="00851C01">
                            <w:pPr>
                              <w:pStyle w:val="DocumentRef"/>
                            </w:pPr>
                            <w:r>
                              <w:rPr>
                                <w:b/>
                              </w:rPr>
                              <w:t>Issue</w:t>
                            </w:r>
                            <w:r>
                              <w:tab/>
                            </w:r>
                            <w:r w:rsidR="005C5CD4">
                              <w:fldChar w:fldCharType="begin"/>
                            </w:r>
                            <w:r w:rsidR="005C5CD4">
                              <w:instrText xml:space="preserve"> DOCPROPERTY  Category  \* MERGEFORMAT </w:instrText>
                            </w:r>
                            <w:r w:rsidR="005C5CD4">
                              <w:fldChar w:fldCharType="separate"/>
                            </w:r>
                            <w:r>
                              <w:t>Issue 84.0</w:t>
                            </w:r>
                            <w:r w:rsidR="005C5CD4">
                              <w:fldChar w:fldCharType="end"/>
                            </w:r>
                          </w:p>
                          <w:p w14:paraId="0C30D637" w14:textId="77777777" w:rsidR="00851C01" w:rsidRDefault="00851C01" w:rsidP="0049695D">
                            <w:pPr>
                              <w:pStyle w:val="DocumentRef"/>
                            </w:pPr>
                            <w:r>
                              <w:rPr>
                                <w:b/>
                              </w:rPr>
                              <w:t>Reason for Issue</w:t>
                            </w:r>
                            <w:r>
                              <w:tab/>
                              <w:t>Updated for Baseline 46.0</w:t>
                            </w:r>
                          </w:p>
                          <w:p w14:paraId="4896B9DF" w14:textId="77777777" w:rsidR="00851C01" w:rsidRDefault="00851C01">
                            <w:pPr>
                              <w:pStyle w:val="DocumentRef"/>
                            </w:pPr>
                            <w:r>
                              <w:rPr>
                                <w:b/>
                              </w:rPr>
                              <w:t>Effective Date</w:t>
                            </w:r>
                            <w:r>
                              <w:tab/>
                            </w:r>
                            <w:r w:rsidR="005C5CD4">
                              <w:fldChar w:fldCharType="begin"/>
                            </w:r>
                            <w:r w:rsidR="005C5CD4">
                              <w:instrText xml:space="preserve"> COMMENTS   \* MERGEFORMAT </w:instrText>
                            </w:r>
                            <w:r w:rsidR="005C5CD4">
                              <w:fldChar w:fldCharType="separate"/>
                            </w:r>
                            <w:r>
                              <w:t>September 15, 2021</w:t>
                            </w:r>
                            <w:r w:rsidR="005C5CD4">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109D11" id="Text Box 4" o:spid="_x0000_s1032" type="#_x0000_t202" style="position:absolute;margin-left:-13.75pt;margin-top:594.15pt;width:489.35pt;height:99.55pt;z-index:251668491;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">
                <v:shadow on="t" offset="6pt,6pt"/>
                <v:textbox>
                  <w:txbxContent>
                    <w:p w14:paraId="300A401D" w14:textId="77777777" w:rsidR="00851C01" w:rsidRDefault="00851C01" w:rsidP="006E74FD">
                      <w:pPr>
                        <w:pStyle w:val="DocumentRef"/>
                      </w:pPr>
                      <w:r>
                        <w:rPr>
                          <w:b/>
                        </w:rPr>
                        <w:t>Document ID</w:t>
                      </w:r>
                      <w:r>
                        <w:tab/>
                        <w:t>MDP_PRO_0033</w:t>
                      </w:r>
                    </w:p>
                    <w:p w14:paraId="144A6770" w14:textId="77777777" w:rsidR="00851C01" w:rsidRDefault="00851C01">
                      <w:pPr>
                        <w:pStyle w:val="DocumentRef"/>
                      </w:pPr>
                      <w:r>
                        <w:rPr>
                          <w:b/>
                        </w:rPr>
                        <w:t>Document Name</w:t>
                      </w:r>
                      <w:r>
                        <w:tab/>
                      </w:r>
                      <w:fldSimple w:instr=" TITLE  \* MERGEFORMAT ">
                        <w:r>
                          <w:t>Part 5.5: Physical Markets Settlement Statements</w:t>
                        </w:r>
                      </w:fldSimple>
                    </w:p>
                    <w:p w14:paraId="056EF16F" w14:textId="77777777" w:rsidR="00851C01" w:rsidRDefault="00851C01">
                      <w:pPr>
                        <w:pStyle w:val="DocumentRef"/>
                      </w:pPr>
                      <w:r>
                        <w:rPr>
                          <w:b/>
                        </w:rPr>
                        <w:t>Issue</w:t>
                      </w:r>
                      <w:r>
                        <w:tab/>
                      </w:r>
                      <w:fldSimple w:instr=" DOCPROPERTY  Category  \* MERGEFORMAT ">
                        <w:r>
                          <w:t>Issue 84.0</w:t>
                        </w:r>
                      </w:fldSimple>
                    </w:p>
                    <w:p w14:paraId="0C30D637" w14:textId="77777777" w:rsidR="00851C01" w:rsidRDefault="00851C01" w:rsidP="0049695D">
                      <w:pPr>
                        <w:pStyle w:val="DocumentRef"/>
                      </w:pPr>
                      <w:r>
                        <w:rPr>
                          <w:b/>
                        </w:rPr>
                        <w:t>Reason for Issue</w:t>
                      </w:r>
                      <w:r>
                        <w:tab/>
                        <w:t>Updated for Baseline 46.0</w:t>
                      </w:r>
                    </w:p>
                    <w:p w14:paraId="4896B9DF" w14:textId="77777777" w:rsidR="00851C01" w:rsidRDefault="00851C01">
                      <w:pPr>
                        <w:pStyle w:val="DocumentRef"/>
                      </w:pPr>
                      <w:r>
                        <w:rPr>
                          <w:b/>
                        </w:rPr>
                        <w:t>Effective Date</w:t>
                      </w:r>
                      <w:r>
                        <w:tab/>
                      </w:r>
                      <w:fldSimple w:instr=" COMMENTS   \* MERGEFORMAT ">
                        <w:r>
                          <w:t>September 15, 2021</w:t>
                        </w:r>
                      </w:fldSimple>
                    </w:p>
                  </w:txbxContent>
                </v:textbox>
                <w10:wrap anchory="page"/>
              </v:shape>
            </w:pict>
          </mc:Fallback>
        </mc:AlternateContent>
      </w:r>
    </w:p>
    <w:p w14:paraId="1BB1B2D0" w14:textId="77777777" w:rsidR="00855CB7" w:rsidRDefault="00855CB7">
      <w:pPr>
        <w:pStyle w:val="DocumentControlHeading"/>
        <w:rPr>
          <w:noProof w:val="0"/>
        </w:rPr>
      </w:pPr>
      <w:r>
        <w:rPr>
          <w:noProof w:val="0"/>
        </w:rPr>
        <w:lastRenderedPageBreak/>
        <w:t>Document Change History</w:t>
      </w:r>
    </w:p>
    <w:tbl>
      <w:tblPr>
        <w:tblW w:w="94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20"/>
        <w:gridCol w:w="4950"/>
        <w:gridCol w:w="2835"/>
      </w:tblGrid>
      <w:tr w:rsidR="00F00598" w14:paraId="35208761" w14:textId="77777777" w:rsidTr="005F4390">
        <w:trPr>
          <w:tblHeader/>
          <w:jc w:val="center"/>
        </w:trPr>
        <w:tc>
          <w:tcPr>
            <w:tcW w:w="1620" w:type="dxa"/>
            <w:shd w:val="clear" w:color="auto" w:fill="D9D9D9" w:themeFill="background1" w:themeFillShade="D9"/>
            <w:vAlign w:val="center"/>
          </w:tcPr>
          <w:p w14:paraId="0B258884" w14:textId="77777777" w:rsidR="0050452D" w:rsidRDefault="00F00598">
            <w:pPr>
              <w:pStyle w:val="DocumentControlTableHead"/>
              <w:jc w:val="center"/>
              <w:rPr>
                <w:lang w:val="en-CA"/>
              </w:rPr>
            </w:pPr>
            <w:r>
              <w:rPr>
                <w:lang w:val="en-CA"/>
              </w:rPr>
              <w:t>Issue</w:t>
            </w:r>
          </w:p>
        </w:tc>
        <w:tc>
          <w:tcPr>
            <w:tcW w:w="4950" w:type="dxa"/>
            <w:shd w:val="clear" w:color="auto" w:fill="D9D9D9" w:themeFill="background1" w:themeFillShade="D9"/>
            <w:vAlign w:val="center"/>
          </w:tcPr>
          <w:p w14:paraId="39F2F736" w14:textId="77777777" w:rsidR="0050452D" w:rsidRDefault="00F00598">
            <w:pPr>
              <w:pStyle w:val="DocumentControlTableHead"/>
              <w:jc w:val="center"/>
              <w:rPr>
                <w:lang w:val="en-CA"/>
              </w:rPr>
            </w:pPr>
            <w:r>
              <w:rPr>
                <w:lang w:val="en-CA"/>
              </w:rPr>
              <w:t>Reason for Issue</w:t>
            </w:r>
          </w:p>
        </w:tc>
        <w:tc>
          <w:tcPr>
            <w:tcW w:w="2835" w:type="dxa"/>
            <w:shd w:val="clear" w:color="auto" w:fill="D9D9D9" w:themeFill="background1" w:themeFillShade="D9"/>
            <w:vAlign w:val="center"/>
          </w:tcPr>
          <w:p w14:paraId="3902A27E" w14:textId="77777777" w:rsidR="0050452D" w:rsidRDefault="00F00598">
            <w:pPr>
              <w:pStyle w:val="DocumentControlTableHead"/>
              <w:jc w:val="center"/>
              <w:rPr>
                <w:lang w:val="en-CA"/>
              </w:rPr>
            </w:pPr>
            <w:r>
              <w:rPr>
                <w:lang w:val="en-CA"/>
              </w:rPr>
              <w:t>Date</w:t>
            </w:r>
          </w:p>
        </w:tc>
      </w:tr>
      <w:tr w:rsidR="00F00598" w14:paraId="73BF56EA" w14:textId="77777777" w:rsidTr="00BA1FAB">
        <w:trPr>
          <w:jc w:val="center"/>
        </w:trPr>
        <w:tc>
          <w:tcPr>
            <w:tcW w:w="9405" w:type="dxa"/>
            <w:gridSpan w:val="3"/>
            <w:vAlign w:val="center"/>
          </w:tcPr>
          <w:p w14:paraId="3BF65248" w14:textId="5EF78F6C" w:rsidR="00F00598" w:rsidRDefault="00F00598" w:rsidP="00C07DBC">
            <w:pPr>
              <w:pStyle w:val="TableTextNumber"/>
              <w:numPr>
                <w:ilvl w:val="0"/>
                <w:numId w:val="0"/>
              </w:numPr>
              <w:jc w:val="center"/>
            </w:pPr>
            <w:r>
              <w:t xml:space="preserve">For change history prior to Issue </w:t>
            </w:r>
            <w:r w:rsidR="00C07DBC">
              <w:t>57</w:t>
            </w:r>
            <w:r>
              <w:t xml:space="preserve">, see Issue </w:t>
            </w:r>
            <w:r w:rsidR="00C07DBC">
              <w:t>56</w:t>
            </w:r>
            <w:r>
              <w:t>.0</w:t>
            </w:r>
          </w:p>
        </w:tc>
      </w:tr>
      <w:tr w:rsidR="0008417A" w:rsidRPr="00B05A83" w14:paraId="108BCF1D" w14:textId="77777777" w:rsidTr="0025074E">
        <w:trPr>
          <w:jc w:val="center"/>
        </w:trPr>
        <w:tc>
          <w:tcPr>
            <w:tcW w:w="1620" w:type="dxa"/>
          </w:tcPr>
          <w:p w14:paraId="0843EF0C" w14:textId="77777777" w:rsidR="0008417A" w:rsidRDefault="00966B12" w:rsidP="00F725EF">
            <w:pPr>
              <w:pStyle w:val="DocumentControlTableText"/>
              <w:rPr>
                <w:lang w:val="en-CA"/>
              </w:rPr>
            </w:pPr>
            <w:r>
              <w:rPr>
                <w:lang w:val="en-CA"/>
              </w:rPr>
              <w:t>57.0</w:t>
            </w:r>
          </w:p>
        </w:tc>
        <w:tc>
          <w:tcPr>
            <w:tcW w:w="4950" w:type="dxa"/>
          </w:tcPr>
          <w:p w14:paraId="31364918" w14:textId="77777777" w:rsidR="0008417A" w:rsidRDefault="0008417A">
            <w:pPr>
              <w:pStyle w:val="DocumentControlTableText"/>
            </w:pPr>
            <w:r>
              <w:t>Updated for Baseline 33.1</w:t>
            </w:r>
          </w:p>
        </w:tc>
        <w:tc>
          <w:tcPr>
            <w:tcW w:w="2835" w:type="dxa"/>
          </w:tcPr>
          <w:p w14:paraId="0A9EFE3B" w14:textId="77777777" w:rsidR="0008417A" w:rsidRDefault="0008417A">
            <w:pPr>
              <w:pStyle w:val="DocumentControlTableText"/>
              <w:rPr>
                <w:lang w:val="en-CA"/>
              </w:rPr>
            </w:pPr>
            <w:r>
              <w:rPr>
                <w:lang w:val="en-CA"/>
              </w:rPr>
              <w:t>June 3, 2015</w:t>
            </w:r>
          </w:p>
        </w:tc>
      </w:tr>
      <w:tr w:rsidR="0025074E" w:rsidRPr="00B05A83" w14:paraId="2E136B11" w14:textId="77777777" w:rsidTr="00A2309B">
        <w:trPr>
          <w:jc w:val="center"/>
        </w:trPr>
        <w:tc>
          <w:tcPr>
            <w:tcW w:w="1620" w:type="dxa"/>
          </w:tcPr>
          <w:p w14:paraId="5E954F6B" w14:textId="77777777" w:rsidR="0025074E" w:rsidRDefault="005770C0" w:rsidP="00F725EF">
            <w:pPr>
              <w:pStyle w:val="DocumentControlTableText"/>
              <w:rPr>
                <w:lang w:val="en-CA"/>
              </w:rPr>
            </w:pPr>
            <w:r>
              <w:rPr>
                <w:lang w:val="en-CA"/>
              </w:rPr>
              <w:t>58.0</w:t>
            </w:r>
          </w:p>
        </w:tc>
        <w:tc>
          <w:tcPr>
            <w:tcW w:w="4950" w:type="dxa"/>
          </w:tcPr>
          <w:p w14:paraId="2114AB71" w14:textId="77777777" w:rsidR="0025074E" w:rsidRDefault="0025074E">
            <w:pPr>
              <w:pStyle w:val="DocumentControlTableText"/>
            </w:pPr>
            <w:r>
              <w:t>Updated for Baseline 34.0</w:t>
            </w:r>
          </w:p>
        </w:tc>
        <w:tc>
          <w:tcPr>
            <w:tcW w:w="2835" w:type="dxa"/>
          </w:tcPr>
          <w:p w14:paraId="3101D349" w14:textId="77777777" w:rsidR="0025074E" w:rsidRDefault="0025074E">
            <w:pPr>
              <w:pStyle w:val="DocumentControlTableText"/>
              <w:rPr>
                <w:lang w:val="en-CA"/>
              </w:rPr>
            </w:pPr>
            <w:r>
              <w:rPr>
                <w:lang w:val="en-CA"/>
              </w:rPr>
              <w:t>September 9, 2015</w:t>
            </w:r>
          </w:p>
        </w:tc>
      </w:tr>
      <w:tr w:rsidR="00A2309B" w:rsidRPr="00B05A83" w14:paraId="5D8933CF" w14:textId="77777777" w:rsidTr="00E553C1">
        <w:trPr>
          <w:jc w:val="center"/>
        </w:trPr>
        <w:tc>
          <w:tcPr>
            <w:tcW w:w="1620" w:type="dxa"/>
          </w:tcPr>
          <w:p w14:paraId="39FF32F5" w14:textId="77777777" w:rsidR="00A2309B" w:rsidRDefault="00A2309B" w:rsidP="00F725EF">
            <w:pPr>
              <w:pStyle w:val="DocumentControlTableText"/>
              <w:rPr>
                <w:lang w:val="en-CA"/>
              </w:rPr>
            </w:pPr>
            <w:r>
              <w:rPr>
                <w:lang w:val="en-CA"/>
              </w:rPr>
              <w:t>5</w:t>
            </w:r>
            <w:r w:rsidR="00B477C7">
              <w:rPr>
                <w:lang w:val="en-CA"/>
              </w:rPr>
              <w:t>9.0</w:t>
            </w:r>
          </w:p>
        </w:tc>
        <w:tc>
          <w:tcPr>
            <w:tcW w:w="4950" w:type="dxa"/>
          </w:tcPr>
          <w:p w14:paraId="0E52BB4C" w14:textId="77777777" w:rsidR="00A2309B" w:rsidRDefault="00A2309B">
            <w:pPr>
              <w:pStyle w:val="DocumentControlTableText"/>
            </w:pPr>
            <w:r>
              <w:t>Updated for Baseline 34.1</w:t>
            </w:r>
          </w:p>
        </w:tc>
        <w:tc>
          <w:tcPr>
            <w:tcW w:w="2835" w:type="dxa"/>
          </w:tcPr>
          <w:p w14:paraId="16E8015E" w14:textId="77777777" w:rsidR="00A2309B" w:rsidRDefault="00A2309B">
            <w:pPr>
              <w:pStyle w:val="DocumentControlTableText"/>
              <w:rPr>
                <w:lang w:val="en-CA"/>
              </w:rPr>
            </w:pPr>
            <w:r>
              <w:rPr>
                <w:lang w:val="en-CA"/>
              </w:rPr>
              <w:t>December 2, 2015</w:t>
            </w:r>
          </w:p>
        </w:tc>
      </w:tr>
      <w:tr w:rsidR="00E553C1" w:rsidRPr="00B05A83" w14:paraId="5E6E2823" w14:textId="77777777" w:rsidTr="00F832EE">
        <w:trPr>
          <w:jc w:val="center"/>
        </w:trPr>
        <w:tc>
          <w:tcPr>
            <w:tcW w:w="1620" w:type="dxa"/>
          </w:tcPr>
          <w:p w14:paraId="73958308" w14:textId="77777777" w:rsidR="00E553C1" w:rsidRDefault="006D47CF" w:rsidP="00F725EF">
            <w:pPr>
              <w:pStyle w:val="DocumentControlTableText"/>
              <w:rPr>
                <w:lang w:val="en-CA"/>
              </w:rPr>
            </w:pPr>
            <w:r>
              <w:rPr>
                <w:lang w:val="en-CA"/>
              </w:rPr>
              <w:t>60.0</w:t>
            </w:r>
          </w:p>
        </w:tc>
        <w:tc>
          <w:tcPr>
            <w:tcW w:w="4950" w:type="dxa"/>
          </w:tcPr>
          <w:p w14:paraId="49D0CD41" w14:textId="77777777" w:rsidR="00E553C1" w:rsidRDefault="00E553C1">
            <w:pPr>
              <w:pStyle w:val="DocumentControlTableText"/>
            </w:pPr>
            <w:r>
              <w:t xml:space="preserve">Updated for </w:t>
            </w:r>
            <w:r w:rsidR="00AC7BF0">
              <w:t>Baseline 35.0</w:t>
            </w:r>
          </w:p>
        </w:tc>
        <w:tc>
          <w:tcPr>
            <w:tcW w:w="2835" w:type="dxa"/>
          </w:tcPr>
          <w:p w14:paraId="6A5F207C" w14:textId="77777777" w:rsidR="00E553C1" w:rsidRDefault="00E553C1">
            <w:pPr>
              <w:pStyle w:val="DocumentControlTableText"/>
              <w:rPr>
                <w:lang w:val="en-CA"/>
              </w:rPr>
            </w:pPr>
            <w:r>
              <w:rPr>
                <w:lang w:val="en-CA"/>
              </w:rPr>
              <w:t>March 2, 2016</w:t>
            </w:r>
          </w:p>
        </w:tc>
      </w:tr>
      <w:tr w:rsidR="00F832EE" w:rsidRPr="00B05A83" w14:paraId="4FC74E73" w14:textId="77777777" w:rsidTr="00AD1F7C">
        <w:trPr>
          <w:jc w:val="center"/>
        </w:trPr>
        <w:tc>
          <w:tcPr>
            <w:tcW w:w="1620" w:type="dxa"/>
          </w:tcPr>
          <w:p w14:paraId="4306A08E" w14:textId="77777777" w:rsidR="00F832EE" w:rsidRDefault="001B72DE" w:rsidP="00F725EF">
            <w:pPr>
              <w:pStyle w:val="DocumentControlTableText"/>
              <w:rPr>
                <w:lang w:val="en-CA"/>
              </w:rPr>
            </w:pPr>
            <w:r>
              <w:rPr>
                <w:lang w:val="en-CA"/>
              </w:rPr>
              <w:t>61.0</w:t>
            </w:r>
          </w:p>
        </w:tc>
        <w:tc>
          <w:tcPr>
            <w:tcW w:w="4950" w:type="dxa"/>
          </w:tcPr>
          <w:p w14:paraId="704A3941" w14:textId="77777777" w:rsidR="00F832EE" w:rsidRDefault="00F832EE">
            <w:pPr>
              <w:pStyle w:val="DocumentControlTableText"/>
            </w:pPr>
            <w:r>
              <w:t>Updated for Baseline 35.1</w:t>
            </w:r>
          </w:p>
        </w:tc>
        <w:tc>
          <w:tcPr>
            <w:tcW w:w="2835" w:type="dxa"/>
          </w:tcPr>
          <w:p w14:paraId="6A83725D" w14:textId="77777777" w:rsidR="00F832EE" w:rsidRDefault="00F832EE">
            <w:pPr>
              <w:pStyle w:val="DocumentControlTableText"/>
              <w:rPr>
                <w:lang w:val="en-CA"/>
              </w:rPr>
            </w:pPr>
            <w:r>
              <w:rPr>
                <w:lang w:val="en-CA"/>
              </w:rPr>
              <w:t>June 1, 2016</w:t>
            </w:r>
          </w:p>
        </w:tc>
      </w:tr>
      <w:tr w:rsidR="00AD1F7C" w:rsidRPr="00B05A83" w14:paraId="70A8026C" w14:textId="77777777" w:rsidTr="00B82C9B">
        <w:trPr>
          <w:jc w:val="center"/>
        </w:trPr>
        <w:tc>
          <w:tcPr>
            <w:tcW w:w="1620" w:type="dxa"/>
          </w:tcPr>
          <w:p w14:paraId="2C196480" w14:textId="77777777" w:rsidR="00AD1F7C" w:rsidRDefault="00054139" w:rsidP="00F725EF">
            <w:pPr>
              <w:pStyle w:val="DocumentControlTableText"/>
              <w:rPr>
                <w:lang w:val="en-CA"/>
              </w:rPr>
            </w:pPr>
            <w:r>
              <w:rPr>
                <w:lang w:val="en-CA"/>
              </w:rPr>
              <w:t>62.0</w:t>
            </w:r>
          </w:p>
        </w:tc>
        <w:tc>
          <w:tcPr>
            <w:tcW w:w="4950" w:type="dxa"/>
          </w:tcPr>
          <w:p w14:paraId="65314A5B" w14:textId="77777777" w:rsidR="00AD1F7C" w:rsidRDefault="00AD1F7C">
            <w:pPr>
              <w:pStyle w:val="DocumentControlTableText"/>
            </w:pPr>
            <w:r>
              <w:t>Updated for Baseline 36.0</w:t>
            </w:r>
          </w:p>
        </w:tc>
        <w:tc>
          <w:tcPr>
            <w:tcW w:w="2835" w:type="dxa"/>
          </w:tcPr>
          <w:p w14:paraId="2EFE6651" w14:textId="77777777" w:rsidR="00AD1F7C" w:rsidRDefault="00AD1F7C">
            <w:pPr>
              <w:pStyle w:val="DocumentControlTableText"/>
              <w:rPr>
                <w:lang w:val="en-CA"/>
              </w:rPr>
            </w:pPr>
            <w:r>
              <w:rPr>
                <w:lang w:val="en-CA"/>
              </w:rPr>
              <w:t>September 14, 2016</w:t>
            </w:r>
          </w:p>
        </w:tc>
      </w:tr>
      <w:tr w:rsidR="00C46B19" w:rsidRPr="00B05A83" w14:paraId="126D778C" w14:textId="77777777" w:rsidTr="00B82C9B">
        <w:trPr>
          <w:jc w:val="center"/>
        </w:trPr>
        <w:tc>
          <w:tcPr>
            <w:tcW w:w="1620" w:type="dxa"/>
          </w:tcPr>
          <w:p w14:paraId="7871D0A2" w14:textId="77777777" w:rsidR="00C46B19" w:rsidRDefault="00CD5E40" w:rsidP="00F725EF">
            <w:pPr>
              <w:pStyle w:val="DocumentControlTableText"/>
              <w:rPr>
                <w:lang w:val="en-CA"/>
              </w:rPr>
            </w:pPr>
            <w:r>
              <w:rPr>
                <w:lang w:val="en-CA"/>
              </w:rPr>
              <w:t>63.0</w:t>
            </w:r>
          </w:p>
        </w:tc>
        <w:tc>
          <w:tcPr>
            <w:tcW w:w="4950" w:type="dxa"/>
          </w:tcPr>
          <w:p w14:paraId="415DCA2B" w14:textId="77777777" w:rsidR="00C46B19" w:rsidRDefault="00C46B19">
            <w:pPr>
              <w:pStyle w:val="DocumentControlTableText"/>
            </w:pPr>
            <w:r>
              <w:t>Updated for Baseline 36.1</w:t>
            </w:r>
          </w:p>
        </w:tc>
        <w:tc>
          <w:tcPr>
            <w:tcW w:w="2835" w:type="dxa"/>
          </w:tcPr>
          <w:p w14:paraId="46219C14" w14:textId="77777777" w:rsidR="00C46B19" w:rsidRDefault="00C46B19">
            <w:pPr>
              <w:pStyle w:val="DocumentControlTableText"/>
              <w:rPr>
                <w:lang w:val="en-CA"/>
              </w:rPr>
            </w:pPr>
            <w:r>
              <w:rPr>
                <w:lang w:val="en-CA"/>
              </w:rPr>
              <w:t>December 7, 2016</w:t>
            </w:r>
          </w:p>
        </w:tc>
      </w:tr>
      <w:tr w:rsidR="000F4C7E" w:rsidRPr="00B05A83" w14:paraId="457390F4" w14:textId="77777777" w:rsidTr="00B82C9B">
        <w:trPr>
          <w:jc w:val="center"/>
        </w:trPr>
        <w:tc>
          <w:tcPr>
            <w:tcW w:w="1620" w:type="dxa"/>
          </w:tcPr>
          <w:p w14:paraId="0C8FE5E4" w14:textId="77777777" w:rsidR="000F4C7E" w:rsidRDefault="000F4C7E" w:rsidP="00F725EF">
            <w:pPr>
              <w:pStyle w:val="DocumentControlTableText"/>
              <w:rPr>
                <w:lang w:val="en-CA"/>
              </w:rPr>
            </w:pPr>
            <w:r>
              <w:rPr>
                <w:lang w:val="en-CA"/>
              </w:rPr>
              <w:t>64.0</w:t>
            </w:r>
          </w:p>
        </w:tc>
        <w:tc>
          <w:tcPr>
            <w:tcW w:w="4950" w:type="dxa"/>
          </w:tcPr>
          <w:p w14:paraId="07731FDE" w14:textId="77777777" w:rsidR="000F4C7E" w:rsidRDefault="000F4C7E">
            <w:pPr>
              <w:pStyle w:val="DocumentControlTableText"/>
            </w:pPr>
            <w:r>
              <w:t>Updated for Baseline 37.0</w:t>
            </w:r>
          </w:p>
        </w:tc>
        <w:tc>
          <w:tcPr>
            <w:tcW w:w="2835" w:type="dxa"/>
          </w:tcPr>
          <w:p w14:paraId="669A386D" w14:textId="77777777" w:rsidR="000F4C7E" w:rsidRDefault="000F4C7E">
            <w:pPr>
              <w:pStyle w:val="DocumentControlTableText"/>
              <w:rPr>
                <w:lang w:val="en-CA"/>
              </w:rPr>
            </w:pPr>
            <w:r>
              <w:rPr>
                <w:lang w:val="en-CA"/>
              </w:rPr>
              <w:t>March 1, 2017</w:t>
            </w:r>
          </w:p>
        </w:tc>
      </w:tr>
      <w:tr w:rsidR="00476415" w:rsidRPr="00B05A83" w14:paraId="3EEEC900" w14:textId="77777777" w:rsidTr="00B82C9B">
        <w:trPr>
          <w:jc w:val="center"/>
        </w:trPr>
        <w:tc>
          <w:tcPr>
            <w:tcW w:w="1620" w:type="dxa"/>
          </w:tcPr>
          <w:p w14:paraId="7D8CB4EE" w14:textId="77777777" w:rsidR="00476415" w:rsidRDefault="00C51EF4" w:rsidP="00F725EF">
            <w:pPr>
              <w:pStyle w:val="DocumentControlTableText"/>
              <w:rPr>
                <w:lang w:val="en-CA"/>
              </w:rPr>
            </w:pPr>
            <w:r>
              <w:rPr>
                <w:lang w:val="en-CA"/>
              </w:rPr>
              <w:t>65</w:t>
            </w:r>
            <w:r w:rsidR="00476415">
              <w:rPr>
                <w:lang w:val="en-CA"/>
              </w:rPr>
              <w:t>.</w:t>
            </w:r>
            <w:r>
              <w:rPr>
                <w:lang w:val="en-CA"/>
              </w:rPr>
              <w:t>0</w:t>
            </w:r>
          </w:p>
        </w:tc>
        <w:tc>
          <w:tcPr>
            <w:tcW w:w="4950" w:type="dxa"/>
          </w:tcPr>
          <w:p w14:paraId="1A061BEE" w14:textId="77777777" w:rsidR="00476415" w:rsidRDefault="00476415" w:rsidP="002B700A">
            <w:pPr>
              <w:pStyle w:val="DocumentControlTableText"/>
            </w:pPr>
            <w:r>
              <w:t>Updated in advance of Baseline 37.1</w:t>
            </w:r>
          </w:p>
        </w:tc>
        <w:tc>
          <w:tcPr>
            <w:tcW w:w="2835" w:type="dxa"/>
          </w:tcPr>
          <w:p w14:paraId="776A2A89" w14:textId="77777777" w:rsidR="00476415" w:rsidRDefault="00476415">
            <w:pPr>
              <w:pStyle w:val="DocumentControlTableText"/>
              <w:rPr>
                <w:lang w:val="en-CA"/>
              </w:rPr>
            </w:pPr>
            <w:r>
              <w:rPr>
                <w:lang w:val="en-CA"/>
              </w:rPr>
              <w:t>March 31, 2017</w:t>
            </w:r>
          </w:p>
        </w:tc>
      </w:tr>
      <w:tr w:rsidR="00B7407A" w:rsidRPr="00B05A83" w14:paraId="589812AA" w14:textId="77777777" w:rsidTr="00B82C9B">
        <w:trPr>
          <w:jc w:val="center"/>
        </w:trPr>
        <w:tc>
          <w:tcPr>
            <w:tcW w:w="1620" w:type="dxa"/>
          </w:tcPr>
          <w:p w14:paraId="69A1C8F5" w14:textId="77777777" w:rsidR="00B7407A" w:rsidRDefault="00E66677" w:rsidP="00F725EF">
            <w:pPr>
              <w:pStyle w:val="DocumentControlTableText"/>
              <w:rPr>
                <w:lang w:val="en-CA"/>
              </w:rPr>
            </w:pPr>
            <w:r>
              <w:rPr>
                <w:lang w:val="en-CA"/>
              </w:rPr>
              <w:t>66</w:t>
            </w:r>
            <w:r w:rsidR="00B7407A">
              <w:rPr>
                <w:lang w:val="en-CA"/>
              </w:rPr>
              <w:t>.</w:t>
            </w:r>
            <w:r>
              <w:rPr>
                <w:lang w:val="en-CA"/>
              </w:rPr>
              <w:t>0</w:t>
            </w:r>
          </w:p>
        </w:tc>
        <w:tc>
          <w:tcPr>
            <w:tcW w:w="4950" w:type="dxa"/>
          </w:tcPr>
          <w:p w14:paraId="7EA75589" w14:textId="77777777" w:rsidR="00B7407A" w:rsidRDefault="00B7407A" w:rsidP="002B700A">
            <w:pPr>
              <w:pStyle w:val="DocumentControlTableText"/>
            </w:pPr>
            <w:r>
              <w:t>Updated for Baseline 37.1</w:t>
            </w:r>
          </w:p>
        </w:tc>
        <w:tc>
          <w:tcPr>
            <w:tcW w:w="2835" w:type="dxa"/>
          </w:tcPr>
          <w:p w14:paraId="7489769B" w14:textId="77777777" w:rsidR="00B7407A" w:rsidRDefault="00B7407A">
            <w:pPr>
              <w:pStyle w:val="DocumentControlTableText"/>
              <w:rPr>
                <w:lang w:val="en-CA"/>
              </w:rPr>
            </w:pPr>
            <w:r>
              <w:rPr>
                <w:lang w:val="en-CA"/>
              </w:rPr>
              <w:t>June 7, 2017</w:t>
            </w:r>
          </w:p>
        </w:tc>
      </w:tr>
      <w:tr w:rsidR="00A97391" w:rsidRPr="00B05A83" w14:paraId="3E87B825" w14:textId="77777777" w:rsidTr="00B82C9B">
        <w:trPr>
          <w:jc w:val="center"/>
        </w:trPr>
        <w:tc>
          <w:tcPr>
            <w:tcW w:w="1620" w:type="dxa"/>
          </w:tcPr>
          <w:p w14:paraId="5D10F56C" w14:textId="77777777" w:rsidR="00A97391" w:rsidRDefault="00031D58" w:rsidP="00F725EF">
            <w:pPr>
              <w:pStyle w:val="DocumentControlTableText"/>
              <w:rPr>
                <w:lang w:val="en-CA"/>
              </w:rPr>
            </w:pPr>
            <w:r>
              <w:rPr>
                <w:lang w:val="en-CA"/>
              </w:rPr>
              <w:t>67</w:t>
            </w:r>
            <w:r w:rsidR="00A97391">
              <w:rPr>
                <w:lang w:val="en-CA"/>
              </w:rPr>
              <w:t>.</w:t>
            </w:r>
            <w:r>
              <w:rPr>
                <w:lang w:val="en-CA"/>
              </w:rPr>
              <w:t>0</w:t>
            </w:r>
          </w:p>
        </w:tc>
        <w:tc>
          <w:tcPr>
            <w:tcW w:w="4950" w:type="dxa"/>
          </w:tcPr>
          <w:p w14:paraId="6EA41F20" w14:textId="77777777" w:rsidR="00A97391" w:rsidRDefault="00A97391" w:rsidP="002B700A">
            <w:pPr>
              <w:pStyle w:val="DocumentControlTableText"/>
            </w:pPr>
            <w:r>
              <w:t>Updated in advance of Baseline 38.0</w:t>
            </w:r>
          </w:p>
        </w:tc>
        <w:tc>
          <w:tcPr>
            <w:tcW w:w="2835" w:type="dxa"/>
          </w:tcPr>
          <w:p w14:paraId="294B083C" w14:textId="77777777" w:rsidR="00A97391" w:rsidRDefault="00A97391">
            <w:pPr>
              <w:pStyle w:val="DocumentControlTableText"/>
              <w:rPr>
                <w:lang w:val="en-CA"/>
              </w:rPr>
            </w:pPr>
            <w:r>
              <w:rPr>
                <w:lang w:val="en-CA"/>
              </w:rPr>
              <w:t>August 1, 2017</w:t>
            </w:r>
          </w:p>
        </w:tc>
      </w:tr>
      <w:tr w:rsidR="0003401A" w:rsidRPr="00B05A83" w14:paraId="425116BE" w14:textId="77777777" w:rsidTr="00B82C9B">
        <w:trPr>
          <w:jc w:val="center"/>
        </w:trPr>
        <w:tc>
          <w:tcPr>
            <w:tcW w:w="1620" w:type="dxa"/>
          </w:tcPr>
          <w:p w14:paraId="77B02ED1" w14:textId="77777777" w:rsidR="0003401A" w:rsidRDefault="0003401A" w:rsidP="00F725EF">
            <w:pPr>
              <w:pStyle w:val="DocumentControlTableText"/>
              <w:rPr>
                <w:lang w:val="en-CA"/>
              </w:rPr>
            </w:pPr>
            <w:r>
              <w:rPr>
                <w:lang w:val="en-CA"/>
              </w:rPr>
              <w:t>68.0</w:t>
            </w:r>
          </w:p>
        </w:tc>
        <w:tc>
          <w:tcPr>
            <w:tcW w:w="4950" w:type="dxa"/>
          </w:tcPr>
          <w:p w14:paraId="3D00FDCA" w14:textId="77777777" w:rsidR="0003401A" w:rsidRDefault="0003401A" w:rsidP="002B700A">
            <w:pPr>
              <w:pStyle w:val="DocumentControlTableText"/>
            </w:pPr>
            <w:r>
              <w:t>Updated for Baseline 38.1</w:t>
            </w:r>
          </w:p>
        </w:tc>
        <w:tc>
          <w:tcPr>
            <w:tcW w:w="2835" w:type="dxa"/>
          </w:tcPr>
          <w:p w14:paraId="6A14FD94" w14:textId="77777777" w:rsidR="0003401A" w:rsidRDefault="0003401A">
            <w:pPr>
              <w:pStyle w:val="DocumentControlTableText"/>
              <w:rPr>
                <w:lang w:val="en-CA"/>
              </w:rPr>
            </w:pPr>
            <w:r>
              <w:rPr>
                <w:lang w:val="en-CA"/>
              </w:rPr>
              <w:t>December 6, 2017</w:t>
            </w:r>
          </w:p>
        </w:tc>
      </w:tr>
      <w:tr w:rsidR="00D1067E" w:rsidRPr="00B05A83" w14:paraId="6BE35122" w14:textId="77777777" w:rsidTr="00B82C9B">
        <w:trPr>
          <w:jc w:val="center"/>
        </w:trPr>
        <w:tc>
          <w:tcPr>
            <w:tcW w:w="1620" w:type="dxa"/>
          </w:tcPr>
          <w:p w14:paraId="3BE25A27" w14:textId="77777777" w:rsidR="00D1067E" w:rsidRDefault="00AA6578" w:rsidP="00F725EF">
            <w:pPr>
              <w:pStyle w:val="DocumentControlTableText"/>
              <w:rPr>
                <w:lang w:val="en-CA"/>
              </w:rPr>
            </w:pPr>
            <w:r>
              <w:rPr>
                <w:lang w:val="en-CA"/>
              </w:rPr>
              <w:t>69</w:t>
            </w:r>
            <w:r w:rsidR="00D1067E">
              <w:rPr>
                <w:lang w:val="en-CA"/>
              </w:rPr>
              <w:t>.</w:t>
            </w:r>
            <w:r>
              <w:rPr>
                <w:lang w:val="en-CA"/>
              </w:rPr>
              <w:t>0</w:t>
            </w:r>
          </w:p>
        </w:tc>
        <w:tc>
          <w:tcPr>
            <w:tcW w:w="4950" w:type="dxa"/>
          </w:tcPr>
          <w:p w14:paraId="75A96FEB" w14:textId="77777777" w:rsidR="00D1067E" w:rsidRDefault="00D1067E" w:rsidP="002B700A">
            <w:pPr>
              <w:pStyle w:val="DocumentControlTableText"/>
            </w:pPr>
            <w:r>
              <w:t>Updated for Baseline 39.0</w:t>
            </w:r>
          </w:p>
        </w:tc>
        <w:tc>
          <w:tcPr>
            <w:tcW w:w="2835" w:type="dxa"/>
          </w:tcPr>
          <w:p w14:paraId="00377DD7" w14:textId="77777777" w:rsidR="00D1067E" w:rsidRDefault="00D1067E">
            <w:pPr>
              <w:pStyle w:val="DocumentControlTableText"/>
              <w:rPr>
                <w:lang w:val="en-CA"/>
              </w:rPr>
            </w:pPr>
            <w:r>
              <w:rPr>
                <w:lang w:val="en-CA"/>
              </w:rPr>
              <w:t>March 7, 2017</w:t>
            </w:r>
          </w:p>
        </w:tc>
      </w:tr>
      <w:tr w:rsidR="004874A2" w14:paraId="04FD0761" w14:textId="77777777" w:rsidTr="00CB13DE">
        <w:trPr>
          <w:jc w:val="center"/>
        </w:trPr>
        <w:tc>
          <w:tcPr>
            <w:tcW w:w="1620" w:type="dxa"/>
            <w:tcBorders>
              <w:top w:val="single" w:sz="4" w:space="0" w:color="auto"/>
              <w:left w:val="single" w:sz="4" w:space="0" w:color="auto"/>
              <w:bottom w:val="single" w:sz="4" w:space="0" w:color="auto"/>
              <w:right w:val="single" w:sz="4" w:space="0" w:color="auto"/>
            </w:tcBorders>
          </w:tcPr>
          <w:p w14:paraId="0AAC6FC1" w14:textId="77777777" w:rsidR="004874A2" w:rsidRDefault="004874A2" w:rsidP="006F6343">
            <w:pPr>
              <w:pStyle w:val="DocumentControlTableText"/>
              <w:rPr>
                <w:lang w:val="en-CA"/>
              </w:rPr>
            </w:pPr>
            <w:r>
              <w:rPr>
                <w:lang w:val="en-CA"/>
              </w:rPr>
              <w:t>70.0</w:t>
            </w:r>
          </w:p>
        </w:tc>
        <w:tc>
          <w:tcPr>
            <w:tcW w:w="4950" w:type="dxa"/>
            <w:tcBorders>
              <w:top w:val="single" w:sz="4" w:space="0" w:color="auto"/>
              <w:left w:val="single" w:sz="4" w:space="0" w:color="auto"/>
              <w:bottom w:val="single" w:sz="4" w:space="0" w:color="auto"/>
              <w:right w:val="single" w:sz="4" w:space="0" w:color="auto"/>
            </w:tcBorders>
          </w:tcPr>
          <w:p w14:paraId="1447FE48" w14:textId="77777777" w:rsidR="004874A2" w:rsidRDefault="004874A2" w:rsidP="004874A2">
            <w:pPr>
              <w:pStyle w:val="DocumentControlTableText"/>
            </w:pPr>
            <w:r>
              <w:t>Updated for Baseline 40.0</w:t>
            </w:r>
          </w:p>
        </w:tc>
        <w:tc>
          <w:tcPr>
            <w:tcW w:w="2835" w:type="dxa"/>
            <w:tcBorders>
              <w:top w:val="single" w:sz="4" w:space="0" w:color="auto"/>
              <w:left w:val="single" w:sz="4" w:space="0" w:color="auto"/>
              <w:bottom w:val="single" w:sz="4" w:space="0" w:color="auto"/>
              <w:right w:val="single" w:sz="4" w:space="0" w:color="auto"/>
            </w:tcBorders>
          </w:tcPr>
          <w:p w14:paraId="28F2C85B" w14:textId="77777777" w:rsidR="004874A2" w:rsidRDefault="004874A2" w:rsidP="006F6343">
            <w:pPr>
              <w:pStyle w:val="DocumentControlTableText"/>
              <w:rPr>
                <w:lang w:val="en-CA"/>
              </w:rPr>
            </w:pPr>
            <w:r>
              <w:t>September 12, 2018</w:t>
            </w:r>
          </w:p>
        </w:tc>
      </w:tr>
      <w:tr w:rsidR="004874A2" w14:paraId="790F6108" w14:textId="77777777" w:rsidTr="00CB13DE">
        <w:trPr>
          <w:jc w:val="center"/>
        </w:trPr>
        <w:tc>
          <w:tcPr>
            <w:tcW w:w="1620" w:type="dxa"/>
            <w:tcBorders>
              <w:top w:val="single" w:sz="4" w:space="0" w:color="auto"/>
              <w:left w:val="single" w:sz="4" w:space="0" w:color="auto"/>
              <w:bottom w:val="single" w:sz="4" w:space="0" w:color="auto"/>
              <w:right w:val="single" w:sz="4" w:space="0" w:color="auto"/>
            </w:tcBorders>
          </w:tcPr>
          <w:p w14:paraId="7A10D02D" w14:textId="77777777" w:rsidR="004874A2" w:rsidRDefault="004874A2" w:rsidP="002C72A9">
            <w:pPr>
              <w:pStyle w:val="DocumentControlTableText"/>
              <w:rPr>
                <w:lang w:val="en-CA"/>
              </w:rPr>
            </w:pPr>
            <w:r>
              <w:rPr>
                <w:lang w:val="en-CA"/>
              </w:rPr>
              <w:t>7</w:t>
            </w:r>
            <w:r w:rsidR="002C72A9">
              <w:rPr>
                <w:lang w:val="en-CA"/>
              </w:rPr>
              <w:t>1.0</w:t>
            </w:r>
          </w:p>
        </w:tc>
        <w:tc>
          <w:tcPr>
            <w:tcW w:w="4950" w:type="dxa"/>
            <w:tcBorders>
              <w:top w:val="single" w:sz="4" w:space="0" w:color="auto"/>
              <w:left w:val="single" w:sz="4" w:space="0" w:color="auto"/>
              <w:bottom w:val="single" w:sz="4" w:space="0" w:color="auto"/>
              <w:right w:val="single" w:sz="4" w:space="0" w:color="auto"/>
            </w:tcBorders>
          </w:tcPr>
          <w:p w14:paraId="720F5A89" w14:textId="77777777" w:rsidR="004874A2" w:rsidRDefault="004874A2" w:rsidP="004874A2">
            <w:pPr>
              <w:pStyle w:val="DocumentControlTableText"/>
              <w:rPr>
                <w:szCs w:val="22"/>
              </w:rPr>
            </w:pPr>
            <w:r>
              <w:rPr>
                <w:szCs w:val="22"/>
              </w:rPr>
              <w:t>Updated in advance of Baseline 40.1</w:t>
            </w:r>
          </w:p>
        </w:tc>
        <w:tc>
          <w:tcPr>
            <w:tcW w:w="2835" w:type="dxa"/>
            <w:tcBorders>
              <w:top w:val="single" w:sz="4" w:space="0" w:color="auto"/>
              <w:left w:val="single" w:sz="4" w:space="0" w:color="auto"/>
              <w:bottom w:val="single" w:sz="4" w:space="0" w:color="auto"/>
              <w:right w:val="single" w:sz="4" w:space="0" w:color="auto"/>
            </w:tcBorders>
          </w:tcPr>
          <w:p w14:paraId="52113447" w14:textId="77777777" w:rsidR="004874A2" w:rsidRDefault="004874A2" w:rsidP="006F6343">
            <w:pPr>
              <w:pStyle w:val="DocumentControlTableText"/>
            </w:pPr>
            <w:r>
              <w:t>November 14, 2018</w:t>
            </w:r>
          </w:p>
        </w:tc>
      </w:tr>
      <w:tr w:rsidR="00385D82" w14:paraId="02F14ACA" w14:textId="77777777" w:rsidTr="00CB13DE">
        <w:trPr>
          <w:jc w:val="center"/>
        </w:trPr>
        <w:tc>
          <w:tcPr>
            <w:tcW w:w="1620" w:type="dxa"/>
            <w:tcBorders>
              <w:top w:val="single" w:sz="4" w:space="0" w:color="auto"/>
              <w:left w:val="single" w:sz="4" w:space="0" w:color="auto"/>
              <w:bottom w:val="single" w:sz="4" w:space="0" w:color="auto"/>
              <w:right w:val="single" w:sz="4" w:space="0" w:color="auto"/>
            </w:tcBorders>
          </w:tcPr>
          <w:p w14:paraId="5E0A568E" w14:textId="77777777" w:rsidR="00385D82" w:rsidRDefault="00164EE9" w:rsidP="002C72A9">
            <w:pPr>
              <w:pStyle w:val="DocumentControlTableText"/>
              <w:rPr>
                <w:lang w:val="en-CA"/>
              </w:rPr>
            </w:pPr>
            <w:r>
              <w:rPr>
                <w:lang w:val="en-CA"/>
              </w:rPr>
              <w:t>72.0</w:t>
            </w:r>
          </w:p>
        </w:tc>
        <w:tc>
          <w:tcPr>
            <w:tcW w:w="4950" w:type="dxa"/>
            <w:tcBorders>
              <w:top w:val="single" w:sz="4" w:space="0" w:color="auto"/>
              <w:left w:val="single" w:sz="4" w:space="0" w:color="auto"/>
              <w:bottom w:val="single" w:sz="4" w:space="0" w:color="auto"/>
              <w:right w:val="single" w:sz="4" w:space="0" w:color="auto"/>
            </w:tcBorders>
          </w:tcPr>
          <w:p w14:paraId="4DA78018" w14:textId="77777777" w:rsidR="00385D82" w:rsidRDefault="00385D82" w:rsidP="004874A2">
            <w:pPr>
              <w:pStyle w:val="DocumentControlTableText"/>
              <w:rPr>
                <w:szCs w:val="22"/>
              </w:rPr>
            </w:pPr>
            <w:r>
              <w:rPr>
                <w:szCs w:val="22"/>
              </w:rPr>
              <w:t>Updated for Baseline 41.0</w:t>
            </w:r>
          </w:p>
        </w:tc>
        <w:tc>
          <w:tcPr>
            <w:tcW w:w="2835" w:type="dxa"/>
            <w:tcBorders>
              <w:top w:val="single" w:sz="4" w:space="0" w:color="auto"/>
              <w:left w:val="single" w:sz="4" w:space="0" w:color="auto"/>
              <w:bottom w:val="single" w:sz="4" w:space="0" w:color="auto"/>
              <w:right w:val="single" w:sz="4" w:space="0" w:color="auto"/>
            </w:tcBorders>
          </w:tcPr>
          <w:p w14:paraId="2DE9F1E3" w14:textId="77777777" w:rsidR="00385D82" w:rsidRDefault="00385D82" w:rsidP="006F6343">
            <w:pPr>
              <w:pStyle w:val="DocumentControlTableText"/>
            </w:pPr>
            <w:r>
              <w:t xml:space="preserve">March 6, 2019 </w:t>
            </w:r>
          </w:p>
        </w:tc>
      </w:tr>
      <w:tr w:rsidR="00791D45" w14:paraId="511EA588" w14:textId="77777777" w:rsidTr="00CB13DE">
        <w:trPr>
          <w:jc w:val="center"/>
        </w:trPr>
        <w:tc>
          <w:tcPr>
            <w:tcW w:w="1620" w:type="dxa"/>
            <w:tcBorders>
              <w:top w:val="single" w:sz="4" w:space="0" w:color="auto"/>
              <w:left w:val="single" w:sz="4" w:space="0" w:color="auto"/>
              <w:bottom w:val="single" w:sz="4" w:space="0" w:color="auto"/>
              <w:right w:val="single" w:sz="4" w:space="0" w:color="auto"/>
            </w:tcBorders>
          </w:tcPr>
          <w:p w14:paraId="7DCED922" w14:textId="77777777" w:rsidR="00791D45" w:rsidRDefault="000719EF" w:rsidP="002C72A9">
            <w:pPr>
              <w:pStyle w:val="DocumentControlTableText"/>
              <w:rPr>
                <w:lang w:val="en-CA"/>
              </w:rPr>
            </w:pPr>
            <w:r>
              <w:rPr>
                <w:lang w:val="en-CA"/>
              </w:rPr>
              <w:t>73.0</w:t>
            </w:r>
          </w:p>
        </w:tc>
        <w:tc>
          <w:tcPr>
            <w:tcW w:w="4950" w:type="dxa"/>
            <w:tcBorders>
              <w:top w:val="single" w:sz="4" w:space="0" w:color="auto"/>
              <w:left w:val="single" w:sz="4" w:space="0" w:color="auto"/>
              <w:bottom w:val="single" w:sz="4" w:space="0" w:color="auto"/>
              <w:right w:val="single" w:sz="4" w:space="0" w:color="auto"/>
            </w:tcBorders>
          </w:tcPr>
          <w:p w14:paraId="036CDE93" w14:textId="77777777" w:rsidR="00791D45" w:rsidRDefault="00791D45" w:rsidP="004874A2">
            <w:pPr>
              <w:pStyle w:val="DocumentControlTableText"/>
              <w:rPr>
                <w:szCs w:val="22"/>
              </w:rPr>
            </w:pPr>
            <w:r>
              <w:rPr>
                <w:szCs w:val="22"/>
              </w:rPr>
              <w:t>Updated for Baseline 41.1</w:t>
            </w:r>
          </w:p>
        </w:tc>
        <w:tc>
          <w:tcPr>
            <w:tcW w:w="2835" w:type="dxa"/>
            <w:tcBorders>
              <w:top w:val="single" w:sz="4" w:space="0" w:color="auto"/>
              <w:left w:val="single" w:sz="4" w:space="0" w:color="auto"/>
              <w:bottom w:val="single" w:sz="4" w:space="0" w:color="auto"/>
              <w:right w:val="single" w:sz="4" w:space="0" w:color="auto"/>
            </w:tcBorders>
          </w:tcPr>
          <w:p w14:paraId="02A36321" w14:textId="77777777" w:rsidR="00791D45" w:rsidRDefault="00791D45" w:rsidP="006F6343">
            <w:pPr>
              <w:pStyle w:val="DocumentControlTableText"/>
            </w:pPr>
            <w:r>
              <w:t>June 5, 2019</w:t>
            </w:r>
          </w:p>
        </w:tc>
      </w:tr>
      <w:tr w:rsidR="00E06CB3" w14:paraId="7E1CB4EE" w14:textId="77777777" w:rsidTr="00CB13DE">
        <w:trPr>
          <w:jc w:val="center"/>
        </w:trPr>
        <w:tc>
          <w:tcPr>
            <w:tcW w:w="1620" w:type="dxa"/>
            <w:tcBorders>
              <w:top w:val="single" w:sz="4" w:space="0" w:color="auto"/>
              <w:left w:val="single" w:sz="4" w:space="0" w:color="auto"/>
              <w:bottom w:val="single" w:sz="4" w:space="0" w:color="auto"/>
              <w:right w:val="single" w:sz="4" w:space="0" w:color="auto"/>
            </w:tcBorders>
          </w:tcPr>
          <w:p w14:paraId="1FC12342" w14:textId="493C40C9" w:rsidR="00E06CB3" w:rsidRDefault="002E1BB5" w:rsidP="00665A5A">
            <w:pPr>
              <w:pStyle w:val="DocumentControlTableText"/>
              <w:rPr>
                <w:lang w:val="en-CA"/>
              </w:rPr>
            </w:pPr>
            <w:r>
              <w:rPr>
                <w:lang w:val="en-CA"/>
              </w:rPr>
              <w:t>7</w:t>
            </w:r>
            <w:r w:rsidR="00665A5A">
              <w:rPr>
                <w:lang w:val="en-CA"/>
              </w:rPr>
              <w:t>4</w:t>
            </w:r>
            <w:r>
              <w:rPr>
                <w:lang w:val="en-CA"/>
              </w:rPr>
              <w:t>.0</w:t>
            </w:r>
          </w:p>
        </w:tc>
        <w:tc>
          <w:tcPr>
            <w:tcW w:w="4950" w:type="dxa"/>
            <w:tcBorders>
              <w:top w:val="single" w:sz="4" w:space="0" w:color="auto"/>
              <w:left w:val="single" w:sz="4" w:space="0" w:color="auto"/>
              <w:bottom w:val="single" w:sz="4" w:space="0" w:color="auto"/>
              <w:right w:val="single" w:sz="4" w:space="0" w:color="auto"/>
            </w:tcBorders>
          </w:tcPr>
          <w:p w14:paraId="4F726514" w14:textId="4F703CED" w:rsidR="00E06CB3" w:rsidRDefault="00E06CB3" w:rsidP="009E7779">
            <w:pPr>
              <w:pStyle w:val="DocumentControlTableText"/>
              <w:rPr>
                <w:szCs w:val="22"/>
              </w:rPr>
            </w:pPr>
            <w:r>
              <w:rPr>
                <w:szCs w:val="22"/>
              </w:rPr>
              <w:t xml:space="preserve">Updated for Baseline </w:t>
            </w:r>
            <w:r w:rsidR="009E7779">
              <w:rPr>
                <w:szCs w:val="22"/>
              </w:rPr>
              <w:t>42.1</w:t>
            </w:r>
          </w:p>
        </w:tc>
        <w:tc>
          <w:tcPr>
            <w:tcW w:w="2835" w:type="dxa"/>
            <w:tcBorders>
              <w:top w:val="single" w:sz="4" w:space="0" w:color="auto"/>
              <w:left w:val="single" w:sz="4" w:space="0" w:color="auto"/>
              <w:bottom w:val="single" w:sz="4" w:space="0" w:color="auto"/>
              <w:right w:val="single" w:sz="4" w:space="0" w:color="auto"/>
            </w:tcBorders>
          </w:tcPr>
          <w:p w14:paraId="729CA2C1" w14:textId="69610226" w:rsidR="00E06CB3" w:rsidRDefault="00665A5A" w:rsidP="00665A5A">
            <w:pPr>
              <w:pStyle w:val="DocumentControlTableText"/>
            </w:pPr>
            <w:r>
              <w:t>December</w:t>
            </w:r>
            <w:r w:rsidR="002E1BB5">
              <w:t xml:space="preserve"> 4, 20</w:t>
            </w:r>
            <w:r>
              <w:t>19</w:t>
            </w:r>
          </w:p>
        </w:tc>
      </w:tr>
      <w:tr w:rsidR="009E7779" w14:paraId="0FDDC1CB" w14:textId="77777777" w:rsidTr="00CB13DE">
        <w:trPr>
          <w:jc w:val="center"/>
        </w:trPr>
        <w:tc>
          <w:tcPr>
            <w:tcW w:w="1620" w:type="dxa"/>
            <w:tcBorders>
              <w:top w:val="single" w:sz="4" w:space="0" w:color="auto"/>
              <w:left w:val="single" w:sz="4" w:space="0" w:color="auto"/>
              <w:bottom w:val="single" w:sz="4" w:space="0" w:color="auto"/>
              <w:right w:val="single" w:sz="4" w:space="0" w:color="auto"/>
            </w:tcBorders>
          </w:tcPr>
          <w:p w14:paraId="11219A61" w14:textId="5A68C76B" w:rsidR="009E7779" w:rsidRDefault="002E1BB5" w:rsidP="002C72A9">
            <w:pPr>
              <w:pStyle w:val="DocumentControlTableText"/>
              <w:rPr>
                <w:lang w:val="en-CA"/>
              </w:rPr>
            </w:pPr>
            <w:r>
              <w:rPr>
                <w:lang w:val="en-CA"/>
              </w:rPr>
              <w:t>75.0</w:t>
            </w:r>
          </w:p>
        </w:tc>
        <w:tc>
          <w:tcPr>
            <w:tcW w:w="4950" w:type="dxa"/>
            <w:tcBorders>
              <w:top w:val="single" w:sz="4" w:space="0" w:color="auto"/>
              <w:left w:val="single" w:sz="4" w:space="0" w:color="auto"/>
              <w:bottom w:val="single" w:sz="4" w:space="0" w:color="auto"/>
              <w:right w:val="single" w:sz="4" w:space="0" w:color="auto"/>
            </w:tcBorders>
          </w:tcPr>
          <w:p w14:paraId="512C2A71" w14:textId="1A488A9B" w:rsidR="009E7779" w:rsidRDefault="009E7779" w:rsidP="004874A2">
            <w:pPr>
              <w:pStyle w:val="DocumentControlTableText"/>
              <w:rPr>
                <w:szCs w:val="22"/>
              </w:rPr>
            </w:pPr>
            <w:r>
              <w:rPr>
                <w:szCs w:val="22"/>
              </w:rPr>
              <w:t>Updated for Baseline 43.0</w:t>
            </w:r>
          </w:p>
        </w:tc>
        <w:tc>
          <w:tcPr>
            <w:tcW w:w="2835" w:type="dxa"/>
            <w:tcBorders>
              <w:top w:val="single" w:sz="4" w:space="0" w:color="auto"/>
              <w:left w:val="single" w:sz="4" w:space="0" w:color="auto"/>
              <w:bottom w:val="single" w:sz="4" w:space="0" w:color="auto"/>
              <w:right w:val="single" w:sz="4" w:space="0" w:color="auto"/>
            </w:tcBorders>
          </w:tcPr>
          <w:p w14:paraId="26651B87" w14:textId="605E6A09" w:rsidR="009E7779" w:rsidRDefault="009E7779" w:rsidP="006F6343">
            <w:pPr>
              <w:pStyle w:val="DocumentControlTableText"/>
            </w:pPr>
            <w:r>
              <w:t>March 4, 2020</w:t>
            </w:r>
          </w:p>
        </w:tc>
      </w:tr>
      <w:tr w:rsidR="001E628E" w14:paraId="1E93D878" w14:textId="77777777" w:rsidTr="00CB13DE">
        <w:trPr>
          <w:jc w:val="center"/>
        </w:trPr>
        <w:tc>
          <w:tcPr>
            <w:tcW w:w="1620" w:type="dxa"/>
            <w:tcBorders>
              <w:top w:val="single" w:sz="4" w:space="0" w:color="auto"/>
              <w:left w:val="single" w:sz="4" w:space="0" w:color="auto"/>
              <w:bottom w:val="single" w:sz="4" w:space="0" w:color="auto"/>
              <w:right w:val="single" w:sz="4" w:space="0" w:color="auto"/>
            </w:tcBorders>
          </w:tcPr>
          <w:p w14:paraId="5FD64291" w14:textId="1EF6B7EF" w:rsidR="001E628E" w:rsidRDefault="00E364C5" w:rsidP="007033B7">
            <w:pPr>
              <w:pStyle w:val="DocumentControlTableText"/>
              <w:rPr>
                <w:lang w:val="en-CA"/>
              </w:rPr>
            </w:pPr>
            <w:r>
              <w:rPr>
                <w:lang w:val="en-CA"/>
              </w:rPr>
              <w:t>76.0</w:t>
            </w:r>
          </w:p>
        </w:tc>
        <w:tc>
          <w:tcPr>
            <w:tcW w:w="4950" w:type="dxa"/>
            <w:tcBorders>
              <w:top w:val="single" w:sz="4" w:space="0" w:color="auto"/>
              <w:left w:val="single" w:sz="4" w:space="0" w:color="auto"/>
              <w:bottom w:val="single" w:sz="4" w:space="0" w:color="auto"/>
              <w:right w:val="single" w:sz="4" w:space="0" w:color="auto"/>
            </w:tcBorders>
          </w:tcPr>
          <w:p w14:paraId="39C4A897" w14:textId="0874F6BF" w:rsidR="001E628E" w:rsidRDefault="001E628E" w:rsidP="00C07DBC">
            <w:pPr>
              <w:pStyle w:val="DocumentControlTableText"/>
              <w:rPr>
                <w:szCs w:val="22"/>
              </w:rPr>
            </w:pPr>
            <w:r>
              <w:rPr>
                <w:szCs w:val="22"/>
              </w:rPr>
              <w:t xml:space="preserve">Updated </w:t>
            </w:r>
            <w:r w:rsidR="00C07DBC">
              <w:rPr>
                <w:szCs w:val="22"/>
              </w:rPr>
              <w:t>in advance of</w:t>
            </w:r>
            <w:r>
              <w:rPr>
                <w:szCs w:val="22"/>
              </w:rPr>
              <w:t xml:space="preserve"> Baseline 43.1</w:t>
            </w:r>
            <w:r w:rsidR="00C07DBC">
              <w:rPr>
                <w:szCs w:val="22"/>
              </w:rPr>
              <w:t xml:space="preserve"> to support changes to the Demand Response Auction, effective the commitment period beginning May 1, 2020. </w:t>
            </w:r>
          </w:p>
        </w:tc>
        <w:tc>
          <w:tcPr>
            <w:tcW w:w="2835" w:type="dxa"/>
            <w:tcBorders>
              <w:top w:val="single" w:sz="4" w:space="0" w:color="auto"/>
              <w:left w:val="single" w:sz="4" w:space="0" w:color="auto"/>
              <w:bottom w:val="single" w:sz="4" w:space="0" w:color="auto"/>
              <w:right w:val="single" w:sz="4" w:space="0" w:color="auto"/>
            </w:tcBorders>
          </w:tcPr>
          <w:p w14:paraId="4884829F" w14:textId="4961F4A0" w:rsidR="001E628E" w:rsidRDefault="001E628E" w:rsidP="006F6343">
            <w:pPr>
              <w:pStyle w:val="DocumentControlTableText"/>
            </w:pPr>
            <w:r>
              <w:t>April 23, 2020</w:t>
            </w:r>
          </w:p>
        </w:tc>
      </w:tr>
      <w:tr w:rsidR="00CD1FDE" w14:paraId="22788626" w14:textId="77777777" w:rsidTr="00CB13DE">
        <w:trPr>
          <w:jc w:val="center"/>
        </w:trPr>
        <w:tc>
          <w:tcPr>
            <w:tcW w:w="1620" w:type="dxa"/>
            <w:tcBorders>
              <w:top w:val="single" w:sz="4" w:space="0" w:color="auto"/>
              <w:left w:val="single" w:sz="4" w:space="0" w:color="auto"/>
              <w:bottom w:val="single" w:sz="4" w:space="0" w:color="auto"/>
              <w:right w:val="single" w:sz="4" w:space="0" w:color="auto"/>
            </w:tcBorders>
          </w:tcPr>
          <w:p w14:paraId="5328A1A3" w14:textId="3685BD9E" w:rsidR="00CD1FDE" w:rsidRDefault="0086306A" w:rsidP="00CD1FDE">
            <w:pPr>
              <w:pStyle w:val="DocumentControlTableText"/>
              <w:rPr>
                <w:lang w:val="en-CA"/>
              </w:rPr>
            </w:pPr>
            <w:r>
              <w:rPr>
                <w:lang w:val="en-CA"/>
              </w:rPr>
              <w:t>77.0</w:t>
            </w:r>
          </w:p>
        </w:tc>
        <w:tc>
          <w:tcPr>
            <w:tcW w:w="4950" w:type="dxa"/>
            <w:tcBorders>
              <w:top w:val="single" w:sz="4" w:space="0" w:color="auto"/>
              <w:left w:val="single" w:sz="4" w:space="0" w:color="auto"/>
              <w:bottom w:val="single" w:sz="4" w:space="0" w:color="auto"/>
              <w:right w:val="single" w:sz="4" w:space="0" w:color="auto"/>
            </w:tcBorders>
          </w:tcPr>
          <w:p w14:paraId="58CDDDE7" w14:textId="4163C3F0" w:rsidR="00CD1FDE" w:rsidRDefault="00CD1FDE" w:rsidP="00CD1FDE">
            <w:pPr>
              <w:pStyle w:val="DocumentControlTableText"/>
              <w:rPr>
                <w:szCs w:val="22"/>
              </w:rPr>
            </w:pPr>
            <w:r>
              <w:rPr>
                <w:szCs w:val="22"/>
              </w:rPr>
              <w:t xml:space="preserve">Updated in advance of Baseline 43.1 to support changes to the Capacity Auction to be held in June 2020 for the commitment period beginning May 1, 2021. </w:t>
            </w:r>
          </w:p>
        </w:tc>
        <w:tc>
          <w:tcPr>
            <w:tcW w:w="2835" w:type="dxa"/>
            <w:tcBorders>
              <w:top w:val="single" w:sz="4" w:space="0" w:color="auto"/>
              <w:left w:val="single" w:sz="4" w:space="0" w:color="auto"/>
              <w:bottom w:val="single" w:sz="4" w:space="0" w:color="auto"/>
              <w:right w:val="single" w:sz="4" w:space="0" w:color="auto"/>
            </w:tcBorders>
          </w:tcPr>
          <w:p w14:paraId="6CC6D223" w14:textId="12C806CE" w:rsidR="00CD1FDE" w:rsidRDefault="00CD1FDE" w:rsidP="00CD1FDE">
            <w:pPr>
              <w:pStyle w:val="DocumentControlTableText"/>
            </w:pPr>
            <w:r>
              <w:t>May 4, 2020</w:t>
            </w:r>
          </w:p>
        </w:tc>
      </w:tr>
      <w:tr w:rsidR="00A32114" w14:paraId="72AFF250" w14:textId="77777777" w:rsidTr="00CB13DE">
        <w:trPr>
          <w:jc w:val="center"/>
        </w:trPr>
        <w:tc>
          <w:tcPr>
            <w:tcW w:w="1620" w:type="dxa"/>
            <w:tcBorders>
              <w:top w:val="single" w:sz="4" w:space="0" w:color="auto"/>
              <w:left w:val="single" w:sz="4" w:space="0" w:color="auto"/>
              <w:bottom w:val="single" w:sz="4" w:space="0" w:color="auto"/>
              <w:right w:val="single" w:sz="4" w:space="0" w:color="auto"/>
            </w:tcBorders>
          </w:tcPr>
          <w:p w14:paraId="2CB6B224" w14:textId="7DAB6DD9" w:rsidR="00A32114" w:rsidRDefault="00A32114" w:rsidP="005F4390">
            <w:pPr>
              <w:pStyle w:val="DocumentControlTableText"/>
              <w:rPr>
                <w:lang w:val="en-CA"/>
              </w:rPr>
            </w:pPr>
            <w:r>
              <w:rPr>
                <w:lang w:val="en-CA"/>
              </w:rPr>
              <w:t>7</w:t>
            </w:r>
            <w:r w:rsidR="005F4390">
              <w:rPr>
                <w:lang w:val="en-CA"/>
              </w:rPr>
              <w:t>8.0</w:t>
            </w:r>
          </w:p>
        </w:tc>
        <w:tc>
          <w:tcPr>
            <w:tcW w:w="4950" w:type="dxa"/>
            <w:tcBorders>
              <w:top w:val="single" w:sz="4" w:space="0" w:color="auto"/>
              <w:left w:val="single" w:sz="4" w:space="0" w:color="auto"/>
              <w:bottom w:val="single" w:sz="4" w:space="0" w:color="auto"/>
              <w:right w:val="single" w:sz="4" w:space="0" w:color="auto"/>
            </w:tcBorders>
          </w:tcPr>
          <w:p w14:paraId="77DCDE0D" w14:textId="659EAED8" w:rsidR="00A32114" w:rsidRDefault="00A32114" w:rsidP="00CD1FDE">
            <w:pPr>
              <w:pStyle w:val="DocumentControlTableText"/>
              <w:rPr>
                <w:szCs w:val="22"/>
              </w:rPr>
            </w:pPr>
            <w:r>
              <w:rPr>
                <w:szCs w:val="22"/>
              </w:rPr>
              <w:t>Updated for Baseline 44.0</w:t>
            </w:r>
          </w:p>
        </w:tc>
        <w:tc>
          <w:tcPr>
            <w:tcW w:w="2835" w:type="dxa"/>
            <w:tcBorders>
              <w:top w:val="single" w:sz="4" w:space="0" w:color="auto"/>
              <w:left w:val="single" w:sz="4" w:space="0" w:color="auto"/>
              <w:bottom w:val="single" w:sz="4" w:space="0" w:color="auto"/>
              <w:right w:val="single" w:sz="4" w:space="0" w:color="auto"/>
            </w:tcBorders>
          </w:tcPr>
          <w:p w14:paraId="6F3F83CB" w14:textId="40135299" w:rsidR="00A32114" w:rsidRDefault="00A32114" w:rsidP="00CD1FDE">
            <w:pPr>
              <w:pStyle w:val="DocumentControlTableText"/>
            </w:pPr>
            <w:r>
              <w:t>September 16, 2020</w:t>
            </w:r>
          </w:p>
        </w:tc>
      </w:tr>
      <w:tr w:rsidR="006A3799" w14:paraId="58E6E895" w14:textId="77777777" w:rsidTr="00CB13DE">
        <w:trPr>
          <w:jc w:val="center"/>
        </w:trPr>
        <w:tc>
          <w:tcPr>
            <w:tcW w:w="1620" w:type="dxa"/>
            <w:tcBorders>
              <w:top w:val="single" w:sz="4" w:space="0" w:color="auto"/>
              <w:left w:val="single" w:sz="4" w:space="0" w:color="auto"/>
              <w:bottom w:val="single" w:sz="4" w:space="0" w:color="auto"/>
              <w:right w:val="single" w:sz="4" w:space="0" w:color="auto"/>
            </w:tcBorders>
          </w:tcPr>
          <w:p w14:paraId="0184C4AB" w14:textId="06DBC838" w:rsidR="006A3799" w:rsidRDefault="00187D99" w:rsidP="003B655E">
            <w:pPr>
              <w:pStyle w:val="DocumentControlTableText"/>
              <w:rPr>
                <w:lang w:val="en-CA"/>
              </w:rPr>
            </w:pPr>
            <w:r>
              <w:rPr>
                <w:lang w:val="en-CA"/>
              </w:rPr>
              <w:t>7</w:t>
            </w:r>
            <w:r w:rsidR="003B655E">
              <w:rPr>
                <w:lang w:val="en-CA"/>
              </w:rPr>
              <w:t>9.0</w:t>
            </w:r>
          </w:p>
        </w:tc>
        <w:tc>
          <w:tcPr>
            <w:tcW w:w="4950" w:type="dxa"/>
            <w:tcBorders>
              <w:top w:val="single" w:sz="4" w:space="0" w:color="auto"/>
              <w:left w:val="single" w:sz="4" w:space="0" w:color="auto"/>
              <w:bottom w:val="single" w:sz="4" w:space="0" w:color="auto"/>
              <w:right w:val="single" w:sz="4" w:space="0" w:color="auto"/>
            </w:tcBorders>
          </w:tcPr>
          <w:p w14:paraId="5D7979CF" w14:textId="2EFFE739" w:rsidR="006A3799" w:rsidRDefault="00187D99" w:rsidP="00CD1FDE">
            <w:pPr>
              <w:pStyle w:val="DocumentControlTableText"/>
              <w:rPr>
                <w:szCs w:val="22"/>
              </w:rPr>
            </w:pPr>
            <w:r>
              <w:rPr>
                <w:szCs w:val="22"/>
              </w:rPr>
              <w:t>Updated in advance of Baseline 44.1</w:t>
            </w:r>
          </w:p>
        </w:tc>
        <w:tc>
          <w:tcPr>
            <w:tcW w:w="2835" w:type="dxa"/>
            <w:tcBorders>
              <w:top w:val="single" w:sz="4" w:space="0" w:color="auto"/>
              <w:left w:val="single" w:sz="4" w:space="0" w:color="auto"/>
              <w:bottom w:val="single" w:sz="4" w:space="0" w:color="auto"/>
              <w:right w:val="single" w:sz="4" w:space="0" w:color="auto"/>
            </w:tcBorders>
          </w:tcPr>
          <w:p w14:paraId="1842E20E" w14:textId="2CF20F3E" w:rsidR="006A3799" w:rsidRDefault="00187D99" w:rsidP="00CD1FDE">
            <w:pPr>
              <w:pStyle w:val="DocumentControlTableText"/>
            </w:pPr>
            <w:r>
              <w:t>November 25, 2020</w:t>
            </w:r>
          </w:p>
        </w:tc>
      </w:tr>
      <w:tr w:rsidR="009E70F5" w14:paraId="1C4E42D2" w14:textId="77777777" w:rsidTr="00CB13DE">
        <w:trPr>
          <w:jc w:val="center"/>
        </w:trPr>
        <w:tc>
          <w:tcPr>
            <w:tcW w:w="1620" w:type="dxa"/>
            <w:tcBorders>
              <w:top w:val="single" w:sz="4" w:space="0" w:color="auto"/>
              <w:left w:val="single" w:sz="4" w:space="0" w:color="auto"/>
              <w:bottom w:val="single" w:sz="4" w:space="0" w:color="auto"/>
              <w:right w:val="single" w:sz="4" w:space="0" w:color="auto"/>
            </w:tcBorders>
          </w:tcPr>
          <w:p w14:paraId="421B569A" w14:textId="15377BCF" w:rsidR="009E70F5" w:rsidRDefault="006A007B" w:rsidP="006A007B">
            <w:pPr>
              <w:pStyle w:val="DocumentControlTableText"/>
              <w:rPr>
                <w:lang w:val="en-CA"/>
              </w:rPr>
            </w:pPr>
            <w:r>
              <w:rPr>
                <w:lang w:val="en-CA"/>
              </w:rPr>
              <w:t>80.0</w:t>
            </w:r>
          </w:p>
        </w:tc>
        <w:tc>
          <w:tcPr>
            <w:tcW w:w="4950" w:type="dxa"/>
            <w:tcBorders>
              <w:top w:val="single" w:sz="4" w:space="0" w:color="auto"/>
              <w:left w:val="single" w:sz="4" w:space="0" w:color="auto"/>
              <w:bottom w:val="single" w:sz="4" w:space="0" w:color="auto"/>
              <w:right w:val="single" w:sz="4" w:space="0" w:color="auto"/>
            </w:tcBorders>
          </w:tcPr>
          <w:p w14:paraId="2DD632C2" w14:textId="1E675230" w:rsidR="009E70F5" w:rsidRDefault="009E70F5" w:rsidP="00CD1FDE">
            <w:pPr>
              <w:pStyle w:val="DocumentControlTableText"/>
              <w:rPr>
                <w:szCs w:val="22"/>
              </w:rPr>
            </w:pPr>
            <w:r>
              <w:rPr>
                <w:szCs w:val="22"/>
              </w:rPr>
              <w:t>Updated for Baseline 44.1</w:t>
            </w:r>
          </w:p>
        </w:tc>
        <w:tc>
          <w:tcPr>
            <w:tcW w:w="2835" w:type="dxa"/>
            <w:tcBorders>
              <w:top w:val="single" w:sz="4" w:space="0" w:color="auto"/>
              <w:left w:val="single" w:sz="4" w:space="0" w:color="auto"/>
              <w:bottom w:val="single" w:sz="4" w:space="0" w:color="auto"/>
              <w:right w:val="single" w:sz="4" w:space="0" w:color="auto"/>
            </w:tcBorders>
          </w:tcPr>
          <w:p w14:paraId="0D65FAAC" w14:textId="046C2F90" w:rsidR="009E70F5" w:rsidRDefault="009E70F5" w:rsidP="00CD1FDE">
            <w:pPr>
              <w:pStyle w:val="DocumentControlTableText"/>
            </w:pPr>
            <w:r>
              <w:t>December 2, 2020</w:t>
            </w:r>
          </w:p>
        </w:tc>
      </w:tr>
      <w:tr w:rsidR="00350A9E" w14:paraId="48706B82" w14:textId="77777777" w:rsidTr="00CB13DE">
        <w:trPr>
          <w:jc w:val="center"/>
        </w:trPr>
        <w:tc>
          <w:tcPr>
            <w:tcW w:w="1620" w:type="dxa"/>
            <w:tcBorders>
              <w:top w:val="single" w:sz="4" w:space="0" w:color="auto"/>
              <w:left w:val="single" w:sz="4" w:space="0" w:color="auto"/>
              <w:bottom w:val="single" w:sz="4" w:space="0" w:color="auto"/>
              <w:right w:val="single" w:sz="4" w:space="0" w:color="auto"/>
            </w:tcBorders>
          </w:tcPr>
          <w:p w14:paraId="6575E48F" w14:textId="799A47E4" w:rsidR="00350A9E" w:rsidRDefault="00350A9E" w:rsidP="0049695D">
            <w:pPr>
              <w:pStyle w:val="DocumentControlTableText"/>
              <w:rPr>
                <w:lang w:val="en-CA"/>
              </w:rPr>
            </w:pPr>
            <w:r>
              <w:rPr>
                <w:lang w:val="en-CA"/>
              </w:rPr>
              <w:lastRenderedPageBreak/>
              <w:t>8</w:t>
            </w:r>
            <w:r w:rsidR="0049695D">
              <w:rPr>
                <w:lang w:val="en-CA"/>
              </w:rPr>
              <w:t>1</w:t>
            </w:r>
            <w:r>
              <w:rPr>
                <w:lang w:val="en-CA"/>
              </w:rPr>
              <w:t>.0</w:t>
            </w:r>
          </w:p>
        </w:tc>
        <w:tc>
          <w:tcPr>
            <w:tcW w:w="4950" w:type="dxa"/>
            <w:tcBorders>
              <w:top w:val="single" w:sz="4" w:space="0" w:color="auto"/>
              <w:left w:val="single" w:sz="4" w:space="0" w:color="auto"/>
              <w:bottom w:val="single" w:sz="4" w:space="0" w:color="auto"/>
              <w:right w:val="single" w:sz="4" w:space="0" w:color="auto"/>
            </w:tcBorders>
          </w:tcPr>
          <w:p w14:paraId="76CE21EE" w14:textId="2EC50132" w:rsidR="00350A9E" w:rsidRDefault="0049695D" w:rsidP="00CD1FDE">
            <w:pPr>
              <w:pStyle w:val="DocumentControlTableText"/>
              <w:rPr>
                <w:szCs w:val="22"/>
              </w:rPr>
            </w:pPr>
            <w:r w:rsidRPr="0049695D">
              <w:rPr>
                <w:szCs w:val="22"/>
              </w:rPr>
              <w:t>Updated to meet accessibility requirements pursuant to the Accessibility for Ontarians with Disabilities Act.</w:t>
            </w:r>
          </w:p>
        </w:tc>
        <w:tc>
          <w:tcPr>
            <w:tcW w:w="2835" w:type="dxa"/>
            <w:tcBorders>
              <w:top w:val="single" w:sz="4" w:space="0" w:color="auto"/>
              <w:left w:val="single" w:sz="4" w:space="0" w:color="auto"/>
              <w:bottom w:val="single" w:sz="4" w:space="0" w:color="auto"/>
              <w:right w:val="single" w:sz="4" w:space="0" w:color="auto"/>
            </w:tcBorders>
          </w:tcPr>
          <w:p w14:paraId="5CF89B73" w14:textId="7EDD7A15" w:rsidR="00350A9E" w:rsidRDefault="00350A9E" w:rsidP="00CD1FDE">
            <w:pPr>
              <w:pStyle w:val="DocumentControlTableText"/>
            </w:pPr>
            <w:r>
              <w:t>December 15, 2020</w:t>
            </w:r>
          </w:p>
        </w:tc>
      </w:tr>
      <w:tr w:rsidR="00592555" w14:paraId="4C311B35" w14:textId="77777777" w:rsidTr="00CB13DE">
        <w:trPr>
          <w:jc w:val="center"/>
        </w:trPr>
        <w:tc>
          <w:tcPr>
            <w:tcW w:w="1620" w:type="dxa"/>
            <w:tcBorders>
              <w:top w:val="single" w:sz="4" w:space="0" w:color="auto"/>
              <w:left w:val="single" w:sz="4" w:space="0" w:color="auto"/>
              <w:bottom w:val="single" w:sz="4" w:space="0" w:color="auto"/>
              <w:right w:val="single" w:sz="4" w:space="0" w:color="auto"/>
            </w:tcBorders>
          </w:tcPr>
          <w:p w14:paraId="2B1C09ED" w14:textId="493AC2D7" w:rsidR="00592555" w:rsidRDefault="00332779" w:rsidP="0049695D">
            <w:pPr>
              <w:pStyle w:val="DocumentControlTableText"/>
              <w:rPr>
                <w:lang w:val="en-CA"/>
              </w:rPr>
            </w:pPr>
            <w:r>
              <w:rPr>
                <w:lang w:val="en-CA"/>
              </w:rPr>
              <w:t>82.0</w:t>
            </w:r>
          </w:p>
        </w:tc>
        <w:tc>
          <w:tcPr>
            <w:tcW w:w="4950" w:type="dxa"/>
            <w:tcBorders>
              <w:top w:val="single" w:sz="4" w:space="0" w:color="auto"/>
              <w:left w:val="single" w:sz="4" w:space="0" w:color="auto"/>
              <w:bottom w:val="single" w:sz="4" w:space="0" w:color="auto"/>
              <w:right w:val="single" w:sz="4" w:space="0" w:color="auto"/>
            </w:tcBorders>
          </w:tcPr>
          <w:p w14:paraId="6DB59825" w14:textId="343028BD" w:rsidR="00592555" w:rsidRPr="0049695D" w:rsidRDefault="00592555" w:rsidP="00CB18DA">
            <w:pPr>
              <w:pStyle w:val="DocumentControlTableText"/>
              <w:rPr>
                <w:szCs w:val="22"/>
              </w:rPr>
            </w:pPr>
            <w:r>
              <w:rPr>
                <w:szCs w:val="22"/>
              </w:rPr>
              <w:t>Issued in advance of Bas</w:t>
            </w:r>
            <w:r w:rsidR="00CB18DA">
              <w:rPr>
                <w:szCs w:val="22"/>
              </w:rPr>
              <w:t>e</w:t>
            </w:r>
            <w:r>
              <w:rPr>
                <w:szCs w:val="22"/>
              </w:rPr>
              <w:t xml:space="preserve">line 45.0. Updated to include electricity storage participation. </w:t>
            </w:r>
          </w:p>
        </w:tc>
        <w:tc>
          <w:tcPr>
            <w:tcW w:w="2835" w:type="dxa"/>
            <w:tcBorders>
              <w:top w:val="single" w:sz="4" w:space="0" w:color="auto"/>
              <w:left w:val="single" w:sz="4" w:space="0" w:color="auto"/>
              <w:bottom w:val="single" w:sz="4" w:space="0" w:color="auto"/>
              <w:right w:val="single" w:sz="4" w:space="0" w:color="auto"/>
            </w:tcBorders>
          </w:tcPr>
          <w:p w14:paraId="6A9AB57B" w14:textId="12554877" w:rsidR="00592555" w:rsidRDefault="00592555" w:rsidP="00CD1FDE">
            <w:pPr>
              <w:pStyle w:val="DocumentControlTableText"/>
            </w:pPr>
            <w:r>
              <w:t>February 26, 2021</w:t>
            </w:r>
          </w:p>
        </w:tc>
      </w:tr>
      <w:tr w:rsidR="002336D2" w14:paraId="74EACFFA" w14:textId="77777777" w:rsidTr="00CB13DE">
        <w:trPr>
          <w:jc w:val="center"/>
        </w:trPr>
        <w:tc>
          <w:tcPr>
            <w:tcW w:w="1620" w:type="dxa"/>
            <w:tcBorders>
              <w:top w:val="single" w:sz="4" w:space="0" w:color="auto"/>
              <w:left w:val="single" w:sz="4" w:space="0" w:color="auto"/>
              <w:bottom w:val="single" w:sz="4" w:space="0" w:color="auto"/>
              <w:right w:val="single" w:sz="4" w:space="0" w:color="auto"/>
            </w:tcBorders>
          </w:tcPr>
          <w:p w14:paraId="5D962A1B" w14:textId="7EDE13C1" w:rsidR="002336D2" w:rsidRDefault="002336D2" w:rsidP="00DF2D06">
            <w:pPr>
              <w:pStyle w:val="DocumentControlTableText"/>
              <w:rPr>
                <w:lang w:val="en-CA"/>
              </w:rPr>
            </w:pPr>
            <w:r>
              <w:rPr>
                <w:lang w:val="en-CA"/>
              </w:rPr>
              <w:t>8</w:t>
            </w:r>
            <w:r w:rsidR="00DF2D06">
              <w:rPr>
                <w:lang w:val="en-CA"/>
              </w:rPr>
              <w:t>3.0</w:t>
            </w:r>
          </w:p>
        </w:tc>
        <w:tc>
          <w:tcPr>
            <w:tcW w:w="4950" w:type="dxa"/>
            <w:tcBorders>
              <w:top w:val="single" w:sz="4" w:space="0" w:color="auto"/>
              <w:left w:val="single" w:sz="4" w:space="0" w:color="auto"/>
              <w:bottom w:val="single" w:sz="4" w:space="0" w:color="auto"/>
              <w:right w:val="single" w:sz="4" w:space="0" w:color="auto"/>
            </w:tcBorders>
          </w:tcPr>
          <w:p w14:paraId="64DA2BEB" w14:textId="6120B30B" w:rsidR="002336D2" w:rsidRDefault="002336D2" w:rsidP="00CB18DA">
            <w:pPr>
              <w:pStyle w:val="DocumentControlTableText"/>
              <w:rPr>
                <w:szCs w:val="22"/>
              </w:rPr>
            </w:pPr>
            <w:r>
              <w:rPr>
                <w:szCs w:val="22"/>
              </w:rPr>
              <w:t>Updated for Baseline 45.1</w:t>
            </w:r>
          </w:p>
        </w:tc>
        <w:tc>
          <w:tcPr>
            <w:tcW w:w="2835" w:type="dxa"/>
            <w:tcBorders>
              <w:top w:val="single" w:sz="4" w:space="0" w:color="auto"/>
              <w:left w:val="single" w:sz="4" w:space="0" w:color="auto"/>
              <w:bottom w:val="single" w:sz="4" w:space="0" w:color="auto"/>
              <w:right w:val="single" w:sz="4" w:space="0" w:color="auto"/>
            </w:tcBorders>
          </w:tcPr>
          <w:p w14:paraId="20D3B59B" w14:textId="1C00D03E" w:rsidR="002336D2" w:rsidRDefault="002336D2" w:rsidP="002336D2">
            <w:pPr>
              <w:pStyle w:val="DocumentControlTableText"/>
            </w:pPr>
            <w:r>
              <w:t>June 2, 2021</w:t>
            </w:r>
          </w:p>
        </w:tc>
      </w:tr>
      <w:tr w:rsidR="00184A96" w14:paraId="54F1951D" w14:textId="77777777" w:rsidTr="00CB13DE">
        <w:trPr>
          <w:jc w:val="center"/>
        </w:trPr>
        <w:tc>
          <w:tcPr>
            <w:tcW w:w="1620" w:type="dxa"/>
            <w:tcBorders>
              <w:top w:val="single" w:sz="4" w:space="0" w:color="auto"/>
              <w:left w:val="single" w:sz="4" w:space="0" w:color="auto"/>
              <w:bottom w:val="single" w:sz="4" w:space="0" w:color="auto"/>
              <w:right w:val="single" w:sz="4" w:space="0" w:color="auto"/>
            </w:tcBorders>
          </w:tcPr>
          <w:p w14:paraId="168DC497" w14:textId="5BC1D1ED" w:rsidR="00184A96" w:rsidRDefault="00184A96" w:rsidP="00E94DBA">
            <w:pPr>
              <w:pStyle w:val="DocumentControlTableText"/>
              <w:rPr>
                <w:lang w:val="en-CA"/>
              </w:rPr>
            </w:pPr>
            <w:r>
              <w:rPr>
                <w:lang w:val="en-CA"/>
              </w:rPr>
              <w:t>8</w:t>
            </w:r>
            <w:r w:rsidR="00E94DBA">
              <w:rPr>
                <w:lang w:val="en-CA"/>
              </w:rPr>
              <w:t>4.0</w:t>
            </w:r>
          </w:p>
        </w:tc>
        <w:tc>
          <w:tcPr>
            <w:tcW w:w="4950" w:type="dxa"/>
            <w:tcBorders>
              <w:top w:val="single" w:sz="4" w:space="0" w:color="auto"/>
              <w:left w:val="single" w:sz="4" w:space="0" w:color="auto"/>
              <w:bottom w:val="single" w:sz="4" w:space="0" w:color="auto"/>
              <w:right w:val="single" w:sz="4" w:space="0" w:color="auto"/>
            </w:tcBorders>
          </w:tcPr>
          <w:p w14:paraId="57BB8ABA" w14:textId="2B6B421A" w:rsidR="00184A96" w:rsidRDefault="00184A96" w:rsidP="00CB18DA">
            <w:pPr>
              <w:pStyle w:val="DocumentControlTableText"/>
              <w:rPr>
                <w:szCs w:val="22"/>
              </w:rPr>
            </w:pPr>
            <w:r>
              <w:rPr>
                <w:szCs w:val="22"/>
              </w:rPr>
              <w:t>Updated for Baseline 46.0</w:t>
            </w:r>
          </w:p>
        </w:tc>
        <w:tc>
          <w:tcPr>
            <w:tcW w:w="2835" w:type="dxa"/>
            <w:tcBorders>
              <w:top w:val="single" w:sz="4" w:space="0" w:color="auto"/>
              <w:left w:val="single" w:sz="4" w:space="0" w:color="auto"/>
              <w:bottom w:val="single" w:sz="4" w:space="0" w:color="auto"/>
              <w:right w:val="single" w:sz="4" w:space="0" w:color="auto"/>
            </w:tcBorders>
          </w:tcPr>
          <w:p w14:paraId="50C5F269" w14:textId="436E2F2A" w:rsidR="00184A96" w:rsidRDefault="00184A96" w:rsidP="00184A96">
            <w:pPr>
              <w:pStyle w:val="DocumentControlTableText"/>
            </w:pPr>
            <w:r>
              <w:t>September 15, 2021</w:t>
            </w:r>
          </w:p>
        </w:tc>
      </w:tr>
    </w:tbl>
    <w:p w14:paraId="3477F8C9" w14:textId="77777777" w:rsidR="00B6041D" w:rsidRDefault="00B6041D">
      <w:pPr>
        <w:pStyle w:val="DocumentControlSubHeading"/>
      </w:pPr>
    </w:p>
    <w:p w14:paraId="798FFDE6" w14:textId="77777777" w:rsidR="00855CB7" w:rsidRDefault="00855CB7" w:rsidP="006E74FD">
      <w:pPr>
        <w:pStyle w:val="DocumentControlHeading"/>
      </w:pPr>
      <w:r>
        <w:t>Related Documents</w:t>
      </w:r>
    </w:p>
    <w:tbl>
      <w:tblPr>
        <w:tblW w:w="93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65"/>
        <w:gridCol w:w="6408"/>
      </w:tblGrid>
      <w:tr w:rsidR="00855CB7" w14:paraId="36150C78" w14:textId="77777777" w:rsidTr="005F4390">
        <w:trPr>
          <w:jc w:val="center"/>
        </w:trPr>
        <w:tc>
          <w:tcPr>
            <w:tcW w:w="2965" w:type="dxa"/>
            <w:shd w:val="clear" w:color="auto" w:fill="D9D9D9" w:themeFill="background1" w:themeFillShade="D9"/>
          </w:tcPr>
          <w:p w14:paraId="240C5A51" w14:textId="77777777" w:rsidR="00855CB7" w:rsidRDefault="00855CB7">
            <w:pPr>
              <w:pStyle w:val="DocumentControlTableHead"/>
              <w:rPr>
                <w:lang w:val="en-CA"/>
              </w:rPr>
            </w:pPr>
            <w:r>
              <w:rPr>
                <w:lang w:val="en-CA"/>
              </w:rPr>
              <w:t>Document ID</w:t>
            </w:r>
          </w:p>
        </w:tc>
        <w:tc>
          <w:tcPr>
            <w:tcW w:w="6408" w:type="dxa"/>
            <w:shd w:val="clear" w:color="auto" w:fill="D9D9D9" w:themeFill="background1" w:themeFillShade="D9"/>
          </w:tcPr>
          <w:p w14:paraId="08F18F59" w14:textId="77777777" w:rsidR="00855CB7" w:rsidRDefault="00855CB7">
            <w:pPr>
              <w:pStyle w:val="DocumentControlTableHead"/>
              <w:rPr>
                <w:lang w:val="en-CA"/>
              </w:rPr>
            </w:pPr>
            <w:r>
              <w:rPr>
                <w:lang w:val="en-CA"/>
              </w:rPr>
              <w:t>Document Title</w:t>
            </w:r>
          </w:p>
        </w:tc>
      </w:tr>
      <w:tr w:rsidR="00855CB7" w14:paraId="0E025E06" w14:textId="77777777" w:rsidTr="00B6041D">
        <w:trPr>
          <w:jc w:val="center"/>
        </w:trPr>
        <w:tc>
          <w:tcPr>
            <w:tcW w:w="2965" w:type="dxa"/>
          </w:tcPr>
          <w:p w14:paraId="608C27D7" w14:textId="77777777" w:rsidR="00855CB7" w:rsidRDefault="00AB10D3">
            <w:pPr>
              <w:pStyle w:val="DocumentControlTableText"/>
              <w:rPr>
                <w:lang w:val="en-CA"/>
              </w:rPr>
            </w:pPr>
            <w:r>
              <w:rPr>
                <w:lang w:val="en-CA"/>
              </w:rPr>
              <w:t>N/A</w:t>
            </w:r>
          </w:p>
        </w:tc>
        <w:tc>
          <w:tcPr>
            <w:tcW w:w="6408" w:type="dxa"/>
          </w:tcPr>
          <w:p w14:paraId="7BE1518C" w14:textId="77777777" w:rsidR="00855CB7" w:rsidRDefault="00855CB7">
            <w:pPr>
              <w:pStyle w:val="DocumentControlTableText"/>
              <w:rPr>
                <w:lang w:val="en-CA"/>
              </w:rPr>
            </w:pPr>
          </w:p>
        </w:tc>
      </w:tr>
    </w:tbl>
    <w:p w14:paraId="0BDDD0E4" w14:textId="77777777" w:rsidR="00FF1372" w:rsidRDefault="00FF1372">
      <w:pPr>
        <w:rPr>
          <w:lang w:val="en-CA"/>
        </w:rPr>
      </w:pPr>
    </w:p>
    <w:p w14:paraId="34ABEAFD" w14:textId="77777777" w:rsidR="002E285D" w:rsidRDefault="002E285D" w:rsidP="00332779">
      <w:pPr>
        <w:spacing w:after="0"/>
        <w:sectPr w:rsidR="002E285D" w:rsidSect="001B3DFD">
          <w:headerReference w:type="even" r:id="rId16"/>
          <w:headerReference w:type="default" r:id="rId17"/>
          <w:footerReference w:type="even" r:id="rId18"/>
          <w:footerReference w:type="default" r:id="rId19"/>
          <w:headerReference w:type="first" r:id="rId20"/>
          <w:footerReference w:type="first" r:id="rId21"/>
          <w:pgSz w:w="12240" w:h="15840" w:code="1"/>
          <w:pgMar w:top="1440" w:right="1440" w:bottom="1440" w:left="1800" w:header="720" w:footer="720" w:gutter="0"/>
          <w:cols w:space="720"/>
          <w:titlePg/>
        </w:sectPr>
      </w:pPr>
    </w:p>
    <w:p w14:paraId="0943DA63" w14:textId="0644AC14" w:rsidR="00855CB7" w:rsidRDefault="00855CB7">
      <w:pPr>
        <w:pStyle w:val="TableofContents"/>
        <w:rPr>
          <w:lang w:val="en-CA"/>
        </w:rPr>
      </w:pPr>
      <w:bookmarkStart w:id="3" w:name="_Toc466695840"/>
      <w:bookmarkStart w:id="4" w:name="_Toc32038416"/>
      <w:bookmarkStart w:id="5" w:name="_Toc175383863"/>
      <w:bookmarkStart w:id="6" w:name="_Toc400369483"/>
      <w:bookmarkStart w:id="7" w:name="_Toc35796309"/>
      <w:bookmarkStart w:id="8" w:name="_Toc79657910"/>
      <w:r>
        <w:rPr>
          <w:lang w:val="en-CA"/>
        </w:rPr>
        <w:lastRenderedPageBreak/>
        <w:t>Table of Contents</w:t>
      </w:r>
      <w:bookmarkEnd w:id="3"/>
      <w:bookmarkEnd w:id="4"/>
      <w:bookmarkEnd w:id="5"/>
      <w:bookmarkEnd w:id="6"/>
      <w:bookmarkEnd w:id="7"/>
      <w:bookmarkEnd w:id="8"/>
    </w:p>
    <w:p w14:paraId="4C1281AD" w14:textId="226DCE10" w:rsidR="003B082C" w:rsidRDefault="00117555">
      <w:pPr>
        <w:pStyle w:val="TOC1"/>
        <w:rPr>
          <w:rFonts w:asciiTheme="minorHAnsi" w:eastAsiaTheme="minorEastAsia" w:hAnsiTheme="minorHAnsi" w:cstheme="minorBidi"/>
          <w:sz w:val="22"/>
          <w:szCs w:val="22"/>
        </w:rPr>
      </w:pPr>
      <w:r>
        <w:rPr>
          <w:b/>
        </w:rPr>
        <w:fldChar w:fldCharType="begin"/>
      </w:r>
      <w:r>
        <w:rPr>
          <w:b/>
        </w:rPr>
        <w:instrText xml:space="preserve"> TOC \o "1-3" \h \z \t "Heading 7,1" </w:instrText>
      </w:r>
      <w:r>
        <w:rPr>
          <w:b/>
        </w:rPr>
        <w:fldChar w:fldCharType="separate"/>
      </w:r>
      <w:hyperlink w:anchor="_Toc79657910" w:history="1">
        <w:r w:rsidR="003B082C" w:rsidRPr="00BB704C">
          <w:rPr>
            <w:rStyle w:val="Hyperlink"/>
          </w:rPr>
          <w:t>Table of Contents</w:t>
        </w:r>
        <w:r w:rsidR="003B082C">
          <w:rPr>
            <w:webHidden/>
          </w:rPr>
          <w:tab/>
        </w:r>
        <w:r w:rsidR="003B082C">
          <w:rPr>
            <w:webHidden/>
          </w:rPr>
          <w:fldChar w:fldCharType="begin"/>
        </w:r>
        <w:r w:rsidR="003B082C">
          <w:rPr>
            <w:webHidden/>
          </w:rPr>
          <w:instrText xml:space="preserve"> PAGEREF _Toc79657910 \h </w:instrText>
        </w:r>
        <w:r w:rsidR="003B082C">
          <w:rPr>
            <w:webHidden/>
          </w:rPr>
        </w:r>
        <w:r w:rsidR="003B082C">
          <w:rPr>
            <w:webHidden/>
          </w:rPr>
          <w:fldChar w:fldCharType="separate"/>
        </w:r>
        <w:r w:rsidR="003B082C">
          <w:rPr>
            <w:webHidden/>
          </w:rPr>
          <w:t>ii</w:t>
        </w:r>
        <w:r w:rsidR="003B082C">
          <w:rPr>
            <w:webHidden/>
          </w:rPr>
          <w:fldChar w:fldCharType="end"/>
        </w:r>
      </w:hyperlink>
    </w:p>
    <w:p w14:paraId="7D059A64" w14:textId="61A44C45" w:rsidR="003B082C" w:rsidRDefault="005C5CD4">
      <w:pPr>
        <w:pStyle w:val="TOC1"/>
        <w:rPr>
          <w:rFonts w:asciiTheme="minorHAnsi" w:eastAsiaTheme="minorEastAsia" w:hAnsiTheme="minorHAnsi" w:cstheme="minorBidi"/>
          <w:sz w:val="22"/>
          <w:szCs w:val="22"/>
        </w:rPr>
      </w:pPr>
      <w:hyperlink w:anchor="_Toc79657911" w:history="1">
        <w:r w:rsidR="003B082C" w:rsidRPr="00BB704C">
          <w:rPr>
            <w:rStyle w:val="Hyperlink"/>
          </w:rPr>
          <w:t>List of Figures</w:t>
        </w:r>
        <w:r w:rsidR="003B082C">
          <w:rPr>
            <w:webHidden/>
          </w:rPr>
          <w:tab/>
        </w:r>
        <w:r w:rsidR="003B082C">
          <w:rPr>
            <w:webHidden/>
          </w:rPr>
          <w:fldChar w:fldCharType="begin"/>
        </w:r>
        <w:r w:rsidR="003B082C">
          <w:rPr>
            <w:webHidden/>
          </w:rPr>
          <w:instrText xml:space="preserve"> PAGEREF _Toc79657911 \h </w:instrText>
        </w:r>
        <w:r w:rsidR="003B082C">
          <w:rPr>
            <w:webHidden/>
          </w:rPr>
        </w:r>
        <w:r w:rsidR="003B082C">
          <w:rPr>
            <w:webHidden/>
          </w:rPr>
          <w:fldChar w:fldCharType="separate"/>
        </w:r>
        <w:r w:rsidR="003B082C">
          <w:rPr>
            <w:webHidden/>
          </w:rPr>
          <w:t>v</w:t>
        </w:r>
        <w:r w:rsidR="003B082C">
          <w:rPr>
            <w:webHidden/>
          </w:rPr>
          <w:fldChar w:fldCharType="end"/>
        </w:r>
      </w:hyperlink>
    </w:p>
    <w:p w14:paraId="5B00F8A5" w14:textId="71B8874F" w:rsidR="003B082C" w:rsidRDefault="005C5CD4">
      <w:pPr>
        <w:pStyle w:val="TOC1"/>
        <w:rPr>
          <w:rFonts w:asciiTheme="minorHAnsi" w:eastAsiaTheme="minorEastAsia" w:hAnsiTheme="minorHAnsi" w:cstheme="minorBidi"/>
          <w:sz w:val="22"/>
          <w:szCs w:val="22"/>
        </w:rPr>
      </w:pPr>
      <w:hyperlink w:anchor="_Toc79657912" w:history="1">
        <w:r w:rsidR="003B082C" w:rsidRPr="00BB704C">
          <w:rPr>
            <w:rStyle w:val="Hyperlink"/>
          </w:rPr>
          <w:t>List of Tables</w:t>
        </w:r>
        <w:r w:rsidR="003B082C">
          <w:rPr>
            <w:webHidden/>
          </w:rPr>
          <w:tab/>
        </w:r>
        <w:r w:rsidR="003B082C">
          <w:rPr>
            <w:webHidden/>
          </w:rPr>
          <w:fldChar w:fldCharType="begin"/>
        </w:r>
        <w:r w:rsidR="003B082C">
          <w:rPr>
            <w:webHidden/>
          </w:rPr>
          <w:instrText xml:space="preserve"> PAGEREF _Toc79657912 \h </w:instrText>
        </w:r>
        <w:r w:rsidR="003B082C">
          <w:rPr>
            <w:webHidden/>
          </w:rPr>
        </w:r>
        <w:r w:rsidR="003B082C">
          <w:rPr>
            <w:webHidden/>
          </w:rPr>
          <w:fldChar w:fldCharType="separate"/>
        </w:r>
        <w:r w:rsidR="003B082C">
          <w:rPr>
            <w:webHidden/>
          </w:rPr>
          <w:t>vi</w:t>
        </w:r>
        <w:r w:rsidR="003B082C">
          <w:rPr>
            <w:webHidden/>
          </w:rPr>
          <w:fldChar w:fldCharType="end"/>
        </w:r>
      </w:hyperlink>
    </w:p>
    <w:p w14:paraId="4F4FB7C5" w14:textId="3FF3311A" w:rsidR="003B082C" w:rsidRDefault="005C5CD4">
      <w:pPr>
        <w:pStyle w:val="TOC1"/>
        <w:rPr>
          <w:rFonts w:asciiTheme="minorHAnsi" w:eastAsiaTheme="minorEastAsia" w:hAnsiTheme="minorHAnsi" w:cstheme="minorBidi"/>
          <w:sz w:val="22"/>
          <w:szCs w:val="22"/>
        </w:rPr>
      </w:pPr>
      <w:hyperlink w:anchor="_Toc79657913" w:history="1">
        <w:r w:rsidR="003B082C" w:rsidRPr="00BB704C">
          <w:rPr>
            <w:rStyle w:val="Hyperlink"/>
          </w:rPr>
          <w:t>Table of Changes</w:t>
        </w:r>
        <w:r w:rsidR="003B082C">
          <w:rPr>
            <w:webHidden/>
          </w:rPr>
          <w:tab/>
        </w:r>
        <w:r w:rsidR="003B082C">
          <w:rPr>
            <w:webHidden/>
          </w:rPr>
          <w:fldChar w:fldCharType="begin"/>
        </w:r>
        <w:r w:rsidR="003B082C">
          <w:rPr>
            <w:webHidden/>
          </w:rPr>
          <w:instrText xml:space="preserve"> PAGEREF _Toc79657913 \h </w:instrText>
        </w:r>
        <w:r w:rsidR="003B082C">
          <w:rPr>
            <w:webHidden/>
          </w:rPr>
        </w:r>
        <w:r w:rsidR="003B082C">
          <w:rPr>
            <w:webHidden/>
          </w:rPr>
          <w:fldChar w:fldCharType="separate"/>
        </w:r>
        <w:r w:rsidR="003B082C">
          <w:rPr>
            <w:webHidden/>
          </w:rPr>
          <w:t>vii</w:t>
        </w:r>
        <w:r w:rsidR="003B082C">
          <w:rPr>
            <w:webHidden/>
          </w:rPr>
          <w:fldChar w:fldCharType="end"/>
        </w:r>
      </w:hyperlink>
    </w:p>
    <w:p w14:paraId="4049D4A3" w14:textId="220D150B" w:rsidR="003B082C" w:rsidRDefault="005C5CD4">
      <w:pPr>
        <w:pStyle w:val="TOC1"/>
        <w:rPr>
          <w:rFonts w:asciiTheme="minorHAnsi" w:eastAsiaTheme="minorEastAsia" w:hAnsiTheme="minorHAnsi" w:cstheme="minorBidi"/>
          <w:sz w:val="22"/>
          <w:szCs w:val="22"/>
        </w:rPr>
      </w:pPr>
      <w:hyperlink w:anchor="_Toc79657914" w:history="1">
        <w:r w:rsidR="003B082C" w:rsidRPr="00BB704C">
          <w:rPr>
            <w:rStyle w:val="Hyperlink"/>
          </w:rPr>
          <w:t>Market Manuals</w:t>
        </w:r>
        <w:r w:rsidR="003B082C">
          <w:rPr>
            <w:webHidden/>
          </w:rPr>
          <w:tab/>
        </w:r>
        <w:r w:rsidR="003B082C">
          <w:rPr>
            <w:webHidden/>
          </w:rPr>
          <w:fldChar w:fldCharType="begin"/>
        </w:r>
        <w:r w:rsidR="003B082C">
          <w:rPr>
            <w:webHidden/>
          </w:rPr>
          <w:instrText xml:space="preserve"> PAGEREF _Toc79657914 \h </w:instrText>
        </w:r>
        <w:r w:rsidR="003B082C">
          <w:rPr>
            <w:webHidden/>
          </w:rPr>
        </w:r>
        <w:r w:rsidR="003B082C">
          <w:rPr>
            <w:webHidden/>
          </w:rPr>
          <w:fldChar w:fldCharType="separate"/>
        </w:r>
        <w:r w:rsidR="003B082C">
          <w:rPr>
            <w:webHidden/>
          </w:rPr>
          <w:t>1</w:t>
        </w:r>
        <w:r w:rsidR="003B082C">
          <w:rPr>
            <w:webHidden/>
          </w:rPr>
          <w:fldChar w:fldCharType="end"/>
        </w:r>
      </w:hyperlink>
    </w:p>
    <w:p w14:paraId="6B6F4369" w14:textId="1469E063" w:rsidR="003B082C" w:rsidRDefault="005C5CD4">
      <w:pPr>
        <w:pStyle w:val="TOC1"/>
        <w:rPr>
          <w:rFonts w:asciiTheme="minorHAnsi" w:eastAsiaTheme="minorEastAsia" w:hAnsiTheme="minorHAnsi" w:cstheme="minorBidi"/>
          <w:sz w:val="22"/>
          <w:szCs w:val="22"/>
        </w:rPr>
      </w:pPr>
      <w:hyperlink w:anchor="_Toc79657915" w:history="1">
        <w:r w:rsidR="003B082C" w:rsidRPr="00BB704C">
          <w:rPr>
            <w:rStyle w:val="Hyperlink"/>
          </w:rPr>
          <w:t>Market Procedures</w:t>
        </w:r>
        <w:r w:rsidR="003B082C">
          <w:rPr>
            <w:webHidden/>
          </w:rPr>
          <w:tab/>
        </w:r>
        <w:r w:rsidR="003B082C">
          <w:rPr>
            <w:webHidden/>
          </w:rPr>
          <w:fldChar w:fldCharType="begin"/>
        </w:r>
        <w:r w:rsidR="003B082C">
          <w:rPr>
            <w:webHidden/>
          </w:rPr>
          <w:instrText xml:space="preserve"> PAGEREF _Toc79657915 \h </w:instrText>
        </w:r>
        <w:r w:rsidR="003B082C">
          <w:rPr>
            <w:webHidden/>
          </w:rPr>
        </w:r>
        <w:r w:rsidR="003B082C">
          <w:rPr>
            <w:webHidden/>
          </w:rPr>
          <w:fldChar w:fldCharType="separate"/>
        </w:r>
        <w:r w:rsidR="003B082C">
          <w:rPr>
            <w:webHidden/>
          </w:rPr>
          <w:t>1</w:t>
        </w:r>
        <w:r w:rsidR="003B082C">
          <w:rPr>
            <w:webHidden/>
          </w:rPr>
          <w:fldChar w:fldCharType="end"/>
        </w:r>
      </w:hyperlink>
    </w:p>
    <w:p w14:paraId="2679F6F3" w14:textId="22802B16" w:rsidR="003B082C" w:rsidRDefault="005C5CD4">
      <w:pPr>
        <w:pStyle w:val="TOC1"/>
        <w:rPr>
          <w:rFonts w:asciiTheme="minorHAnsi" w:eastAsiaTheme="minorEastAsia" w:hAnsiTheme="minorHAnsi" w:cstheme="minorBidi"/>
          <w:sz w:val="22"/>
          <w:szCs w:val="22"/>
        </w:rPr>
      </w:pPr>
      <w:hyperlink w:anchor="_Toc79657916" w:history="1">
        <w:r w:rsidR="003B082C" w:rsidRPr="00BB704C">
          <w:rPr>
            <w:rStyle w:val="Hyperlink"/>
          </w:rPr>
          <w:t>1.</w:t>
        </w:r>
        <w:r w:rsidR="003B082C">
          <w:rPr>
            <w:rFonts w:asciiTheme="minorHAnsi" w:eastAsiaTheme="minorEastAsia" w:hAnsiTheme="minorHAnsi" w:cstheme="minorBidi"/>
            <w:sz w:val="22"/>
            <w:szCs w:val="22"/>
          </w:rPr>
          <w:tab/>
        </w:r>
        <w:r w:rsidR="003B082C" w:rsidRPr="00BB704C">
          <w:rPr>
            <w:rStyle w:val="Hyperlink"/>
          </w:rPr>
          <w:t>Introduction</w:t>
        </w:r>
        <w:r w:rsidR="003B082C">
          <w:rPr>
            <w:webHidden/>
          </w:rPr>
          <w:tab/>
        </w:r>
        <w:r w:rsidR="003B082C">
          <w:rPr>
            <w:webHidden/>
          </w:rPr>
          <w:fldChar w:fldCharType="begin"/>
        </w:r>
        <w:r w:rsidR="003B082C">
          <w:rPr>
            <w:webHidden/>
          </w:rPr>
          <w:instrText xml:space="preserve"> PAGEREF _Toc79657916 \h </w:instrText>
        </w:r>
        <w:r w:rsidR="003B082C">
          <w:rPr>
            <w:webHidden/>
          </w:rPr>
        </w:r>
        <w:r w:rsidR="003B082C">
          <w:rPr>
            <w:webHidden/>
          </w:rPr>
          <w:fldChar w:fldCharType="separate"/>
        </w:r>
        <w:r w:rsidR="003B082C">
          <w:rPr>
            <w:webHidden/>
          </w:rPr>
          <w:t>2</w:t>
        </w:r>
        <w:r w:rsidR="003B082C">
          <w:rPr>
            <w:webHidden/>
          </w:rPr>
          <w:fldChar w:fldCharType="end"/>
        </w:r>
      </w:hyperlink>
    </w:p>
    <w:p w14:paraId="3003A005" w14:textId="3895853F" w:rsidR="003B082C" w:rsidRDefault="005C5CD4">
      <w:pPr>
        <w:pStyle w:val="TOC2"/>
        <w:rPr>
          <w:rFonts w:asciiTheme="minorHAnsi" w:eastAsiaTheme="minorEastAsia" w:hAnsiTheme="minorHAnsi" w:cstheme="minorBidi"/>
          <w:szCs w:val="22"/>
          <w:lang w:val="en-CA"/>
        </w:rPr>
      </w:pPr>
      <w:hyperlink w:anchor="_Toc79657917" w:history="1">
        <w:r w:rsidR="003B082C" w:rsidRPr="00BB704C">
          <w:rPr>
            <w:rStyle w:val="Hyperlink"/>
            <w:lang w:val="en-CA"/>
          </w:rPr>
          <w:t>1.1</w:t>
        </w:r>
        <w:r w:rsidR="003B082C">
          <w:rPr>
            <w:rFonts w:asciiTheme="minorHAnsi" w:eastAsiaTheme="minorEastAsia" w:hAnsiTheme="minorHAnsi" w:cstheme="minorBidi"/>
            <w:szCs w:val="22"/>
            <w:lang w:val="en-CA"/>
          </w:rPr>
          <w:tab/>
        </w:r>
        <w:r w:rsidR="003B082C" w:rsidRPr="00BB704C">
          <w:rPr>
            <w:rStyle w:val="Hyperlink"/>
            <w:lang w:val="en-CA"/>
          </w:rPr>
          <w:t>Purpose</w:t>
        </w:r>
        <w:r w:rsidR="003B082C">
          <w:rPr>
            <w:webHidden/>
          </w:rPr>
          <w:tab/>
        </w:r>
        <w:r w:rsidR="003B082C">
          <w:rPr>
            <w:webHidden/>
          </w:rPr>
          <w:fldChar w:fldCharType="begin"/>
        </w:r>
        <w:r w:rsidR="003B082C">
          <w:rPr>
            <w:webHidden/>
          </w:rPr>
          <w:instrText xml:space="preserve"> PAGEREF _Toc79657917 \h </w:instrText>
        </w:r>
        <w:r w:rsidR="003B082C">
          <w:rPr>
            <w:webHidden/>
          </w:rPr>
        </w:r>
        <w:r w:rsidR="003B082C">
          <w:rPr>
            <w:webHidden/>
          </w:rPr>
          <w:fldChar w:fldCharType="separate"/>
        </w:r>
        <w:r w:rsidR="003B082C">
          <w:rPr>
            <w:webHidden/>
          </w:rPr>
          <w:t>2</w:t>
        </w:r>
        <w:r w:rsidR="003B082C">
          <w:rPr>
            <w:webHidden/>
          </w:rPr>
          <w:fldChar w:fldCharType="end"/>
        </w:r>
      </w:hyperlink>
    </w:p>
    <w:p w14:paraId="161EAE32" w14:textId="4749A4AF" w:rsidR="003B082C" w:rsidRDefault="005C5CD4">
      <w:pPr>
        <w:pStyle w:val="TOC2"/>
        <w:rPr>
          <w:rFonts w:asciiTheme="minorHAnsi" w:eastAsiaTheme="minorEastAsia" w:hAnsiTheme="minorHAnsi" w:cstheme="minorBidi"/>
          <w:szCs w:val="22"/>
          <w:lang w:val="en-CA"/>
        </w:rPr>
      </w:pPr>
      <w:hyperlink w:anchor="_Toc79657918" w:history="1">
        <w:r w:rsidR="003B082C" w:rsidRPr="00BB704C">
          <w:rPr>
            <w:rStyle w:val="Hyperlink"/>
            <w:lang w:val="en-CA"/>
          </w:rPr>
          <w:t>1.2</w:t>
        </w:r>
        <w:r w:rsidR="003B082C">
          <w:rPr>
            <w:rFonts w:asciiTheme="minorHAnsi" w:eastAsiaTheme="minorEastAsia" w:hAnsiTheme="minorHAnsi" w:cstheme="minorBidi"/>
            <w:szCs w:val="22"/>
            <w:lang w:val="en-CA"/>
          </w:rPr>
          <w:tab/>
        </w:r>
        <w:r w:rsidR="003B082C" w:rsidRPr="00BB704C">
          <w:rPr>
            <w:rStyle w:val="Hyperlink"/>
            <w:lang w:val="en-CA"/>
          </w:rPr>
          <w:t>Scope</w:t>
        </w:r>
        <w:r w:rsidR="003B082C">
          <w:rPr>
            <w:webHidden/>
          </w:rPr>
          <w:tab/>
        </w:r>
        <w:r w:rsidR="003B082C">
          <w:rPr>
            <w:webHidden/>
          </w:rPr>
          <w:fldChar w:fldCharType="begin"/>
        </w:r>
        <w:r w:rsidR="003B082C">
          <w:rPr>
            <w:webHidden/>
          </w:rPr>
          <w:instrText xml:space="preserve"> PAGEREF _Toc79657918 \h </w:instrText>
        </w:r>
        <w:r w:rsidR="003B082C">
          <w:rPr>
            <w:webHidden/>
          </w:rPr>
        </w:r>
        <w:r w:rsidR="003B082C">
          <w:rPr>
            <w:webHidden/>
          </w:rPr>
          <w:fldChar w:fldCharType="separate"/>
        </w:r>
        <w:r w:rsidR="003B082C">
          <w:rPr>
            <w:webHidden/>
          </w:rPr>
          <w:t>2</w:t>
        </w:r>
        <w:r w:rsidR="003B082C">
          <w:rPr>
            <w:webHidden/>
          </w:rPr>
          <w:fldChar w:fldCharType="end"/>
        </w:r>
      </w:hyperlink>
    </w:p>
    <w:p w14:paraId="320D677E" w14:textId="47AD6D54" w:rsidR="003B082C" w:rsidRDefault="005C5CD4">
      <w:pPr>
        <w:pStyle w:val="TOC2"/>
        <w:rPr>
          <w:rFonts w:asciiTheme="minorHAnsi" w:eastAsiaTheme="minorEastAsia" w:hAnsiTheme="minorHAnsi" w:cstheme="minorBidi"/>
          <w:szCs w:val="22"/>
          <w:lang w:val="en-CA"/>
        </w:rPr>
      </w:pPr>
      <w:hyperlink w:anchor="_Toc79657919" w:history="1">
        <w:r w:rsidR="003B082C" w:rsidRPr="00BB704C">
          <w:rPr>
            <w:rStyle w:val="Hyperlink"/>
            <w:lang w:val="en-CA"/>
          </w:rPr>
          <w:t>1.3</w:t>
        </w:r>
        <w:r w:rsidR="003B082C">
          <w:rPr>
            <w:rFonts w:asciiTheme="minorHAnsi" w:eastAsiaTheme="minorEastAsia" w:hAnsiTheme="minorHAnsi" w:cstheme="minorBidi"/>
            <w:szCs w:val="22"/>
            <w:lang w:val="en-CA"/>
          </w:rPr>
          <w:tab/>
        </w:r>
        <w:r w:rsidR="003B082C" w:rsidRPr="00BB704C">
          <w:rPr>
            <w:rStyle w:val="Hyperlink"/>
            <w:lang w:val="en-CA"/>
          </w:rPr>
          <w:t xml:space="preserve">Overview of the </w:t>
        </w:r>
        <w:r w:rsidR="003B082C" w:rsidRPr="00BB704C">
          <w:rPr>
            <w:rStyle w:val="Hyperlink"/>
            <w:i/>
            <w:lang w:val="en-CA"/>
          </w:rPr>
          <w:t>Settlement Statement</w:t>
        </w:r>
        <w:r w:rsidR="003B082C" w:rsidRPr="00BB704C">
          <w:rPr>
            <w:rStyle w:val="Hyperlink"/>
            <w:lang w:val="en-CA"/>
          </w:rPr>
          <w:t xml:space="preserve"> Process</w:t>
        </w:r>
        <w:r w:rsidR="003B082C">
          <w:rPr>
            <w:webHidden/>
          </w:rPr>
          <w:tab/>
        </w:r>
        <w:r w:rsidR="003B082C">
          <w:rPr>
            <w:webHidden/>
          </w:rPr>
          <w:fldChar w:fldCharType="begin"/>
        </w:r>
        <w:r w:rsidR="003B082C">
          <w:rPr>
            <w:webHidden/>
          </w:rPr>
          <w:instrText xml:space="preserve"> PAGEREF _Toc79657919 \h </w:instrText>
        </w:r>
        <w:r w:rsidR="003B082C">
          <w:rPr>
            <w:webHidden/>
          </w:rPr>
        </w:r>
        <w:r w:rsidR="003B082C">
          <w:rPr>
            <w:webHidden/>
          </w:rPr>
          <w:fldChar w:fldCharType="separate"/>
        </w:r>
        <w:r w:rsidR="003B082C">
          <w:rPr>
            <w:webHidden/>
          </w:rPr>
          <w:t>3</w:t>
        </w:r>
        <w:r w:rsidR="003B082C">
          <w:rPr>
            <w:webHidden/>
          </w:rPr>
          <w:fldChar w:fldCharType="end"/>
        </w:r>
      </w:hyperlink>
    </w:p>
    <w:p w14:paraId="47481082" w14:textId="19CC6B57" w:rsidR="003B082C" w:rsidRDefault="005C5CD4">
      <w:pPr>
        <w:pStyle w:val="TOC3"/>
        <w:rPr>
          <w:rFonts w:asciiTheme="minorHAnsi" w:eastAsiaTheme="minorEastAsia" w:hAnsiTheme="minorHAnsi" w:cstheme="minorBidi"/>
          <w:noProof/>
          <w:szCs w:val="22"/>
          <w:lang w:val="en-CA"/>
        </w:rPr>
      </w:pPr>
      <w:hyperlink w:anchor="_Toc79657920" w:history="1">
        <w:r w:rsidR="003B082C" w:rsidRPr="00BB704C">
          <w:rPr>
            <w:rStyle w:val="Hyperlink"/>
            <w:noProof/>
            <w:lang w:val="en-CA"/>
          </w:rPr>
          <w:t>1.3.1</w:t>
        </w:r>
        <w:r w:rsidR="003B082C">
          <w:rPr>
            <w:rFonts w:asciiTheme="minorHAnsi" w:eastAsiaTheme="minorEastAsia" w:hAnsiTheme="minorHAnsi" w:cstheme="minorBidi"/>
            <w:noProof/>
            <w:szCs w:val="22"/>
            <w:lang w:val="en-CA"/>
          </w:rPr>
          <w:tab/>
        </w:r>
        <w:r w:rsidR="003B082C" w:rsidRPr="00BB704C">
          <w:rPr>
            <w:rStyle w:val="Hyperlink"/>
            <w:noProof/>
            <w:lang w:val="en-CA"/>
          </w:rPr>
          <w:t xml:space="preserve">Issuing the </w:t>
        </w:r>
        <w:r w:rsidR="003B082C" w:rsidRPr="00BB704C">
          <w:rPr>
            <w:rStyle w:val="Hyperlink"/>
            <w:i/>
            <w:noProof/>
            <w:lang w:val="en-CA"/>
          </w:rPr>
          <w:t>Preliminary Settlement Statement</w:t>
        </w:r>
        <w:r w:rsidR="003B082C">
          <w:rPr>
            <w:noProof/>
            <w:webHidden/>
          </w:rPr>
          <w:tab/>
        </w:r>
        <w:r w:rsidR="003B082C">
          <w:rPr>
            <w:noProof/>
            <w:webHidden/>
          </w:rPr>
          <w:fldChar w:fldCharType="begin"/>
        </w:r>
        <w:r w:rsidR="003B082C">
          <w:rPr>
            <w:noProof/>
            <w:webHidden/>
          </w:rPr>
          <w:instrText xml:space="preserve"> PAGEREF _Toc79657920 \h </w:instrText>
        </w:r>
        <w:r w:rsidR="003B082C">
          <w:rPr>
            <w:noProof/>
            <w:webHidden/>
          </w:rPr>
        </w:r>
        <w:r w:rsidR="003B082C">
          <w:rPr>
            <w:noProof/>
            <w:webHidden/>
          </w:rPr>
          <w:fldChar w:fldCharType="separate"/>
        </w:r>
        <w:r w:rsidR="003B082C">
          <w:rPr>
            <w:noProof/>
            <w:webHidden/>
          </w:rPr>
          <w:t>3</w:t>
        </w:r>
        <w:r w:rsidR="003B082C">
          <w:rPr>
            <w:noProof/>
            <w:webHidden/>
          </w:rPr>
          <w:fldChar w:fldCharType="end"/>
        </w:r>
      </w:hyperlink>
    </w:p>
    <w:p w14:paraId="32AE2CDC" w14:textId="62EAD55B" w:rsidR="003B082C" w:rsidRDefault="005C5CD4">
      <w:pPr>
        <w:pStyle w:val="TOC3"/>
        <w:rPr>
          <w:rFonts w:asciiTheme="minorHAnsi" w:eastAsiaTheme="minorEastAsia" w:hAnsiTheme="minorHAnsi" w:cstheme="minorBidi"/>
          <w:noProof/>
          <w:szCs w:val="22"/>
          <w:lang w:val="en-CA"/>
        </w:rPr>
      </w:pPr>
      <w:hyperlink w:anchor="_Toc79657921" w:history="1">
        <w:r w:rsidR="003B082C" w:rsidRPr="00BB704C">
          <w:rPr>
            <w:rStyle w:val="Hyperlink"/>
            <w:noProof/>
            <w:lang w:val="en-CA"/>
          </w:rPr>
          <w:t>1.3.2</w:t>
        </w:r>
        <w:r w:rsidR="003B082C">
          <w:rPr>
            <w:rFonts w:asciiTheme="minorHAnsi" w:eastAsiaTheme="minorEastAsia" w:hAnsiTheme="minorHAnsi" w:cstheme="minorBidi"/>
            <w:noProof/>
            <w:szCs w:val="22"/>
            <w:lang w:val="en-CA"/>
          </w:rPr>
          <w:tab/>
        </w:r>
        <w:r w:rsidR="003B082C" w:rsidRPr="00BB704C">
          <w:rPr>
            <w:rStyle w:val="Hyperlink"/>
            <w:noProof/>
            <w:lang w:val="en-CA"/>
          </w:rPr>
          <w:t xml:space="preserve">Interpreting the </w:t>
        </w:r>
        <w:r w:rsidR="003B082C" w:rsidRPr="00BB704C">
          <w:rPr>
            <w:rStyle w:val="Hyperlink"/>
            <w:i/>
            <w:noProof/>
            <w:lang w:val="en-CA"/>
          </w:rPr>
          <w:t>Settlement Statements</w:t>
        </w:r>
        <w:r w:rsidR="003B082C" w:rsidRPr="00BB704C">
          <w:rPr>
            <w:rStyle w:val="Hyperlink"/>
            <w:noProof/>
            <w:lang w:val="en-CA"/>
          </w:rPr>
          <w:t xml:space="preserve"> and Data Files</w:t>
        </w:r>
        <w:r w:rsidR="003B082C">
          <w:rPr>
            <w:noProof/>
            <w:webHidden/>
          </w:rPr>
          <w:tab/>
        </w:r>
        <w:r w:rsidR="003B082C">
          <w:rPr>
            <w:noProof/>
            <w:webHidden/>
          </w:rPr>
          <w:fldChar w:fldCharType="begin"/>
        </w:r>
        <w:r w:rsidR="003B082C">
          <w:rPr>
            <w:noProof/>
            <w:webHidden/>
          </w:rPr>
          <w:instrText xml:space="preserve"> PAGEREF _Toc79657921 \h </w:instrText>
        </w:r>
        <w:r w:rsidR="003B082C">
          <w:rPr>
            <w:noProof/>
            <w:webHidden/>
          </w:rPr>
        </w:r>
        <w:r w:rsidR="003B082C">
          <w:rPr>
            <w:noProof/>
            <w:webHidden/>
          </w:rPr>
          <w:fldChar w:fldCharType="separate"/>
        </w:r>
        <w:r w:rsidR="003B082C">
          <w:rPr>
            <w:noProof/>
            <w:webHidden/>
          </w:rPr>
          <w:t>5</w:t>
        </w:r>
        <w:r w:rsidR="003B082C">
          <w:rPr>
            <w:noProof/>
            <w:webHidden/>
          </w:rPr>
          <w:fldChar w:fldCharType="end"/>
        </w:r>
      </w:hyperlink>
    </w:p>
    <w:p w14:paraId="5EFBC165" w14:textId="3C44A3FF" w:rsidR="003B082C" w:rsidRDefault="005C5CD4">
      <w:pPr>
        <w:pStyle w:val="TOC3"/>
        <w:rPr>
          <w:rFonts w:asciiTheme="minorHAnsi" w:eastAsiaTheme="minorEastAsia" w:hAnsiTheme="minorHAnsi" w:cstheme="minorBidi"/>
          <w:noProof/>
          <w:szCs w:val="22"/>
          <w:lang w:val="en-CA"/>
        </w:rPr>
      </w:pPr>
      <w:hyperlink w:anchor="_Toc79657922" w:history="1">
        <w:r w:rsidR="003B082C" w:rsidRPr="00BB704C">
          <w:rPr>
            <w:rStyle w:val="Hyperlink"/>
            <w:noProof/>
            <w:lang w:val="en-CA"/>
          </w:rPr>
          <w:t>1.3.3</w:t>
        </w:r>
        <w:r w:rsidR="003B082C">
          <w:rPr>
            <w:rFonts w:asciiTheme="minorHAnsi" w:eastAsiaTheme="minorEastAsia" w:hAnsiTheme="minorHAnsi" w:cstheme="minorBidi"/>
            <w:noProof/>
            <w:szCs w:val="22"/>
            <w:lang w:val="en-CA"/>
          </w:rPr>
          <w:tab/>
        </w:r>
        <w:r w:rsidR="003B082C" w:rsidRPr="00BB704C">
          <w:rPr>
            <w:rStyle w:val="Hyperlink"/>
            <w:noProof/>
            <w:lang w:val="en-CA"/>
          </w:rPr>
          <w:t>Submitting Queries</w:t>
        </w:r>
        <w:r w:rsidR="003B082C">
          <w:rPr>
            <w:noProof/>
            <w:webHidden/>
          </w:rPr>
          <w:tab/>
        </w:r>
        <w:r w:rsidR="003B082C">
          <w:rPr>
            <w:noProof/>
            <w:webHidden/>
          </w:rPr>
          <w:fldChar w:fldCharType="begin"/>
        </w:r>
        <w:r w:rsidR="003B082C">
          <w:rPr>
            <w:noProof/>
            <w:webHidden/>
          </w:rPr>
          <w:instrText xml:space="preserve"> PAGEREF _Toc79657922 \h </w:instrText>
        </w:r>
        <w:r w:rsidR="003B082C">
          <w:rPr>
            <w:noProof/>
            <w:webHidden/>
          </w:rPr>
        </w:r>
        <w:r w:rsidR="003B082C">
          <w:rPr>
            <w:noProof/>
            <w:webHidden/>
          </w:rPr>
          <w:fldChar w:fldCharType="separate"/>
        </w:r>
        <w:r w:rsidR="003B082C">
          <w:rPr>
            <w:noProof/>
            <w:webHidden/>
          </w:rPr>
          <w:t>7</w:t>
        </w:r>
        <w:r w:rsidR="003B082C">
          <w:rPr>
            <w:noProof/>
            <w:webHidden/>
          </w:rPr>
          <w:fldChar w:fldCharType="end"/>
        </w:r>
      </w:hyperlink>
    </w:p>
    <w:p w14:paraId="7B3738D9" w14:textId="47A90C14" w:rsidR="003B082C" w:rsidRDefault="005C5CD4">
      <w:pPr>
        <w:pStyle w:val="TOC3"/>
        <w:rPr>
          <w:rFonts w:asciiTheme="minorHAnsi" w:eastAsiaTheme="minorEastAsia" w:hAnsiTheme="minorHAnsi" w:cstheme="minorBidi"/>
          <w:noProof/>
          <w:szCs w:val="22"/>
          <w:lang w:val="en-CA"/>
        </w:rPr>
      </w:pPr>
      <w:hyperlink w:anchor="_Toc79657923" w:history="1">
        <w:r w:rsidR="003B082C" w:rsidRPr="00BB704C">
          <w:rPr>
            <w:rStyle w:val="Hyperlink"/>
            <w:noProof/>
            <w:lang w:val="en-CA"/>
          </w:rPr>
          <w:t>1.3.4</w:t>
        </w:r>
        <w:r w:rsidR="003B082C">
          <w:rPr>
            <w:rFonts w:asciiTheme="minorHAnsi" w:eastAsiaTheme="minorEastAsia" w:hAnsiTheme="minorHAnsi" w:cstheme="minorBidi"/>
            <w:noProof/>
            <w:szCs w:val="22"/>
            <w:lang w:val="en-CA"/>
          </w:rPr>
          <w:tab/>
        </w:r>
        <w:r w:rsidR="003B082C" w:rsidRPr="00BB704C">
          <w:rPr>
            <w:rStyle w:val="Hyperlink"/>
            <w:noProof/>
            <w:lang w:val="en-CA"/>
          </w:rPr>
          <w:t>Submitting a Notice of Disagreement</w:t>
        </w:r>
        <w:r w:rsidR="003B082C">
          <w:rPr>
            <w:noProof/>
            <w:webHidden/>
          </w:rPr>
          <w:tab/>
        </w:r>
        <w:r w:rsidR="003B082C">
          <w:rPr>
            <w:noProof/>
            <w:webHidden/>
          </w:rPr>
          <w:fldChar w:fldCharType="begin"/>
        </w:r>
        <w:r w:rsidR="003B082C">
          <w:rPr>
            <w:noProof/>
            <w:webHidden/>
          </w:rPr>
          <w:instrText xml:space="preserve"> PAGEREF _Toc79657923 \h </w:instrText>
        </w:r>
        <w:r w:rsidR="003B082C">
          <w:rPr>
            <w:noProof/>
            <w:webHidden/>
          </w:rPr>
        </w:r>
        <w:r w:rsidR="003B082C">
          <w:rPr>
            <w:noProof/>
            <w:webHidden/>
          </w:rPr>
          <w:fldChar w:fldCharType="separate"/>
        </w:r>
        <w:r w:rsidR="003B082C">
          <w:rPr>
            <w:noProof/>
            <w:webHidden/>
          </w:rPr>
          <w:t>7</w:t>
        </w:r>
        <w:r w:rsidR="003B082C">
          <w:rPr>
            <w:noProof/>
            <w:webHidden/>
          </w:rPr>
          <w:fldChar w:fldCharType="end"/>
        </w:r>
      </w:hyperlink>
    </w:p>
    <w:p w14:paraId="108CD206" w14:textId="64DD9B6D" w:rsidR="003B082C" w:rsidRDefault="005C5CD4">
      <w:pPr>
        <w:pStyle w:val="TOC3"/>
        <w:rPr>
          <w:rFonts w:asciiTheme="minorHAnsi" w:eastAsiaTheme="minorEastAsia" w:hAnsiTheme="minorHAnsi" w:cstheme="minorBidi"/>
          <w:noProof/>
          <w:szCs w:val="22"/>
          <w:lang w:val="en-CA"/>
        </w:rPr>
      </w:pPr>
      <w:hyperlink w:anchor="_Toc79657924" w:history="1">
        <w:r w:rsidR="003B082C" w:rsidRPr="00BB704C">
          <w:rPr>
            <w:rStyle w:val="Hyperlink"/>
            <w:noProof/>
            <w:lang w:val="en-CA"/>
          </w:rPr>
          <w:t>1.3.5</w:t>
        </w:r>
        <w:r w:rsidR="003B082C">
          <w:rPr>
            <w:rFonts w:asciiTheme="minorHAnsi" w:eastAsiaTheme="minorEastAsia" w:hAnsiTheme="minorHAnsi" w:cstheme="minorBidi"/>
            <w:noProof/>
            <w:szCs w:val="22"/>
            <w:lang w:val="en-CA"/>
          </w:rPr>
          <w:tab/>
        </w:r>
        <w:r w:rsidR="003B082C" w:rsidRPr="00BB704C">
          <w:rPr>
            <w:rStyle w:val="Hyperlink"/>
            <w:noProof/>
            <w:lang w:val="en-CA"/>
          </w:rPr>
          <w:t xml:space="preserve">Issuing the </w:t>
        </w:r>
        <w:r w:rsidR="003B082C" w:rsidRPr="00BB704C">
          <w:rPr>
            <w:rStyle w:val="Hyperlink"/>
            <w:i/>
            <w:noProof/>
            <w:lang w:val="en-CA"/>
          </w:rPr>
          <w:t>Final Settlement Statement</w:t>
        </w:r>
        <w:r w:rsidR="003B082C">
          <w:rPr>
            <w:noProof/>
            <w:webHidden/>
          </w:rPr>
          <w:tab/>
        </w:r>
        <w:r w:rsidR="003B082C">
          <w:rPr>
            <w:noProof/>
            <w:webHidden/>
          </w:rPr>
          <w:fldChar w:fldCharType="begin"/>
        </w:r>
        <w:r w:rsidR="003B082C">
          <w:rPr>
            <w:noProof/>
            <w:webHidden/>
          </w:rPr>
          <w:instrText xml:space="preserve"> PAGEREF _Toc79657924 \h </w:instrText>
        </w:r>
        <w:r w:rsidR="003B082C">
          <w:rPr>
            <w:noProof/>
            <w:webHidden/>
          </w:rPr>
        </w:r>
        <w:r w:rsidR="003B082C">
          <w:rPr>
            <w:noProof/>
            <w:webHidden/>
          </w:rPr>
          <w:fldChar w:fldCharType="separate"/>
        </w:r>
        <w:r w:rsidR="003B082C">
          <w:rPr>
            <w:noProof/>
            <w:webHidden/>
          </w:rPr>
          <w:t>10</w:t>
        </w:r>
        <w:r w:rsidR="003B082C">
          <w:rPr>
            <w:noProof/>
            <w:webHidden/>
          </w:rPr>
          <w:fldChar w:fldCharType="end"/>
        </w:r>
      </w:hyperlink>
    </w:p>
    <w:p w14:paraId="0561E6F5" w14:textId="1E9B5F8D" w:rsidR="003B082C" w:rsidRDefault="005C5CD4">
      <w:pPr>
        <w:pStyle w:val="TOC3"/>
        <w:rPr>
          <w:rFonts w:asciiTheme="minorHAnsi" w:eastAsiaTheme="minorEastAsia" w:hAnsiTheme="minorHAnsi" w:cstheme="minorBidi"/>
          <w:noProof/>
          <w:szCs w:val="22"/>
          <w:lang w:val="en-CA"/>
        </w:rPr>
      </w:pPr>
      <w:hyperlink w:anchor="_Toc79657925" w:history="1">
        <w:r w:rsidR="003B082C" w:rsidRPr="00BB704C">
          <w:rPr>
            <w:rStyle w:val="Hyperlink"/>
            <w:noProof/>
            <w:lang w:val="en-CA"/>
          </w:rPr>
          <w:t>1.3.6</w:t>
        </w:r>
        <w:r w:rsidR="003B082C">
          <w:rPr>
            <w:rFonts w:asciiTheme="minorHAnsi" w:eastAsiaTheme="minorEastAsia" w:hAnsiTheme="minorHAnsi" w:cstheme="minorBidi"/>
            <w:noProof/>
            <w:szCs w:val="22"/>
            <w:lang w:val="en-CA"/>
          </w:rPr>
          <w:tab/>
        </w:r>
        <w:r w:rsidR="003B082C" w:rsidRPr="00BB704C">
          <w:rPr>
            <w:rStyle w:val="Hyperlink"/>
            <w:noProof/>
            <w:lang w:val="en-CA"/>
          </w:rPr>
          <w:t>Data Files for Transmission Services Charges</w:t>
        </w:r>
        <w:r w:rsidR="003B082C">
          <w:rPr>
            <w:noProof/>
            <w:webHidden/>
          </w:rPr>
          <w:tab/>
        </w:r>
        <w:r w:rsidR="003B082C">
          <w:rPr>
            <w:noProof/>
            <w:webHidden/>
          </w:rPr>
          <w:fldChar w:fldCharType="begin"/>
        </w:r>
        <w:r w:rsidR="003B082C">
          <w:rPr>
            <w:noProof/>
            <w:webHidden/>
          </w:rPr>
          <w:instrText xml:space="preserve"> PAGEREF _Toc79657925 \h </w:instrText>
        </w:r>
        <w:r w:rsidR="003B082C">
          <w:rPr>
            <w:noProof/>
            <w:webHidden/>
          </w:rPr>
        </w:r>
        <w:r w:rsidR="003B082C">
          <w:rPr>
            <w:noProof/>
            <w:webHidden/>
          </w:rPr>
          <w:fldChar w:fldCharType="separate"/>
        </w:r>
        <w:r w:rsidR="003B082C">
          <w:rPr>
            <w:noProof/>
            <w:webHidden/>
          </w:rPr>
          <w:t>11</w:t>
        </w:r>
        <w:r w:rsidR="003B082C">
          <w:rPr>
            <w:noProof/>
            <w:webHidden/>
          </w:rPr>
          <w:fldChar w:fldCharType="end"/>
        </w:r>
      </w:hyperlink>
    </w:p>
    <w:p w14:paraId="17E5F004" w14:textId="577B11F8" w:rsidR="003B082C" w:rsidRDefault="005C5CD4">
      <w:pPr>
        <w:pStyle w:val="TOC2"/>
        <w:rPr>
          <w:rFonts w:asciiTheme="minorHAnsi" w:eastAsiaTheme="minorEastAsia" w:hAnsiTheme="minorHAnsi" w:cstheme="minorBidi"/>
          <w:szCs w:val="22"/>
          <w:lang w:val="en-CA"/>
        </w:rPr>
      </w:pPr>
      <w:hyperlink w:anchor="_Toc79657926" w:history="1">
        <w:r w:rsidR="003B082C" w:rsidRPr="00BB704C">
          <w:rPr>
            <w:rStyle w:val="Hyperlink"/>
            <w:lang w:val="en-CA"/>
          </w:rPr>
          <w:t>1.4</w:t>
        </w:r>
        <w:r w:rsidR="003B082C">
          <w:rPr>
            <w:rFonts w:asciiTheme="minorHAnsi" w:eastAsiaTheme="minorEastAsia" w:hAnsiTheme="minorHAnsi" w:cstheme="minorBidi"/>
            <w:szCs w:val="22"/>
            <w:lang w:val="en-CA"/>
          </w:rPr>
          <w:tab/>
        </w:r>
        <w:r w:rsidR="003B082C" w:rsidRPr="00BB704C">
          <w:rPr>
            <w:rStyle w:val="Hyperlink"/>
            <w:lang w:val="en-CA"/>
          </w:rPr>
          <w:t>Settlement Delays</w:t>
        </w:r>
        <w:r w:rsidR="003B082C">
          <w:rPr>
            <w:webHidden/>
          </w:rPr>
          <w:tab/>
        </w:r>
        <w:r w:rsidR="003B082C">
          <w:rPr>
            <w:webHidden/>
          </w:rPr>
          <w:fldChar w:fldCharType="begin"/>
        </w:r>
        <w:r w:rsidR="003B082C">
          <w:rPr>
            <w:webHidden/>
          </w:rPr>
          <w:instrText xml:space="preserve"> PAGEREF _Toc79657926 \h </w:instrText>
        </w:r>
        <w:r w:rsidR="003B082C">
          <w:rPr>
            <w:webHidden/>
          </w:rPr>
        </w:r>
        <w:r w:rsidR="003B082C">
          <w:rPr>
            <w:webHidden/>
          </w:rPr>
          <w:fldChar w:fldCharType="separate"/>
        </w:r>
        <w:r w:rsidR="003B082C">
          <w:rPr>
            <w:webHidden/>
          </w:rPr>
          <w:t>12</w:t>
        </w:r>
        <w:r w:rsidR="003B082C">
          <w:rPr>
            <w:webHidden/>
          </w:rPr>
          <w:fldChar w:fldCharType="end"/>
        </w:r>
      </w:hyperlink>
    </w:p>
    <w:p w14:paraId="6B3586F8" w14:textId="2568738A" w:rsidR="003B082C" w:rsidRDefault="005C5CD4">
      <w:pPr>
        <w:pStyle w:val="TOC3"/>
        <w:rPr>
          <w:rFonts w:asciiTheme="minorHAnsi" w:eastAsiaTheme="minorEastAsia" w:hAnsiTheme="minorHAnsi" w:cstheme="minorBidi"/>
          <w:noProof/>
          <w:szCs w:val="22"/>
          <w:lang w:val="en-CA"/>
        </w:rPr>
      </w:pPr>
      <w:hyperlink w:anchor="_Toc79657927" w:history="1">
        <w:r w:rsidR="003B082C" w:rsidRPr="00BB704C">
          <w:rPr>
            <w:rStyle w:val="Hyperlink"/>
            <w:noProof/>
            <w:lang w:val="en-CA"/>
          </w:rPr>
          <w:t>1.4.1</w:t>
        </w:r>
        <w:r w:rsidR="003B082C">
          <w:rPr>
            <w:rFonts w:asciiTheme="minorHAnsi" w:eastAsiaTheme="minorEastAsia" w:hAnsiTheme="minorHAnsi" w:cstheme="minorBidi"/>
            <w:noProof/>
            <w:szCs w:val="22"/>
            <w:lang w:val="en-CA"/>
          </w:rPr>
          <w:tab/>
        </w:r>
        <w:r w:rsidR="003B082C" w:rsidRPr="00BB704C">
          <w:rPr>
            <w:rStyle w:val="Hyperlink"/>
            <w:noProof/>
            <w:lang w:val="en-CA"/>
          </w:rPr>
          <w:t>Delay in Issuing Settlement Statements</w:t>
        </w:r>
        <w:r w:rsidR="003B082C">
          <w:rPr>
            <w:noProof/>
            <w:webHidden/>
          </w:rPr>
          <w:tab/>
        </w:r>
        <w:r w:rsidR="003B082C">
          <w:rPr>
            <w:noProof/>
            <w:webHidden/>
          </w:rPr>
          <w:fldChar w:fldCharType="begin"/>
        </w:r>
        <w:r w:rsidR="003B082C">
          <w:rPr>
            <w:noProof/>
            <w:webHidden/>
          </w:rPr>
          <w:instrText xml:space="preserve"> PAGEREF _Toc79657927 \h </w:instrText>
        </w:r>
        <w:r w:rsidR="003B082C">
          <w:rPr>
            <w:noProof/>
            <w:webHidden/>
          </w:rPr>
        </w:r>
        <w:r w:rsidR="003B082C">
          <w:rPr>
            <w:noProof/>
            <w:webHidden/>
          </w:rPr>
          <w:fldChar w:fldCharType="separate"/>
        </w:r>
        <w:r w:rsidR="003B082C">
          <w:rPr>
            <w:noProof/>
            <w:webHidden/>
          </w:rPr>
          <w:t>12</w:t>
        </w:r>
        <w:r w:rsidR="003B082C">
          <w:rPr>
            <w:noProof/>
            <w:webHidden/>
          </w:rPr>
          <w:fldChar w:fldCharType="end"/>
        </w:r>
      </w:hyperlink>
    </w:p>
    <w:p w14:paraId="7F87B6CD" w14:textId="6EA7BD29" w:rsidR="003B082C" w:rsidRDefault="005C5CD4">
      <w:pPr>
        <w:pStyle w:val="TOC3"/>
        <w:rPr>
          <w:rFonts w:asciiTheme="minorHAnsi" w:eastAsiaTheme="minorEastAsia" w:hAnsiTheme="minorHAnsi" w:cstheme="minorBidi"/>
          <w:noProof/>
          <w:szCs w:val="22"/>
          <w:lang w:val="en-CA"/>
        </w:rPr>
      </w:pPr>
      <w:hyperlink w:anchor="_Toc79657928" w:history="1">
        <w:r w:rsidR="003B082C" w:rsidRPr="00BB704C">
          <w:rPr>
            <w:rStyle w:val="Hyperlink"/>
            <w:noProof/>
            <w:snapToGrid w:val="0"/>
            <w:lang w:val="en-CA" w:eastAsia="en-US"/>
          </w:rPr>
          <w:t>1.4.2</w:t>
        </w:r>
        <w:r w:rsidR="003B082C">
          <w:rPr>
            <w:rFonts w:asciiTheme="minorHAnsi" w:eastAsiaTheme="minorEastAsia" w:hAnsiTheme="minorHAnsi" w:cstheme="minorBidi"/>
            <w:noProof/>
            <w:szCs w:val="22"/>
            <w:lang w:val="en-CA"/>
          </w:rPr>
          <w:tab/>
        </w:r>
        <w:r w:rsidR="003B082C" w:rsidRPr="00BB704C">
          <w:rPr>
            <w:rStyle w:val="Hyperlink"/>
            <w:noProof/>
            <w:snapToGrid w:val="0"/>
            <w:lang w:val="en-CA" w:eastAsia="en-US"/>
          </w:rPr>
          <w:t>Failure of Communication System</w:t>
        </w:r>
        <w:r w:rsidR="003B082C">
          <w:rPr>
            <w:noProof/>
            <w:webHidden/>
          </w:rPr>
          <w:tab/>
        </w:r>
        <w:r w:rsidR="003B082C">
          <w:rPr>
            <w:noProof/>
            <w:webHidden/>
          </w:rPr>
          <w:fldChar w:fldCharType="begin"/>
        </w:r>
        <w:r w:rsidR="003B082C">
          <w:rPr>
            <w:noProof/>
            <w:webHidden/>
          </w:rPr>
          <w:instrText xml:space="preserve"> PAGEREF _Toc79657928 \h </w:instrText>
        </w:r>
        <w:r w:rsidR="003B082C">
          <w:rPr>
            <w:noProof/>
            <w:webHidden/>
          </w:rPr>
        </w:r>
        <w:r w:rsidR="003B082C">
          <w:rPr>
            <w:noProof/>
            <w:webHidden/>
          </w:rPr>
          <w:fldChar w:fldCharType="separate"/>
        </w:r>
        <w:r w:rsidR="003B082C">
          <w:rPr>
            <w:noProof/>
            <w:webHidden/>
          </w:rPr>
          <w:t>13</w:t>
        </w:r>
        <w:r w:rsidR="003B082C">
          <w:rPr>
            <w:noProof/>
            <w:webHidden/>
          </w:rPr>
          <w:fldChar w:fldCharType="end"/>
        </w:r>
      </w:hyperlink>
    </w:p>
    <w:p w14:paraId="147CC718" w14:textId="0854AE9E" w:rsidR="003B082C" w:rsidRDefault="005C5CD4">
      <w:pPr>
        <w:pStyle w:val="TOC2"/>
        <w:rPr>
          <w:rFonts w:asciiTheme="minorHAnsi" w:eastAsiaTheme="minorEastAsia" w:hAnsiTheme="minorHAnsi" w:cstheme="minorBidi"/>
          <w:szCs w:val="22"/>
          <w:lang w:val="en-CA"/>
        </w:rPr>
      </w:pPr>
      <w:hyperlink w:anchor="_Toc79657929" w:history="1">
        <w:r w:rsidR="003B082C" w:rsidRPr="00BB704C">
          <w:rPr>
            <w:rStyle w:val="Hyperlink"/>
            <w:lang w:val="en-CA"/>
          </w:rPr>
          <w:t>1.5</w:t>
        </w:r>
        <w:r w:rsidR="003B082C">
          <w:rPr>
            <w:rFonts w:asciiTheme="minorHAnsi" w:eastAsiaTheme="minorEastAsia" w:hAnsiTheme="minorHAnsi" w:cstheme="minorBidi"/>
            <w:szCs w:val="22"/>
            <w:lang w:val="en-CA"/>
          </w:rPr>
          <w:tab/>
        </w:r>
        <w:r w:rsidR="003B082C" w:rsidRPr="00BB704C">
          <w:rPr>
            <w:rStyle w:val="Hyperlink"/>
            <w:lang w:val="en-CA"/>
          </w:rPr>
          <w:t>Optional Measurement Data Records</w:t>
        </w:r>
        <w:r w:rsidR="003B082C">
          <w:rPr>
            <w:webHidden/>
          </w:rPr>
          <w:tab/>
        </w:r>
        <w:r w:rsidR="003B082C">
          <w:rPr>
            <w:webHidden/>
          </w:rPr>
          <w:fldChar w:fldCharType="begin"/>
        </w:r>
        <w:r w:rsidR="003B082C">
          <w:rPr>
            <w:webHidden/>
          </w:rPr>
          <w:instrText xml:space="preserve"> PAGEREF _Toc79657929 \h </w:instrText>
        </w:r>
        <w:r w:rsidR="003B082C">
          <w:rPr>
            <w:webHidden/>
          </w:rPr>
        </w:r>
        <w:r w:rsidR="003B082C">
          <w:rPr>
            <w:webHidden/>
          </w:rPr>
          <w:fldChar w:fldCharType="separate"/>
        </w:r>
        <w:r w:rsidR="003B082C">
          <w:rPr>
            <w:webHidden/>
          </w:rPr>
          <w:t>13</w:t>
        </w:r>
        <w:r w:rsidR="003B082C">
          <w:rPr>
            <w:webHidden/>
          </w:rPr>
          <w:fldChar w:fldCharType="end"/>
        </w:r>
      </w:hyperlink>
    </w:p>
    <w:p w14:paraId="11EE977F" w14:textId="0729E820" w:rsidR="003B082C" w:rsidRDefault="005C5CD4">
      <w:pPr>
        <w:pStyle w:val="TOC2"/>
        <w:rPr>
          <w:rFonts w:asciiTheme="minorHAnsi" w:eastAsiaTheme="minorEastAsia" w:hAnsiTheme="minorHAnsi" w:cstheme="minorBidi"/>
          <w:szCs w:val="22"/>
          <w:lang w:val="en-CA"/>
        </w:rPr>
      </w:pPr>
      <w:hyperlink w:anchor="_Toc79657930" w:history="1">
        <w:r w:rsidR="003B082C" w:rsidRPr="00BB704C">
          <w:rPr>
            <w:rStyle w:val="Hyperlink"/>
            <w:lang w:val="en-CA"/>
          </w:rPr>
          <w:t>1.6</w:t>
        </w:r>
        <w:r w:rsidR="003B082C">
          <w:rPr>
            <w:rFonts w:asciiTheme="minorHAnsi" w:eastAsiaTheme="minorEastAsia" w:hAnsiTheme="minorHAnsi" w:cstheme="minorBidi"/>
            <w:szCs w:val="22"/>
            <w:lang w:val="en-CA"/>
          </w:rPr>
          <w:tab/>
        </w:r>
        <w:r w:rsidR="003B082C" w:rsidRPr="00BB704C">
          <w:rPr>
            <w:rStyle w:val="Hyperlink"/>
            <w:lang w:val="en-CA"/>
          </w:rPr>
          <w:t>Special Settlement Activities</w:t>
        </w:r>
        <w:r w:rsidR="003B082C">
          <w:rPr>
            <w:webHidden/>
          </w:rPr>
          <w:tab/>
        </w:r>
        <w:r w:rsidR="003B082C">
          <w:rPr>
            <w:webHidden/>
          </w:rPr>
          <w:fldChar w:fldCharType="begin"/>
        </w:r>
        <w:r w:rsidR="003B082C">
          <w:rPr>
            <w:webHidden/>
          </w:rPr>
          <w:instrText xml:space="preserve"> PAGEREF _Toc79657930 \h </w:instrText>
        </w:r>
        <w:r w:rsidR="003B082C">
          <w:rPr>
            <w:webHidden/>
          </w:rPr>
        </w:r>
        <w:r w:rsidR="003B082C">
          <w:rPr>
            <w:webHidden/>
          </w:rPr>
          <w:fldChar w:fldCharType="separate"/>
        </w:r>
        <w:r w:rsidR="003B082C">
          <w:rPr>
            <w:webHidden/>
          </w:rPr>
          <w:t>13</w:t>
        </w:r>
        <w:r w:rsidR="003B082C">
          <w:rPr>
            <w:webHidden/>
          </w:rPr>
          <w:fldChar w:fldCharType="end"/>
        </w:r>
      </w:hyperlink>
    </w:p>
    <w:p w14:paraId="0936AA53" w14:textId="6E5A5D17" w:rsidR="003B082C" w:rsidRDefault="005C5CD4">
      <w:pPr>
        <w:pStyle w:val="TOC3"/>
        <w:rPr>
          <w:rFonts w:asciiTheme="minorHAnsi" w:eastAsiaTheme="minorEastAsia" w:hAnsiTheme="minorHAnsi" w:cstheme="minorBidi"/>
          <w:noProof/>
          <w:szCs w:val="22"/>
          <w:lang w:val="en-CA"/>
        </w:rPr>
      </w:pPr>
      <w:hyperlink w:anchor="_Toc79657931" w:history="1">
        <w:r w:rsidR="003B082C" w:rsidRPr="00BB704C">
          <w:rPr>
            <w:rStyle w:val="Hyperlink"/>
            <w:noProof/>
            <w:lang w:val="en-CA"/>
          </w:rPr>
          <w:t>1.6.1</w:t>
        </w:r>
        <w:r w:rsidR="003B082C">
          <w:rPr>
            <w:rFonts w:asciiTheme="minorHAnsi" w:eastAsiaTheme="minorEastAsia" w:hAnsiTheme="minorHAnsi" w:cstheme="minorBidi"/>
            <w:noProof/>
            <w:szCs w:val="22"/>
            <w:lang w:val="en-CA"/>
          </w:rPr>
          <w:tab/>
        </w:r>
        <w:r w:rsidR="003B082C" w:rsidRPr="00BB704C">
          <w:rPr>
            <w:rStyle w:val="Hyperlink"/>
            <w:noProof/>
            <w:lang w:val="en-CA"/>
          </w:rPr>
          <w:t>Generation Station Service Rebate</w:t>
        </w:r>
        <w:r w:rsidR="003B082C">
          <w:rPr>
            <w:noProof/>
            <w:webHidden/>
          </w:rPr>
          <w:tab/>
        </w:r>
        <w:r w:rsidR="003B082C">
          <w:rPr>
            <w:noProof/>
            <w:webHidden/>
          </w:rPr>
          <w:fldChar w:fldCharType="begin"/>
        </w:r>
        <w:r w:rsidR="003B082C">
          <w:rPr>
            <w:noProof/>
            <w:webHidden/>
          </w:rPr>
          <w:instrText xml:space="preserve"> PAGEREF _Toc79657931 \h </w:instrText>
        </w:r>
        <w:r w:rsidR="003B082C">
          <w:rPr>
            <w:noProof/>
            <w:webHidden/>
          </w:rPr>
        </w:r>
        <w:r w:rsidR="003B082C">
          <w:rPr>
            <w:noProof/>
            <w:webHidden/>
          </w:rPr>
          <w:fldChar w:fldCharType="separate"/>
        </w:r>
        <w:r w:rsidR="003B082C">
          <w:rPr>
            <w:noProof/>
            <w:webHidden/>
          </w:rPr>
          <w:t>13</w:t>
        </w:r>
        <w:r w:rsidR="003B082C">
          <w:rPr>
            <w:noProof/>
            <w:webHidden/>
          </w:rPr>
          <w:fldChar w:fldCharType="end"/>
        </w:r>
      </w:hyperlink>
    </w:p>
    <w:p w14:paraId="1130D4B3" w14:textId="3CB02571" w:rsidR="003B082C" w:rsidRDefault="005C5CD4">
      <w:pPr>
        <w:pStyle w:val="TOC3"/>
        <w:rPr>
          <w:rFonts w:asciiTheme="minorHAnsi" w:eastAsiaTheme="minorEastAsia" w:hAnsiTheme="minorHAnsi" w:cstheme="minorBidi"/>
          <w:noProof/>
          <w:szCs w:val="22"/>
          <w:lang w:val="en-CA"/>
        </w:rPr>
      </w:pPr>
      <w:hyperlink w:anchor="_Toc79657932" w:history="1">
        <w:r w:rsidR="003B082C" w:rsidRPr="00BB704C">
          <w:rPr>
            <w:rStyle w:val="Hyperlink"/>
            <w:noProof/>
            <w:lang w:val="en-CA"/>
          </w:rPr>
          <w:t>1.6.1A Electricity Storage Station Service Rebate</w:t>
        </w:r>
        <w:r w:rsidR="003B082C">
          <w:rPr>
            <w:noProof/>
            <w:webHidden/>
          </w:rPr>
          <w:tab/>
        </w:r>
        <w:r w:rsidR="003B082C">
          <w:rPr>
            <w:noProof/>
            <w:webHidden/>
          </w:rPr>
          <w:fldChar w:fldCharType="begin"/>
        </w:r>
        <w:r w:rsidR="003B082C">
          <w:rPr>
            <w:noProof/>
            <w:webHidden/>
          </w:rPr>
          <w:instrText xml:space="preserve"> PAGEREF _Toc79657932 \h </w:instrText>
        </w:r>
        <w:r w:rsidR="003B082C">
          <w:rPr>
            <w:noProof/>
            <w:webHidden/>
          </w:rPr>
        </w:r>
        <w:r w:rsidR="003B082C">
          <w:rPr>
            <w:noProof/>
            <w:webHidden/>
          </w:rPr>
          <w:fldChar w:fldCharType="separate"/>
        </w:r>
        <w:r w:rsidR="003B082C">
          <w:rPr>
            <w:noProof/>
            <w:webHidden/>
          </w:rPr>
          <w:t>14</w:t>
        </w:r>
        <w:r w:rsidR="003B082C">
          <w:rPr>
            <w:noProof/>
            <w:webHidden/>
          </w:rPr>
          <w:fldChar w:fldCharType="end"/>
        </w:r>
      </w:hyperlink>
    </w:p>
    <w:p w14:paraId="195C8064" w14:textId="5FF4E3B2" w:rsidR="003B082C" w:rsidRDefault="005C5CD4">
      <w:pPr>
        <w:pStyle w:val="TOC3"/>
        <w:rPr>
          <w:rFonts w:asciiTheme="minorHAnsi" w:eastAsiaTheme="minorEastAsia" w:hAnsiTheme="minorHAnsi" w:cstheme="minorBidi"/>
          <w:noProof/>
          <w:szCs w:val="22"/>
          <w:lang w:val="en-CA"/>
        </w:rPr>
      </w:pPr>
      <w:hyperlink w:anchor="_Toc79657933" w:history="1">
        <w:r w:rsidR="003B082C" w:rsidRPr="00BB704C">
          <w:rPr>
            <w:rStyle w:val="Hyperlink"/>
            <w:noProof/>
            <w:lang w:val="en-CA"/>
          </w:rPr>
          <w:t>1.6.2</w:t>
        </w:r>
        <w:r w:rsidR="003B082C">
          <w:rPr>
            <w:rFonts w:asciiTheme="minorHAnsi" w:eastAsiaTheme="minorEastAsia" w:hAnsiTheme="minorHAnsi" w:cstheme="minorBidi"/>
            <w:noProof/>
            <w:szCs w:val="22"/>
            <w:lang w:val="en-CA"/>
          </w:rPr>
          <w:tab/>
        </w:r>
        <w:r w:rsidR="003B082C" w:rsidRPr="00BB704C">
          <w:rPr>
            <w:rStyle w:val="Hyperlink"/>
            <w:noProof/>
            <w:lang w:val="en-CA"/>
          </w:rPr>
          <w:t>Intentionally Left Blank</w:t>
        </w:r>
        <w:r w:rsidR="003B082C">
          <w:rPr>
            <w:noProof/>
            <w:webHidden/>
          </w:rPr>
          <w:tab/>
        </w:r>
        <w:r w:rsidR="003B082C">
          <w:rPr>
            <w:noProof/>
            <w:webHidden/>
          </w:rPr>
          <w:fldChar w:fldCharType="begin"/>
        </w:r>
        <w:r w:rsidR="003B082C">
          <w:rPr>
            <w:noProof/>
            <w:webHidden/>
          </w:rPr>
          <w:instrText xml:space="preserve"> PAGEREF _Toc79657933 \h </w:instrText>
        </w:r>
        <w:r w:rsidR="003B082C">
          <w:rPr>
            <w:noProof/>
            <w:webHidden/>
          </w:rPr>
        </w:r>
        <w:r w:rsidR="003B082C">
          <w:rPr>
            <w:noProof/>
            <w:webHidden/>
          </w:rPr>
          <w:fldChar w:fldCharType="separate"/>
        </w:r>
        <w:r w:rsidR="003B082C">
          <w:rPr>
            <w:noProof/>
            <w:webHidden/>
          </w:rPr>
          <w:t>15</w:t>
        </w:r>
        <w:r w:rsidR="003B082C">
          <w:rPr>
            <w:noProof/>
            <w:webHidden/>
          </w:rPr>
          <w:fldChar w:fldCharType="end"/>
        </w:r>
      </w:hyperlink>
    </w:p>
    <w:p w14:paraId="0CB639FF" w14:textId="2D5E85FF" w:rsidR="003B082C" w:rsidRDefault="005C5CD4">
      <w:pPr>
        <w:pStyle w:val="TOC3"/>
        <w:rPr>
          <w:rFonts w:asciiTheme="minorHAnsi" w:eastAsiaTheme="minorEastAsia" w:hAnsiTheme="minorHAnsi" w:cstheme="minorBidi"/>
          <w:noProof/>
          <w:szCs w:val="22"/>
          <w:lang w:val="en-CA"/>
        </w:rPr>
      </w:pPr>
      <w:hyperlink w:anchor="_Toc79657934" w:history="1">
        <w:r w:rsidR="003B082C" w:rsidRPr="00BB704C">
          <w:rPr>
            <w:rStyle w:val="Hyperlink"/>
            <w:noProof/>
            <w:lang w:val="en-CA"/>
          </w:rPr>
          <w:t>1.6.3</w:t>
        </w:r>
        <w:r w:rsidR="003B082C">
          <w:rPr>
            <w:rFonts w:asciiTheme="minorHAnsi" w:eastAsiaTheme="minorEastAsia" w:hAnsiTheme="minorHAnsi" w:cstheme="minorBidi"/>
            <w:noProof/>
            <w:szCs w:val="22"/>
            <w:lang w:val="en-CA"/>
          </w:rPr>
          <w:tab/>
        </w:r>
        <w:r w:rsidR="003B082C" w:rsidRPr="00BB704C">
          <w:rPr>
            <w:rStyle w:val="Hyperlink"/>
            <w:noProof/>
          </w:rPr>
          <w:t>Intentionally Left Blank</w:t>
        </w:r>
        <w:r w:rsidR="003B082C">
          <w:rPr>
            <w:noProof/>
            <w:webHidden/>
          </w:rPr>
          <w:tab/>
        </w:r>
        <w:r w:rsidR="003B082C">
          <w:rPr>
            <w:noProof/>
            <w:webHidden/>
          </w:rPr>
          <w:fldChar w:fldCharType="begin"/>
        </w:r>
        <w:r w:rsidR="003B082C">
          <w:rPr>
            <w:noProof/>
            <w:webHidden/>
          </w:rPr>
          <w:instrText xml:space="preserve"> PAGEREF _Toc79657934 \h </w:instrText>
        </w:r>
        <w:r w:rsidR="003B082C">
          <w:rPr>
            <w:noProof/>
            <w:webHidden/>
          </w:rPr>
        </w:r>
        <w:r w:rsidR="003B082C">
          <w:rPr>
            <w:noProof/>
            <w:webHidden/>
          </w:rPr>
          <w:fldChar w:fldCharType="separate"/>
        </w:r>
        <w:r w:rsidR="003B082C">
          <w:rPr>
            <w:noProof/>
            <w:webHidden/>
          </w:rPr>
          <w:t>15</w:t>
        </w:r>
        <w:r w:rsidR="003B082C">
          <w:rPr>
            <w:noProof/>
            <w:webHidden/>
          </w:rPr>
          <w:fldChar w:fldCharType="end"/>
        </w:r>
      </w:hyperlink>
    </w:p>
    <w:p w14:paraId="45DBB1EB" w14:textId="3F6AB780" w:rsidR="003B082C" w:rsidRDefault="005C5CD4">
      <w:pPr>
        <w:pStyle w:val="TOC3"/>
        <w:rPr>
          <w:rFonts w:asciiTheme="minorHAnsi" w:eastAsiaTheme="minorEastAsia" w:hAnsiTheme="minorHAnsi" w:cstheme="minorBidi"/>
          <w:noProof/>
          <w:szCs w:val="22"/>
          <w:lang w:val="en-CA"/>
        </w:rPr>
      </w:pPr>
      <w:hyperlink w:anchor="_Toc79657935" w:history="1">
        <w:r w:rsidR="003B082C" w:rsidRPr="00BB704C">
          <w:rPr>
            <w:rStyle w:val="Hyperlink"/>
            <w:noProof/>
            <w:lang w:val="en-CA"/>
          </w:rPr>
          <w:t>1.6.4</w:t>
        </w:r>
        <w:r w:rsidR="003B082C">
          <w:rPr>
            <w:rFonts w:asciiTheme="minorHAnsi" w:eastAsiaTheme="minorEastAsia" w:hAnsiTheme="minorHAnsi" w:cstheme="minorBidi"/>
            <w:noProof/>
            <w:szCs w:val="22"/>
            <w:lang w:val="en-CA"/>
          </w:rPr>
          <w:tab/>
        </w:r>
        <w:r w:rsidR="003B082C" w:rsidRPr="00BB704C">
          <w:rPr>
            <w:rStyle w:val="Hyperlink"/>
            <w:noProof/>
          </w:rPr>
          <w:t>Intentionally Left Blank</w:t>
        </w:r>
        <w:r w:rsidR="003B082C">
          <w:rPr>
            <w:noProof/>
            <w:webHidden/>
          </w:rPr>
          <w:tab/>
        </w:r>
        <w:r w:rsidR="003B082C">
          <w:rPr>
            <w:noProof/>
            <w:webHidden/>
          </w:rPr>
          <w:fldChar w:fldCharType="begin"/>
        </w:r>
        <w:r w:rsidR="003B082C">
          <w:rPr>
            <w:noProof/>
            <w:webHidden/>
          </w:rPr>
          <w:instrText xml:space="preserve"> PAGEREF _Toc79657935 \h </w:instrText>
        </w:r>
        <w:r w:rsidR="003B082C">
          <w:rPr>
            <w:noProof/>
            <w:webHidden/>
          </w:rPr>
        </w:r>
        <w:r w:rsidR="003B082C">
          <w:rPr>
            <w:noProof/>
            <w:webHidden/>
          </w:rPr>
          <w:fldChar w:fldCharType="separate"/>
        </w:r>
        <w:r w:rsidR="003B082C">
          <w:rPr>
            <w:noProof/>
            <w:webHidden/>
          </w:rPr>
          <w:t>15</w:t>
        </w:r>
        <w:r w:rsidR="003B082C">
          <w:rPr>
            <w:noProof/>
            <w:webHidden/>
          </w:rPr>
          <w:fldChar w:fldCharType="end"/>
        </w:r>
      </w:hyperlink>
    </w:p>
    <w:p w14:paraId="18456CC0" w14:textId="3926080E" w:rsidR="003B082C" w:rsidRDefault="005C5CD4">
      <w:pPr>
        <w:pStyle w:val="TOC3"/>
        <w:rPr>
          <w:rFonts w:asciiTheme="minorHAnsi" w:eastAsiaTheme="minorEastAsia" w:hAnsiTheme="minorHAnsi" w:cstheme="minorBidi"/>
          <w:noProof/>
          <w:szCs w:val="22"/>
          <w:lang w:val="en-CA"/>
        </w:rPr>
      </w:pPr>
      <w:hyperlink w:anchor="_Toc79657936" w:history="1">
        <w:r w:rsidR="003B082C" w:rsidRPr="00BB704C">
          <w:rPr>
            <w:rStyle w:val="Hyperlink"/>
            <w:noProof/>
            <w:lang w:val="en-CA"/>
          </w:rPr>
          <w:t>1.6.5</w:t>
        </w:r>
        <w:r w:rsidR="003B082C">
          <w:rPr>
            <w:rFonts w:asciiTheme="minorHAnsi" w:eastAsiaTheme="minorEastAsia" w:hAnsiTheme="minorHAnsi" w:cstheme="minorBidi"/>
            <w:noProof/>
            <w:szCs w:val="22"/>
            <w:lang w:val="en-CA"/>
          </w:rPr>
          <w:tab/>
        </w:r>
        <w:r w:rsidR="003B082C" w:rsidRPr="00BB704C">
          <w:rPr>
            <w:rStyle w:val="Hyperlink"/>
            <w:noProof/>
            <w:lang w:val="en-CA"/>
          </w:rPr>
          <w:t>Administrative Pricing Event</w:t>
        </w:r>
        <w:r w:rsidR="003B082C">
          <w:rPr>
            <w:noProof/>
            <w:webHidden/>
          </w:rPr>
          <w:tab/>
        </w:r>
        <w:r w:rsidR="003B082C">
          <w:rPr>
            <w:noProof/>
            <w:webHidden/>
          </w:rPr>
          <w:fldChar w:fldCharType="begin"/>
        </w:r>
        <w:r w:rsidR="003B082C">
          <w:rPr>
            <w:noProof/>
            <w:webHidden/>
          </w:rPr>
          <w:instrText xml:space="preserve"> PAGEREF _Toc79657936 \h </w:instrText>
        </w:r>
        <w:r w:rsidR="003B082C">
          <w:rPr>
            <w:noProof/>
            <w:webHidden/>
          </w:rPr>
        </w:r>
        <w:r w:rsidR="003B082C">
          <w:rPr>
            <w:noProof/>
            <w:webHidden/>
          </w:rPr>
          <w:fldChar w:fldCharType="separate"/>
        </w:r>
        <w:r w:rsidR="003B082C">
          <w:rPr>
            <w:noProof/>
            <w:webHidden/>
          </w:rPr>
          <w:t>16</w:t>
        </w:r>
        <w:r w:rsidR="003B082C">
          <w:rPr>
            <w:noProof/>
            <w:webHidden/>
          </w:rPr>
          <w:fldChar w:fldCharType="end"/>
        </w:r>
      </w:hyperlink>
    </w:p>
    <w:p w14:paraId="3A69B633" w14:textId="0A4D0644" w:rsidR="003B082C" w:rsidRDefault="005C5CD4">
      <w:pPr>
        <w:pStyle w:val="TOC3"/>
        <w:rPr>
          <w:rFonts w:asciiTheme="minorHAnsi" w:eastAsiaTheme="minorEastAsia" w:hAnsiTheme="minorHAnsi" w:cstheme="minorBidi"/>
          <w:noProof/>
          <w:szCs w:val="22"/>
          <w:lang w:val="en-CA"/>
        </w:rPr>
      </w:pPr>
      <w:hyperlink w:anchor="_Toc79657937" w:history="1">
        <w:r w:rsidR="003B082C" w:rsidRPr="00BB704C">
          <w:rPr>
            <w:rStyle w:val="Hyperlink"/>
            <w:noProof/>
            <w:lang w:val="en-CA"/>
          </w:rPr>
          <w:t>1.6.6</w:t>
        </w:r>
        <w:r w:rsidR="003B082C">
          <w:rPr>
            <w:rFonts w:asciiTheme="minorHAnsi" w:eastAsiaTheme="minorEastAsia" w:hAnsiTheme="minorHAnsi" w:cstheme="minorBidi"/>
            <w:noProof/>
            <w:szCs w:val="22"/>
            <w:lang w:val="en-CA"/>
          </w:rPr>
          <w:tab/>
        </w:r>
        <w:r w:rsidR="003B082C" w:rsidRPr="00BB704C">
          <w:rPr>
            <w:rStyle w:val="Hyperlink"/>
            <w:noProof/>
            <w:lang w:val="en-CA"/>
          </w:rPr>
          <w:t>Transmission Service Charges for Embedded Generation</w:t>
        </w:r>
        <w:r w:rsidR="003B082C">
          <w:rPr>
            <w:noProof/>
            <w:webHidden/>
          </w:rPr>
          <w:tab/>
        </w:r>
        <w:r w:rsidR="003B082C">
          <w:rPr>
            <w:noProof/>
            <w:webHidden/>
          </w:rPr>
          <w:fldChar w:fldCharType="begin"/>
        </w:r>
        <w:r w:rsidR="003B082C">
          <w:rPr>
            <w:noProof/>
            <w:webHidden/>
          </w:rPr>
          <w:instrText xml:space="preserve"> PAGEREF _Toc79657937 \h </w:instrText>
        </w:r>
        <w:r w:rsidR="003B082C">
          <w:rPr>
            <w:noProof/>
            <w:webHidden/>
          </w:rPr>
        </w:r>
        <w:r w:rsidR="003B082C">
          <w:rPr>
            <w:noProof/>
            <w:webHidden/>
          </w:rPr>
          <w:fldChar w:fldCharType="separate"/>
        </w:r>
        <w:r w:rsidR="003B082C">
          <w:rPr>
            <w:noProof/>
            <w:webHidden/>
          </w:rPr>
          <w:t>17</w:t>
        </w:r>
        <w:r w:rsidR="003B082C">
          <w:rPr>
            <w:noProof/>
            <w:webHidden/>
          </w:rPr>
          <w:fldChar w:fldCharType="end"/>
        </w:r>
      </w:hyperlink>
    </w:p>
    <w:p w14:paraId="047FA211" w14:textId="7C9B1B27" w:rsidR="003B082C" w:rsidRDefault="005C5CD4">
      <w:pPr>
        <w:pStyle w:val="TOC3"/>
        <w:rPr>
          <w:rFonts w:asciiTheme="minorHAnsi" w:eastAsiaTheme="minorEastAsia" w:hAnsiTheme="minorHAnsi" w:cstheme="minorBidi"/>
          <w:noProof/>
          <w:szCs w:val="22"/>
          <w:lang w:val="en-CA"/>
        </w:rPr>
      </w:pPr>
      <w:hyperlink w:anchor="_Toc79657938" w:history="1">
        <w:r w:rsidR="003B082C" w:rsidRPr="00BB704C">
          <w:rPr>
            <w:rStyle w:val="Hyperlink"/>
            <w:noProof/>
          </w:rPr>
          <w:t>1.6.7</w:t>
        </w:r>
        <w:r w:rsidR="003B082C">
          <w:rPr>
            <w:rFonts w:asciiTheme="minorHAnsi" w:eastAsiaTheme="minorEastAsia" w:hAnsiTheme="minorHAnsi" w:cstheme="minorBidi"/>
            <w:noProof/>
            <w:szCs w:val="22"/>
            <w:lang w:val="en-CA"/>
          </w:rPr>
          <w:tab/>
        </w:r>
        <w:r w:rsidR="003B082C" w:rsidRPr="00BB704C">
          <w:rPr>
            <w:rStyle w:val="Hyperlink"/>
            <w:noProof/>
          </w:rPr>
          <w:t>Regulated Price Plan, Regulated Generation, NUG Payments and Newly Contracted Generation</w:t>
        </w:r>
        <w:r w:rsidR="003B082C">
          <w:rPr>
            <w:noProof/>
            <w:webHidden/>
          </w:rPr>
          <w:tab/>
        </w:r>
        <w:r w:rsidR="003B082C">
          <w:rPr>
            <w:noProof/>
            <w:webHidden/>
          </w:rPr>
          <w:fldChar w:fldCharType="begin"/>
        </w:r>
        <w:r w:rsidR="003B082C">
          <w:rPr>
            <w:noProof/>
            <w:webHidden/>
          </w:rPr>
          <w:instrText xml:space="preserve"> PAGEREF _Toc79657938 \h </w:instrText>
        </w:r>
        <w:r w:rsidR="003B082C">
          <w:rPr>
            <w:noProof/>
            <w:webHidden/>
          </w:rPr>
        </w:r>
        <w:r w:rsidR="003B082C">
          <w:rPr>
            <w:noProof/>
            <w:webHidden/>
          </w:rPr>
          <w:fldChar w:fldCharType="separate"/>
        </w:r>
        <w:r w:rsidR="003B082C">
          <w:rPr>
            <w:noProof/>
            <w:webHidden/>
          </w:rPr>
          <w:t>18</w:t>
        </w:r>
        <w:r w:rsidR="003B082C">
          <w:rPr>
            <w:noProof/>
            <w:webHidden/>
          </w:rPr>
          <w:fldChar w:fldCharType="end"/>
        </w:r>
      </w:hyperlink>
    </w:p>
    <w:p w14:paraId="2F7909FE" w14:textId="4B4111C8" w:rsidR="003B082C" w:rsidRDefault="005C5CD4">
      <w:pPr>
        <w:pStyle w:val="TOC3"/>
        <w:rPr>
          <w:rFonts w:asciiTheme="minorHAnsi" w:eastAsiaTheme="minorEastAsia" w:hAnsiTheme="minorHAnsi" w:cstheme="minorBidi"/>
          <w:noProof/>
          <w:szCs w:val="22"/>
          <w:lang w:val="en-CA"/>
        </w:rPr>
      </w:pPr>
      <w:hyperlink w:anchor="_Toc79657939" w:history="1">
        <w:r w:rsidR="003B082C" w:rsidRPr="00BB704C">
          <w:rPr>
            <w:rStyle w:val="Hyperlink"/>
            <w:noProof/>
            <w:lang w:val="en-CA"/>
          </w:rPr>
          <w:t>1.6.8</w:t>
        </w:r>
        <w:r w:rsidR="003B082C">
          <w:rPr>
            <w:rFonts w:asciiTheme="minorHAnsi" w:eastAsiaTheme="minorEastAsia" w:hAnsiTheme="minorHAnsi" w:cstheme="minorBidi"/>
            <w:noProof/>
            <w:szCs w:val="22"/>
            <w:lang w:val="en-CA"/>
          </w:rPr>
          <w:tab/>
        </w:r>
        <w:r w:rsidR="003B082C" w:rsidRPr="00BB704C">
          <w:rPr>
            <w:rStyle w:val="Hyperlink"/>
            <w:noProof/>
            <w:lang w:val="en-CA"/>
          </w:rPr>
          <w:t>Limiting CMSC Payments for Exporters and Dispatchable Loads and Electricity Storage Participants</w:t>
        </w:r>
        <w:r w:rsidR="003B082C">
          <w:rPr>
            <w:noProof/>
            <w:webHidden/>
          </w:rPr>
          <w:tab/>
        </w:r>
        <w:r w:rsidR="003B082C">
          <w:rPr>
            <w:noProof/>
            <w:webHidden/>
          </w:rPr>
          <w:fldChar w:fldCharType="begin"/>
        </w:r>
        <w:r w:rsidR="003B082C">
          <w:rPr>
            <w:noProof/>
            <w:webHidden/>
          </w:rPr>
          <w:instrText xml:space="preserve"> PAGEREF _Toc79657939 \h </w:instrText>
        </w:r>
        <w:r w:rsidR="003B082C">
          <w:rPr>
            <w:noProof/>
            <w:webHidden/>
          </w:rPr>
        </w:r>
        <w:r w:rsidR="003B082C">
          <w:rPr>
            <w:noProof/>
            <w:webHidden/>
          </w:rPr>
          <w:fldChar w:fldCharType="separate"/>
        </w:r>
        <w:r w:rsidR="003B082C">
          <w:rPr>
            <w:noProof/>
            <w:webHidden/>
          </w:rPr>
          <w:t>31</w:t>
        </w:r>
        <w:r w:rsidR="003B082C">
          <w:rPr>
            <w:noProof/>
            <w:webHidden/>
          </w:rPr>
          <w:fldChar w:fldCharType="end"/>
        </w:r>
      </w:hyperlink>
    </w:p>
    <w:p w14:paraId="5181285E" w14:textId="2209C60B" w:rsidR="003B082C" w:rsidRDefault="005C5CD4">
      <w:pPr>
        <w:pStyle w:val="TOC3"/>
        <w:rPr>
          <w:rFonts w:asciiTheme="minorHAnsi" w:eastAsiaTheme="minorEastAsia" w:hAnsiTheme="minorHAnsi" w:cstheme="minorBidi"/>
          <w:noProof/>
          <w:szCs w:val="22"/>
          <w:lang w:val="en-CA"/>
        </w:rPr>
      </w:pPr>
      <w:hyperlink w:anchor="_Toc79657940" w:history="1">
        <w:r w:rsidR="003B082C" w:rsidRPr="00BB704C">
          <w:rPr>
            <w:rStyle w:val="Hyperlink"/>
            <w:noProof/>
            <w:lang w:val="en-CA"/>
          </w:rPr>
          <w:t>1.6.9</w:t>
        </w:r>
        <w:r w:rsidR="003B082C">
          <w:rPr>
            <w:rFonts w:asciiTheme="minorHAnsi" w:eastAsiaTheme="minorEastAsia" w:hAnsiTheme="minorHAnsi" w:cstheme="minorBidi"/>
            <w:noProof/>
            <w:szCs w:val="22"/>
            <w:lang w:val="en-CA"/>
          </w:rPr>
          <w:tab/>
        </w:r>
        <w:r w:rsidR="003B082C" w:rsidRPr="00BB704C">
          <w:rPr>
            <w:rStyle w:val="Hyperlink"/>
            <w:noProof/>
            <w:lang w:val="en-CA"/>
          </w:rPr>
          <w:t>Adjustment for Facility-Induced CMSC</w:t>
        </w:r>
        <w:r w:rsidR="003B082C">
          <w:rPr>
            <w:noProof/>
            <w:webHidden/>
          </w:rPr>
          <w:tab/>
        </w:r>
        <w:r w:rsidR="003B082C">
          <w:rPr>
            <w:noProof/>
            <w:webHidden/>
          </w:rPr>
          <w:fldChar w:fldCharType="begin"/>
        </w:r>
        <w:r w:rsidR="003B082C">
          <w:rPr>
            <w:noProof/>
            <w:webHidden/>
          </w:rPr>
          <w:instrText xml:space="preserve"> PAGEREF _Toc79657940 \h </w:instrText>
        </w:r>
        <w:r w:rsidR="003B082C">
          <w:rPr>
            <w:noProof/>
            <w:webHidden/>
          </w:rPr>
        </w:r>
        <w:r w:rsidR="003B082C">
          <w:rPr>
            <w:noProof/>
            <w:webHidden/>
          </w:rPr>
          <w:fldChar w:fldCharType="separate"/>
        </w:r>
        <w:r w:rsidR="003B082C">
          <w:rPr>
            <w:noProof/>
            <w:webHidden/>
          </w:rPr>
          <w:t>32</w:t>
        </w:r>
        <w:r w:rsidR="003B082C">
          <w:rPr>
            <w:noProof/>
            <w:webHidden/>
          </w:rPr>
          <w:fldChar w:fldCharType="end"/>
        </w:r>
      </w:hyperlink>
    </w:p>
    <w:p w14:paraId="62F688D8" w14:textId="5404BA22" w:rsidR="003B082C" w:rsidRDefault="005C5CD4">
      <w:pPr>
        <w:pStyle w:val="TOC3"/>
        <w:rPr>
          <w:rFonts w:asciiTheme="minorHAnsi" w:eastAsiaTheme="minorEastAsia" w:hAnsiTheme="minorHAnsi" w:cstheme="minorBidi"/>
          <w:noProof/>
          <w:szCs w:val="22"/>
          <w:lang w:val="en-CA"/>
        </w:rPr>
      </w:pPr>
      <w:hyperlink w:anchor="_Toc79657941" w:history="1">
        <w:r w:rsidR="003B082C" w:rsidRPr="00BB704C">
          <w:rPr>
            <w:rStyle w:val="Hyperlink"/>
            <w:noProof/>
            <w:lang w:val="en-CA"/>
          </w:rPr>
          <w:t>1.6.10</w:t>
        </w:r>
        <w:r w:rsidR="003B082C">
          <w:rPr>
            <w:rFonts w:asciiTheme="minorHAnsi" w:eastAsiaTheme="minorEastAsia" w:hAnsiTheme="minorHAnsi" w:cstheme="minorBidi"/>
            <w:noProof/>
            <w:szCs w:val="22"/>
            <w:lang w:val="en-CA"/>
          </w:rPr>
          <w:tab/>
        </w:r>
        <w:r w:rsidR="003B082C" w:rsidRPr="00BB704C">
          <w:rPr>
            <w:rStyle w:val="Hyperlink"/>
            <w:noProof/>
            <w:lang w:val="en-CA"/>
          </w:rPr>
          <w:t>Real-time Import Failure Charges and Export Failure Charges</w:t>
        </w:r>
        <w:r w:rsidR="003B082C">
          <w:rPr>
            <w:noProof/>
            <w:webHidden/>
          </w:rPr>
          <w:tab/>
        </w:r>
        <w:r w:rsidR="003B082C">
          <w:rPr>
            <w:noProof/>
            <w:webHidden/>
          </w:rPr>
          <w:fldChar w:fldCharType="begin"/>
        </w:r>
        <w:r w:rsidR="003B082C">
          <w:rPr>
            <w:noProof/>
            <w:webHidden/>
          </w:rPr>
          <w:instrText xml:space="preserve"> PAGEREF _Toc79657941 \h </w:instrText>
        </w:r>
        <w:r w:rsidR="003B082C">
          <w:rPr>
            <w:noProof/>
            <w:webHidden/>
          </w:rPr>
        </w:r>
        <w:r w:rsidR="003B082C">
          <w:rPr>
            <w:noProof/>
            <w:webHidden/>
          </w:rPr>
          <w:fldChar w:fldCharType="separate"/>
        </w:r>
        <w:r w:rsidR="003B082C">
          <w:rPr>
            <w:noProof/>
            <w:webHidden/>
          </w:rPr>
          <w:t>36</w:t>
        </w:r>
        <w:r w:rsidR="003B082C">
          <w:rPr>
            <w:noProof/>
            <w:webHidden/>
          </w:rPr>
          <w:fldChar w:fldCharType="end"/>
        </w:r>
      </w:hyperlink>
    </w:p>
    <w:p w14:paraId="26ECB97C" w14:textId="311D0FAD" w:rsidR="003B082C" w:rsidRDefault="005C5CD4">
      <w:pPr>
        <w:pStyle w:val="TOC3"/>
        <w:rPr>
          <w:rFonts w:asciiTheme="minorHAnsi" w:eastAsiaTheme="minorEastAsia" w:hAnsiTheme="minorHAnsi" w:cstheme="minorBidi"/>
          <w:noProof/>
          <w:szCs w:val="22"/>
          <w:lang w:val="en-CA"/>
        </w:rPr>
      </w:pPr>
      <w:hyperlink w:anchor="_Toc79657942" w:history="1">
        <w:r w:rsidR="003B082C" w:rsidRPr="00BB704C">
          <w:rPr>
            <w:rStyle w:val="Hyperlink"/>
            <w:noProof/>
          </w:rPr>
          <w:t>1.6.11</w:t>
        </w:r>
        <w:r w:rsidR="003B082C">
          <w:rPr>
            <w:rFonts w:asciiTheme="minorHAnsi" w:eastAsiaTheme="minorEastAsia" w:hAnsiTheme="minorHAnsi" w:cstheme="minorBidi"/>
            <w:noProof/>
            <w:szCs w:val="22"/>
            <w:lang w:val="en-CA"/>
          </w:rPr>
          <w:tab/>
        </w:r>
        <w:r w:rsidR="003B082C" w:rsidRPr="00BB704C">
          <w:rPr>
            <w:rStyle w:val="Hyperlink"/>
            <w:noProof/>
          </w:rPr>
          <w:t>Standard Offer Program (SOP)</w:t>
        </w:r>
        <w:r w:rsidR="003B082C">
          <w:rPr>
            <w:noProof/>
            <w:webHidden/>
          </w:rPr>
          <w:tab/>
        </w:r>
        <w:r w:rsidR="003B082C">
          <w:rPr>
            <w:noProof/>
            <w:webHidden/>
          </w:rPr>
          <w:fldChar w:fldCharType="begin"/>
        </w:r>
        <w:r w:rsidR="003B082C">
          <w:rPr>
            <w:noProof/>
            <w:webHidden/>
          </w:rPr>
          <w:instrText xml:space="preserve"> PAGEREF _Toc79657942 \h </w:instrText>
        </w:r>
        <w:r w:rsidR="003B082C">
          <w:rPr>
            <w:noProof/>
            <w:webHidden/>
          </w:rPr>
        </w:r>
        <w:r w:rsidR="003B082C">
          <w:rPr>
            <w:noProof/>
            <w:webHidden/>
          </w:rPr>
          <w:fldChar w:fldCharType="separate"/>
        </w:r>
        <w:r w:rsidR="003B082C">
          <w:rPr>
            <w:noProof/>
            <w:webHidden/>
          </w:rPr>
          <w:t>39</w:t>
        </w:r>
        <w:r w:rsidR="003B082C">
          <w:rPr>
            <w:noProof/>
            <w:webHidden/>
          </w:rPr>
          <w:fldChar w:fldCharType="end"/>
        </w:r>
      </w:hyperlink>
    </w:p>
    <w:p w14:paraId="62949CEA" w14:textId="25F78FE3" w:rsidR="003B082C" w:rsidRDefault="005C5CD4">
      <w:pPr>
        <w:pStyle w:val="TOC3"/>
        <w:rPr>
          <w:rFonts w:asciiTheme="minorHAnsi" w:eastAsiaTheme="minorEastAsia" w:hAnsiTheme="minorHAnsi" w:cstheme="minorBidi"/>
          <w:noProof/>
          <w:szCs w:val="22"/>
          <w:lang w:val="en-CA"/>
        </w:rPr>
      </w:pPr>
      <w:hyperlink w:anchor="_Toc79657943" w:history="1">
        <w:r w:rsidR="003B082C" w:rsidRPr="00BB704C">
          <w:rPr>
            <w:rStyle w:val="Hyperlink"/>
            <w:noProof/>
          </w:rPr>
          <w:t>1.6.12</w:t>
        </w:r>
        <w:r w:rsidR="003B082C">
          <w:rPr>
            <w:rFonts w:asciiTheme="minorHAnsi" w:eastAsiaTheme="minorEastAsia" w:hAnsiTheme="minorHAnsi" w:cstheme="minorBidi"/>
            <w:noProof/>
            <w:szCs w:val="22"/>
            <w:lang w:val="en-CA"/>
          </w:rPr>
          <w:tab/>
        </w:r>
        <w:r w:rsidR="003B082C" w:rsidRPr="00BB704C">
          <w:rPr>
            <w:rStyle w:val="Hyperlink"/>
            <w:noProof/>
          </w:rPr>
          <w:t>CMSC Adjustment for Replacement Offer Events</w:t>
        </w:r>
        <w:r w:rsidR="003B082C">
          <w:rPr>
            <w:noProof/>
            <w:webHidden/>
          </w:rPr>
          <w:tab/>
        </w:r>
        <w:r w:rsidR="003B082C">
          <w:rPr>
            <w:noProof/>
            <w:webHidden/>
          </w:rPr>
          <w:fldChar w:fldCharType="begin"/>
        </w:r>
        <w:r w:rsidR="003B082C">
          <w:rPr>
            <w:noProof/>
            <w:webHidden/>
          </w:rPr>
          <w:instrText xml:space="preserve"> PAGEREF _Toc79657943 \h </w:instrText>
        </w:r>
        <w:r w:rsidR="003B082C">
          <w:rPr>
            <w:noProof/>
            <w:webHidden/>
          </w:rPr>
        </w:r>
        <w:r w:rsidR="003B082C">
          <w:rPr>
            <w:noProof/>
            <w:webHidden/>
          </w:rPr>
          <w:fldChar w:fldCharType="separate"/>
        </w:r>
        <w:r w:rsidR="003B082C">
          <w:rPr>
            <w:noProof/>
            <w:webHidden/>
          </w:rPr>
          <w:t>42</w:t>
        </w:r>
        <w:r w:rsidR="003B082C">
          <w:rPr>
            <w:noProof/>
            <w:webHidden/>
          </w:rPr>
          <w:fldChar w:fldCharType="end"/>
        </w:r>
      </w:hyperlink>
    </w:p>
    <w:p w14:paraId="7A54B929" w14:textId="422016BF" w:rsidR="003B082C" w:rsidRDefault="005C5CD4">
      <w:pPr>
        <w:pStyle w:val="TOC3"/>
        <w:rPr>
          <w:rFonts w:asciiTheme="minorHAnsi" w:eastAsiaTheme="minorEastAsia" w:hAnsiTheme="minorHAnsi" w:cstheme="minorBidi"/>
          <w:noProof/>
          <w:szCs w:val="22"/>
          <w:lang w:val="en-CA"/>
        </w:rPr>
      </w:pPr>
      <w:hyperlink w:anchor="_Toc79657944" w:history="1">
        <w:r w:rsidR="003B082C" w:rsidRPr="00BB704C">
          <w:rPr>
            <w:rStyle w:val="Hyperlink"/>
            <w:noProof/>
          </w:rPr>
          <w:t>1.6.13</w:t>
        </w:r>
        <w:r w:rsidR="003B082C">
          <w:rPr>
            <w:rFonts w:asciiTheme="minorHAnsi" w:eastAsiaTheme="minorEastAsia" w:hAnsiTheme="minorHAnsi" w:cstheme="minorBidi"/>
            <w:noProof/>
            <w:szCs w:val="22"/>
            <w:lang w:val="en-CA"/>
          </w:rPr>
          <w:tab/>
        </w:r>
        <w:r w:rsidR="003B082C" w:rsidRPr="00BB704C">
          <w:rPr>
            <w:rStyle w:val="Hyperlink"/>
            <w:noProof/>
          </w:rPr>
          <w:t>Compensation Resulting from an SPS Activation</w:t>
        </w:r>
        <w:r w:rsidR="003B082C">
          <w:rPr>
            <w:noProof/>
            <w:webHidden/>
          </w:rPr>
          <w:tab/>
        </w:r>
        <w:r w:rsidR="003B082C">
          <w:rPr>
            <w:noProof/>
            <w:webHidden/>
          </w:rPr>
          <w:fldChar w:fldCharType="begin"/>
        </w:r>
        <w:r w:rsidR="003B082C">
          <w:rPr>
            <w:noProof/>
            <w:webHidden/>
          </w:rPr>
          <w:instrText xml:space="preserve"> PAGEREF _Toc79657944 \h </w:instrText>
        </w:r>
        <w:r w:rsidR="003B082C">
          <w:rPr>
            <w:noProof/>
            <w:webHidden/>
          </w:rPr>
        </w:r>
        <w:r w:rsidR="003B082C">
          <w:rPr>
            <w:noProof/>
            <w:webHidden/>
          </w:rPr>
          <w:fldChar w:fldCharType="separate"/>
        </w:r>
        <w:r w:rsidR="003B082C">
          <w:rPr>
            <w:noProof/>
            <w:webHidden/>
          </w:rPr>
          <w:t>43</w:t>
        </w:r>
        <w:r w:rsidR="003B082C">
          <w:rPr>
            <w:noProof/>
            <w:webHidden/>
          </w:rPr>
          <w:fldChar w:fldCharType="end"/>
        </w:r>
      </w:hyperlink>
    </w:p>
    <w:p w14:paraId="1F505946" w14:textId="5E0E1EB4" w:rsidR="003B082C" w:rsidRDefault="005C5CD4">
      <w:pPr>
        <w:pStyle w:val="TOC3"/>
        <w:rPr>
          <w:rFonts w:asciiTheme="minorHAnsi" w:eastAsiaTheme="minorEastAsia" w:hAnsiTheme="minorHAnsi" w:cstheme="minorBidi"/>
          <w:noProof/>
          <w:szCs w:val="22"/>
          <w:lang w:val="en-CA"/>
        </w:rPr>
      </w:pPr>
      <w:hyperlink w:anchor="_Toc79657945" w:history="1">
        <w:r w:rsidR="003B082C" w:rsidRPr="00BB704C">
          <w:rPr>
            <w:rStyle w:val="Hyperlink"/>
            <w:noProof/>
          </w:rPr>
          <w:t>1.6.14</w:t>
        </w:r>
        <w:r w:rsidR="003B082C">
          <w:rPr>
            <w:rFonts w:asciiTheme="minorHAnsi" w:eastAsiaTheme="minorEastAsia" w:hAnsiTheme="minorHAnsi" w:cstheme="minorBidi"/>
            <w:noProof/>
            <w:szCs w:val="22"/>
            <w:lang w:val="en-CA"/>
          </w:rPr>
          <w:tab/>
        </w:r>
        <w:r w:rsidR="003B082C" w:rsidRPr="00BB704C">
          <w:rPr>
            <w:rStyle w:val="Hyperlink"/>
            <w:noProof/>
          </w:rPr>
          <w:t>Northern Industrial Electricity Rate Program (NIERP)</w:t>
        </w:r>
        <w:r w:rsidR="003B082C">
          <w:rPr>
            <w:noProof/>
            <w:webHidden/>
          </w:rPr>
          <w:tab/>
        </w:r>
        <w:r w:rsidR="003B082C">
          <w:rPr>
            <w:noProof/>
            <w:webHidden/>
          </w:rPr>
          <w:fldChar w:fldCharType="begin"/>
        </w:r>
        <w:r w:rsidR="003B082C">
          <w:rPr>
            <w:noProof/>
            <w:webHidden/>
          </w:rPr>
          <w:instrText xml:space="preserve"> PAGEREF _Toc79657945 \h </w:instrText>
        </w:r>
        <w:r w:rsidR="003B082C">
          <w:rPr>
            <w:noProof/>
            <w:webHidden/>
          </w:rPr>
        </w:r>
        <w:r w:rsidR="003B082C">
          <w:rPr>
            <w:noProof/>
            <w:webHidden/>
          </w:rPr>
          <w:fldChar w:fldCharType="separate"/>
        </w:r>
        <w:r w:rsidR="003B082C">
          <w:rPr>
            <w:noProof/>
            <w:webHidden/>
          </w:rPr>
          <w:t>43</w:t>
        </w:r>
        <w:r w:rsidR="003B082C">
          <w:rPr>
            <w:noProof/>
            <w:webHidden/>
          </w:rPr>
          <w:fldChar w:fldCharType="end"/>
        </w:r>
      </w:hyperlink>
    </w:p>
    <w:p w14:paraId="687DA42D" w14:textId="797914D2" w:rsidR="003B082C" w:rsidRDefault="005C5CD4">
      <w:pPr>
        <w:pStyle w:val="TOC3"/>
        <w:rPr>
          <w:rFonts w:asciiTheme="minorHAnsi" w:eastAsiaTheme="minorEastAsia" w:hAnsiTheme="minorHAnsi" w:cstheme="minorBidi"/>
          <w:noProof/>
          <w:szCs w:val="22"/>
          <w:lang w:val="en-CA"/>
        </w:rPr>
      </w:pPr>
      <w:hyperlink w:anchor="_Toc79657946" w:history="1">
        <w:r w:rsidR="003B082C" w:rsidRPr="00BB704C">
          <w:rPr>
            <w:rStyle w:val="Hyperlink"/>
            <w:noProof/>
          </w:rPr>
          <w:t>1.6.15</w:t>
        </w:r>
        <w:r w:rsidR="003B082C">
          <w:rPr>
            <w:rFonts w:asciiTheme="minorHAnsi" w:eastAsiaTheme="minorEastAsia" w:hAnsiTheme="minorHAnsi" w:cstheme="minorBidi"/>
            <w:noProof/>
            <w:szCs w:val="22"/>
            <w:lang w:val="en-CA"/>
          </w:rPr>
          <w:tab/>
        </w:r>
        <w:r w:rsidR="003B082C" w:rsidRPr="00BB704C">
          <w:rPr>
            <w:rStyle w:val="Hyperlink"/>
            <w:noProof/>
          </w:rPr>
          <w:t>Intentionally Left Blank</w:t>
        </w:r>
        <w:r w:rsidR="003B082C">
          <w:rPr>
            <w:noProof/>
            <w:webHidden/>
          </w:rPr>
          <w:tab/>
        </w:r>
        <w:r w:rsidR="003B082C">
          <w:rPr>
            <w:noProof/>
            <w:webHidden/>
          </w:rPr>
          <w:fldChar w:fldCharType="begin"/>
        </w:r>
        <w:r w:rsidR="003B082C">
          <w:rPr>
            <w:noProof/>
            <w:webHidden/>
          </w:rPr>
          <w:instrText xml:space="preserve"> PAGEREF _Toc79657946 \h </w:instrText>
        </w:r>
        <w:r w:rsidR="003B082C">
          <w:rPr>
            <w:noProof/>
            <w:webHidden/>
          </w:rPr>
        </w:r>
        <w:r w:rsidR="003B082C">
          <w:rPr>
            <w:noProof/>
            <w:webHidden/>
          </w:rPr>
          <w:fldChar w:fldCharType="separate"/>
        </w:r>
        <w:r w:rsidR="003B082C">
          <w:rPr>
            <w:noProof/>
            <w:webHidden/>
          </w:rPr>
          <w:t>44</w:t>
        </w:r>
        <w:r w:rsidR="003B082C">
          <w:rPr>
            <w:noProof/>
            <w:webHidden/>
          </w:rPr>
          <w:fldChar w:fldCharType="end"/>
        </w:r>
      </w:hyperlink>
    </w:p>
    <w:p w14:paraId="371032B5" w14:textId="6819DBD5" w:rsidR="003B082C" w:rsidRDefault="005C5CD4">
      <w:pPr>
        <w:pStyle w:val="TOC3"/>
        <w:rPr>
          <w:rFonts w:asciiTheme="minorHAnsi" w:eastAsiaTheme="minorEastAsia" w:hAnsiTheme="minorHAnsi" w:cstheme="minorBidi"/>
          <w:noProof/>
          <w:szCs w:val="22"/>
          <w:lang w:val="en-CA"/>
        </w:rPr>
      </w:pPr>
      <w:hyperlink w:anchor="_Toc79657947" w:history="1">
        <w:r w:rsidR="003B082C" w:rsidRPr="00BB704C">
          <w:rPr>
            <w:rStyle w:val="Hyperlink"/>
            <w:noProof/>
          </w:rPr>
          <w:t>1.6.16</w:t>
        </w:r>
        <w:r w:rsidR="003B082C">
          <w:rPr>
            <w:rFonts w:asciiTheme="minorHAnsi" w:eastAsiaTheme="minorEastAsia" w:hAnsiTheme="minorHAnsi" w:cstheme="minorBidi"/>
            <w:noProof/>
            <w:szCs w:val="22"/>
            <w:lang w:val="en-CA"/>
          </w:rPr>
          <w:tab/>
        </w:r>
        <w:r w:rsidR="003B082C" w:rsidRPr="00BB704C">
          <w:rPr>
            <w:rStyle w:val="Hyperlink"/>
            <w:noProof/>
          </w:rPr>
          <w:t>Intentionally Left Blank</w:t>
        </w:r>
        <w:r w:rsidR="003B082C">
          <w:rPr>
            <w:noProof/>
            <w:webHidden/>
          </w:rPr>
          <w:tab/>
        </w:r>
        <w:r w:rsidR="003B082C">
          <w:rPr>
            <w:noProof/>
            <w:webHidden/>
          </w:rPr>
          <w:fldChar w:fldCharType="begin"/>
        </w:r>
        <w:r w:rsidR="003B082C">
          <w:rPr>
            <w:noProof/>
            <w:webHidden/>
          </w:rPr>
          <w:instrText xml:space="preserve"> PAGEREF _Toc79657947 \h </w:instrText>
        </w:r>
        <w:r w:rsidR="003B082C">
          <w:rPr>
            <w:noProof/>
            <w:webHidden/>
          </w:rPr>
        </w:r>
        <w:r w:rsidR="003B082C">
          <w:rPr>
            <w:noProof/>
            <w:webHidden/>
          </w:rPr>
          <w:fldChar w:fldCharType="separate"/>
        </w:r>
        <w:r w:rsidR="003B082C">
          <w:rPr>
            <w:noProof/>
            <w:webHidden/>
          </w:rPr>
          <w:t>44</w:t>
        </w:r>
        <w:r w:rsidR="003B082C">
          <w:rPr>
            <w:noProof/>
            <w:webHidden/>
          </w:rPr>
          <w:fldChar w:fldCharType="end"/>
        </w:r>
      </w:hyperlink>
    </w:p>
    <w:p w14:paraId="037613DD" w14:textId="3AA6DA37" w:rsidR="003B082C" w:rsidRDefault="005C5CD4">
      <w:pPr>
        <w:pStyle w:val="TOC3"/>
        <w:rPr>
          <w:rFonts w:asciiTheme="minorHAnsi" w:eastAsiaTheme="minorEastAsia" w:hAnsiTheme="minorHAnsi" w:cstheme="minorBidi"/>
          <w:noProof/>
          <w:szCs w:val="22"/>
          <w:lang w:val="en-CA"/>
        </w:rPr>
      </w:pPr>
      <w:hyperlink w:anchor="_Toc79657948" w:history="1">
        <w:r w:rsidR="003B082C" w:rsidRPr="00BB704C">
          <w:rPr>
            <w:rStyle w:val="Hyperlink"/>
            <w:noProof/>
          </w:rPr>
          <w:t>1.6.17</w:t>
        </w:r>
        <w:r w:rsidR="003B082C">
          <w:rPr>
            <w:rFonts w:asciiTheme="minorHAnsi" w:eastAsiaTheme="minorEastAsia" w:hAnsiTheme="minorHAnsi" w:cstheme="minorBidi"/>
            <w:noProof/>
            <w:szCs w:val="22"/>
            <w:lang w:val="en-CA"/>
          </w:rPr>
          <w:tab/>
        </w:r>
        <w:r w:rsidR="003B082C" w:rsidRPr="00BB704C">
          <w:rPr>
            <w:rStyle w:val="Hyperlink"/>
            <w:noProof/>
          </w:rPr>
          <w:t>Conservation Assessment Recovery</w:t>
        </w:r>
        <w:r w:rsidR="003B082C">
          <w:rPr>
            <w:noProof/>
            <w:webHidden/>
          </w:rPr>
          <w:tab/>
        </w:r>
        <w:r w:rsidR="003B082C">
          <w:rPr>
            <w:noProof/>
            <w:webHidden/>
          </w:rPr>
          <w:fldChar w:fldCharType="begin"/>
        </w:r>
        <w:r w:rsidR="003B082C">
          <w:rPr>
            <w:noProof/>
            <w:webHidden/>
          </w:rPr>
          <w:instrText xml:space="preserve"> PAGEREF _Toc79657948 \h </w:instrText>
        </w:r>
        <w:r w:rsidR="003B082C">
          <w:rPr>
            <w:noProof/>
            <w:webHidden/>
          </w:rPr>
        </w:r>
        <w:r w:rsidR="003B082C">
          <w:rPr>
            <w:noProof/>
            <w:webHidden/>
          </w:rPr>
          <w:fldChar w:fldCharType="separate"/>
        </w:r>
        <w:r w:rsidR="003B082C">
          <w:rPr>
            <w:noProof/>
            <w:webHidden/>
          </w:rPr>
          <w:t>44</w:t>
        </w:r>
        <w:r w:rsidR="003B082C">
          <w:rPr>
            <w:noProof/>
            <w:webHidden/>
          </w:rPr>
          <w:fldChar w:fldCharType="end"/>
        </w:r>
      </w:hyperlink>
    </w:p>
    <w:p w14:paraId="63E4AB0C" w14:textId="2CAF731A" w:rsidR="003B082C" w:rsidRDefault="005C5CD4">
      <w:pPr>
        <w:pStyle w:val="TOC3"/>
        <w:rPr>
          <w:rFonts w:asciiTheme="minorHAnsi" w:eastAsiaTheme="minorEastAsia" w:hAnsiTheme="minorHAnsi" w:cstheme="minorBidi"/>
          <w:noProof/>
          <w:szCs w:val="22"/>
          <w:lang w:val="en-CA"/>
        </w:rPr>
      </w:pPr>
      <w:hyperlink w:anchor="_Toc79657949" w:history="1">
        <w:r w:rsidR="003B082C" w:rsidRPr="00BB704C">
          <w:rPr>
            <w:rStyle w:val="Hyperlink"/>
            <w:noProof/>
          </w:rPr>
          <w:t>1.6.18</w:t>
        </w:r>
        <w:r w:rsidR="003B082C">
          <w:rPr>
            <w:rFonts w:asciiTheme="minorHAnsi" w:eastAsiaTheme="minorEastAsia" w:hAnsiTheme="minorHAnsi" w:cstheme="minorBidi"/>
            <w:noProof/>
            <w:szCs w:val="22"/>
            <w:lang w:val="en-CA"/>
          </w:rPr>
          <w:tab/>
        </w:r>
        <w:r w:rsidR="003B082C" w:rsidRPr="00BB704C">
          <w:rPr>
            <w:rStyle w:val="Hyperlink"/>
            <w:noProof/>
          </w:rPr>
          <w:t>Intentionally Left Blank</w:t>
        </w:r>
        <w:r w:rsidR="003B082C">
          <w:rPr>
            <w:noProof/>
            <w:webHidden/>
          </w:rPr>
          <w:tab/>
        </w:r>
        <w:r w:rsidR="003B082C">
          <w:rPr>
            <w:noProof/>
            <w:webHidden/>
          </w:rPr>
          <w:fldChar w:fldCharType="begin"/>
        </w:r>
        <w:r w:rsidR="003B082C">
          <w:rPr>
            <w:noProof/>
            <w:webHidden/>
          </w:rPr>
          <w:instrText xml:space="preserve"> PAGEREF _Toc79657949 \h </w:instrText>
        </w:r>
        <w:r w:rsidR="003B082C">
          <w:rPr>
            <w:noProof/>
            <w:webHidden/>
          </w:rPr>
        </w:r>
        <w:r w:rsidR="003B082C">
          <w:rPr>
            <w:noProof/>
            <w:webHidden/>
          </w:rPr>
          <w:fldChar w:fldCharType="separate"/>
        </w:r>
        <w:r w:rsidR="003B082C">
          <w:rPr>
            <w:noProof/>
            <w:webHidden/>
          </w:rPr>
          <w:t>45</w:t>
        </w:r>
        <w:r w:rsidR="003B082C">
          <w:rPr>
            <w:noProof/>
            <w:webHidden/>
          </w:rPr>
          <w:fldChar w:fldCharType="end"/>
        </w:r>
      </w:hyperlink>
    </w:p>
    <w:p w14:paraId="5682DA2D" w14:textId="7EC0B8FB" w:rsidR="003B082C" w:rsidRDefault="005C5CD4">
      <w:pPr>
        <w:pStyle w:val="TOC3"/>
        <w:rPr>
          <w:rFonts w:asciiTheme="minorHAnsi" w:eastAsiaTheme="minorEastAsia" w:hAnsiTheme="minorHAnsi" w:cstheme="minorBidi"/>
          <w:noProof/>
          <w:szCs w:val="22"/>
          <w:lang w:val="en-CA"/>
        </w:rPr>
      </w:pPr>
      <w:hyperlink w:anchor="_Toc79657950" w:history="1">
        <w:r w:rsidR="003B082C" w:rsidRPr="00BB704C">
          <w:rPr>
            <w:rStyle w:val="Hyperlink"/>
            <w:noProof/>
          </w:rPr>
          <w:t>1.6.19</w:t>
        </w:r>
        <w:r w:rsidR="003B082C">
          <w:rPr>
            <w:rFonts w:asciiTheme="minorHAnsi" w:eastAsiaTheme="minorEastAsia" w:hAnsiTheme="minorHAnsi" w:cstheme="minorBidi"/>
            <w:noProof/>
            <w:szCs w:val="22"/>
            <w:lang w:val="en-CA"/>
          </w:rPr>
          <w:tab/>
        </w:r>
        <w:r w:rsidR="003B082C" w:rsidRPr="00BB704C">
          <w:rPr>
            <w:rStyle w:val="Hyperlink"/>
            <w:noProof/>
          </w:rPr>
          <w:t>Renewable Integration - Forecasting</w:t>
        </w:r>
        <w:r w:rsidR="003B082C">
          <w:rPr>
            <w:noProof/>
            <w:webHidden/>
          </w:rPr>
          <w:tab/>
        </w:r>
        <w:r w:rsidR="003B082C">
          <w:rPr>
            <w:noProof/>
            <w:webHidden/>
          </w:rPr>
          <w:fldChar w:fldCharType="begin"/>
        </w:r>
        <w:r w:rsidR="003B082C">
          <w:rPr>
            <w:noProof/>
            <w:webHidden/>
          </w:rPr>
          <w:instrText xml:space="preserve"> PAGEREF _Toc79657950 \h </w:instrText>
        </w:r>
        <w:r w:rsidR="003B082C">
          <w:rPr>
            <w:noProof/>
            <w:webHidden/>
          </w:rPr>
        </w:r>
        <w:r w:rsidR="003B082C">
          <w:rPr>
            <w:noProof/>
            <w:webHidden/>
          </w:rPr>
          <w:fldChar w:fldCharType="separate"/>
        </w:r>
        <w:r w:rsidR="003B082C">
          <w:rPr>
            <w:noProof/>
            <w:webHidden/>
          </w:rPr>
          <w:t>45</w:t>
        </w:r>
        <w:r w:rsidR="003B082C">
          <w:rPr>
            <w:noProof/>
            <w:webHidden/>
          </w:rPr>
          <w:fldChar w:fldCharType="end"/>
        </w:r>
      </w:hyperlink>
    </w:p>
    <w:p w14:paraId="74F8E2FC" w14:textId="53773B13" w:rsidR="003B082C" w:rsidRDefault="005C5CD4">
      <w:pPr>
        <w:pStyle w:val="TOC3"/>
        <w:rPr>
          <w:rFonts w:asciiTheme="minorHAnsi" w:eastAsiaTheme="minorEastAsia" w:hAnsiTheme="minorHAnsi" w:cstheme="minorBidi"/>
          <w:noProof/>
          <w:szCs w:val="22"/>
          <w:lang w:val="en-CA"/>
        </w:rPr>
      </w:pPr>
      <w:hyperlink w:anchor="_Toc79657951" w:history="1">
        <w:r w:rsidR="003B082C" w:rsidRPr="00BB704C">
          <w:rPr>
            <w:rStyle w:val="Hyperlink"/>
            <w:noProof/>
          </w:rPr>
          <w:t>1.6.20</w:t>
        </w:r>
        <w:r w:rsidR="003B082C">
          <w:rPr>
            <w:rFonts w:asciiTheme="minorHAnsi" w:eastAsiaTheme="minorEastAsia" w:hAnsiTheme="minorHAnsi" w:cstheme="minorBidi"/>
            <w:noProof/>
            <w:szCs w:val="22"/>
            <w:lang w:val="en-CA"/>
          </w:rPr>
          <w:tab/>
        </w:r>
        <w:r w:rsidR="003B082C" w:rsidRPr="00BB704C">
          <w:rPr>
            <w:rStyle w:val="Hyperlink"/>
            <w:noProof/>
          </w:rPr>
          <w:t>Adjustment for Self-Induced CMSC Earned by Certain Generating Facilities</w:t>
        </w:r>
        <w:r w:rsidR="003B082C">
          <w:rPr>
            <w:noProof/>
            <w:webHidden/>
          </w:rPr>
          <w:tab/>
        </w:r>
        <w:r w:rsidR="003B082C">
          <w:rPr>
            <w:noProof/>
            <w:webHidden/>
          </w:rPr>
          <w:fldChar w:fldCharType="begin"/>
        </w:r>
        <w:r w:rsidR="003B082C">
          <w:rPr>
            <w:noProof/>
            <w:webHidden/>
          </w:rPr>
          <w:instrText xml:space="preserve"> PAGEREF _Toc79657951 \h </w:instrText>
        </w:r>
        <w:r w:rsidR="003B082C">
          <w:rPr>
            <w:noProof/>
            <w:webHidden/>
          </w:rPr>
        </w:r>
        <w:r w:rsidR="003B082C">
          <w:rPr>
            <w:noProof/>
            <w:webHidden/>
          </w:rPr>
          <w:fldChar w:fldCharType="separate"/>
        </w:r>
        <w:r w:rsidR="003B082C">
          <w:rPr>
            <w:noProof/>
            <w:webHidden/>
          </w:rPr>
          <w:t>45</w:t>
        </w:r>
        <w:r w:rsidR="003B082C">
          <w:rPr>
            <w:noProof/>
            <w:webHidden/>
          </w:rPr>
          <w:fldChar w:fldCharType="end"/>
        </w:r>
      </w:hyperlink>
    </w:p>
    <w:p w14:paraId="0B28DA4E" w14:textId="381CDB26" w:rsidR="003B082C" w:rsidRDefault="005C5CD4">
      <w:pPr>
        <w:pStyle w:val="TOC3"/>
        <w:rPr>
          <w:rFonts w:asciiTheme="minorHAnsi" w:eastAsiaTheme="minorEastAsia" w:hAnsiTheme="minorHAnsi" w:cstheme="minorBidi"/>
          <w:noProof/>
          <w:szCs w:val="22"/>
          <w:lang w:val="en-CA"/>
        </w:rPr>
      </w:pPr>
      <w:hyperlink w:anchor="_Toc79657952" w:history="1">
        <w:r w:rsidR="003B082C" w:rsidRPr="00BB704C">
          <w:rPr>
            <w:rStyle w:val="Hyperlink"/>
            <w:noProof/>
          </w:rPr>
          <w:t>1.6.21</w:t>
        </w:r>
        <w:r w:rsidR="003B082C">
          <w:rPr>
            <w:rFonts w:asciiTheme="minorHAnsi" w:eastAsiaTheme="minorEastAsia" w:hAnsiTheme="minorHAnsi" w:cstheme="minorBidi"/>
            <w:noProof/>
            <w:szCs w:val="22"/>
            <w:lang w:val="en-CA"/>
          </w:rPr>
          <w:tab/>
        </w:r>
        <w:r w:rsidR="003B082C" w:rsidRPr="00BB704C">
          <w:rPr>
            <w:rStyle w:val="Hyperlink"/>
            <w:noProof/>
          </w:rPr>
          <w:t>Intentionally Left Blank</w:t>
        </w:r>
        <w:r w:rsidR="003B082C">
          <w:rPr>
            <w:noProof/>
            <w:webHidden/>
          </w:rPr>
          <w:tab/>
        </w:r>
        <w:r w:rsidR="003B082C">
          <w:rPr>
            <w:noProof/>
            <w:webHidden/>
          </w:rPr>
          <w:fldChar w:fldCharType="begin"/>
        </w:r>
        <w:r w:rsidR="003B082C">
          <w:rPr>
            <w:noProof/>
            <w:webHidden/>
          </w:rPr>
          <w:instrText xml:space="preserve"> PAGEREF _Toc79657952 \h </w:instrText>
        </w:r>
        <w:r w:rsidR="003B082C">
          <w:rPr>
            <w:noProof/>
            <w:webHidden/>
          </w:rPr>
        </w:r>
        <w:r w:rsidR="003B082C">
          <w:rPr>
            <w:noProof/>
            <w:webHidden/>
          </w:rPr>
          <w:fldChar w:fldCharType="separate"/>
        </w:r>
        <w:r w:rsidR="003B082C">
          <w:rPr>
            <w:noProof/>
            <w:webHidden/>
          </w:rPr>
          <w:t>48</w:t>
        </w:r>
        <w:r w:rsidR="003B082C">
          <w:rPr>
            <w:noProof/>
            <w:webHidden/>
          </w:rPr>
          <w:fldChar w:fldCharType="end"/>
        </w:r>
      </w:hyperlink>
    </w:p>
    <w:p w14:paraId="394BA672" w14:textId="1E85FBC3" w:rsidR="003B082C" w:rsidRDefault="005C5CD4">
      <w:pPr>
        <w:pStyle w:val="TOC3"/>
        <w:rPr>
          <w:rFonts w:asciiTheme="minorHAnsi" w:eastAsiaTheme="minorEastAsia" w:hAnsiTheme="minorHAnsi" w:cstheme="minorBidi"/>
          <w:noProof/>
          <w:szCs w:val="22"/>
          <w:lang w:val="en-CA"/>
        </w:rPr>
      </w:pPr>
      <w:hyperlink w:anchor="_Toc79657953" w:history="1">
        <w:r w:rsidR="003B082C" w:rsidRPr="00BB704C">
          <w:rPr>
            <w:rStyle w:val="Hyperlink"/>
            <w:noProof/>
          </w:rPr>
          <w:t>1.6.22</w:t>
        </w:r>
        <w:r w:rsidR="003B082C">
          <w:rPr>
            <w:rFonts w:asciiTheme="minorHAnsi" w:eastAsiaTheme="minorEastAsia" w:hAnsiTheme="minorHAnsi" w:cstheme="minorBidi"/>
            <w:noProof/>
            <w:szCs w:val="22"/>
            <w:lang w:val="en-CA"/>
          </w:rPr>
          <w:tab/>
        </w:r>
        <w:r w:rsidR="003B082C" w:rsidRPr="00BB704C">
          <w:rPr>
            <w:rStyle w:val="Hyperlink"/>
            <w:noProof/>
          </w:rPr>
          <w:t>Limiting Payments to Exports during Negative Prices</w:t>
        </w:r>
        <w:r w:rsidR="003B082C">
          <w:rPr>
            <w:noProof/>
            <w:webHidden/>
          </w:rPr>
          <w:tab/>
        </w:r>
        <w:r w:rsidR="003B082C">
          <w:rPr>
            <w:noProof/>
            <w:webHidden/>
          </w:rPr>
          <w:fldChar w:fldCharType="begin"/>
        </w:r>
        <w:r w:rsidR="003B082C">
          <w:rPr>
            <w:noProof/>
            <w:webHidden/>
          </w:rPr>
          <w:instrText xml:space="preserve"> PAGEREF _Toc79657953 \h </w:instrText>
        </w:r>
        <w:r w:rsidR="003B082C">
          <w:rPr>
            <w:noProof/>
            <w:webHidden/>
          </w:rPr>
        </w:r>
        <w:r w:rsidR="003B082C">
          <w:rPr>
            <w:noProof/>
            <w:webHidden/>
          </w:rPr>
          <w:fldChar w:fldCharType="separate"/>
        </w:r>
        <w:r w:rsidR="003B082C">
          <w:rPr>
            <w:noProof/>
            <w:webHidden/>
          </w:rPr>
          <w:t>49</w:t>
        </w:r>
        <w:r w:rsidR="003B082C">
          <w:rPr>
            <w:noProof/>
            <w:webHidden/>
          </w:rPr>
          <w:fldChar w:fldCharType="end"/>
        </w:r>
      </w:hyperlink>
    </w:p>
    <w:p w14:paraId="263D4187" w14:textId="1AA191C9" w:rsidR="003B082C" w:rsidRDefault="005C5CD4">
      <w:pPr>
        <w:pStyle w:val="TOC3"/>
        <w:rPr>
          <w:rFonts w:asciiTheme="minorHAnsi" w:eastAsiaTheme="minorEastAsia" w:hAnsiTheme="minorHAnsi" w:cstheme="minorBidi"/>
          <w:noProof/>
          <w:szCs w:val="22"/>
          <w:lang w:val="en-CA"/>
        </w:rPr>
      </w:pPr>
      <w:hyperlink w:anchor="_Toc79657954" w:history="1">
        <w:r w:rsidR="003B082C" w:rsidRPr="00BB704C">
          <w:rPr>
            <w:rStyle w:val="Hyperlink"/>
            <w:noProof/>
          </w:rPr>
          <w:t>1.6.23</w:t>
        </w:r>
        <w:r w:rsidR="003B082C">
          <w:rPr>
            <w:rFonts w:asciiTheme="minorHAnsi" w:eastAsiaTheme="minorEastAsia" w:hAnsiTheme="minorHAnsi" w:cstheme="minorBidi"/>
            <w:noProof/>
            <w:szCs w:val="22"/>
            <w:lang w:val="en-CA"/>
          </w:rPr>
          <w:tab/>
        </w:r>
        <w:r w:rsidR="003B082C" w:rsidRPr="00BB704C">
          <w:rPr>
            <w:rStyle w:val="Hyperlink"/>
            <w:noProof/>
          </w:rPr>
          <w:t>Smart Metering Entity Charge</w:t>
        </w:r>
        <w:r w:rsidR="003B082C">
          <w:rPr>
            <w:noProof/>
            <w:webHidden/>
          </w:rPr>
          <w:tab/>
        </w:r>
        <w:r w:rsidR="003B082C">
          <w:rPr>
            <w:noProof/>
            <w:webHidden/>
          </w:rPr>
          <w:fldChar w:fldCharType="begin"/>
        </w:r>
        <w:r w:rsidR="003B082C">
          <w:rPr>
            <w:noProof/>
            <w:webHidden/>
          </w:rPr>
          <w:instrText xml:space="preserve"> PAGEREF _Toc79657954 \h </w:instrText>
        </w:r>
        <w:r w:rsidR="003B082C">
          <w:rPr>
            <w:noProof/>
            <w:webHidden/>
          </w:rPr>
        </w:r>
        <w:r w:rsidR="003B082C">
          <w:rPr>
            <w:noProof/>
            <w:webHidden/>
          </w:rPr>
          <w:fldChar w:fldCharType="separate"/>
        </w:r>
        <w:r w:rsidR="003B082C">
          <w:rPr>
            <w:noProof/>
            <w:webHidden/>
          </w:rPr>
          <w:t>49</w:t>
        </w:r>
        <w:r w:rsidR="003B082C">
          <w:rPr>
            <w:noProof/>
            <w:webHidden/>
          </w:rPr>
          <w:fldChar w:fldCharType="end"/>
        </w:r>
      </w:hyperlink>
    </w:p>
    <w:p w14:paraId="170790EB" w14:textId="7F51E0D4" w:rsidR="003B082C" w:rsidRDefault="005C5CD4">
      <w:pPr>
        <w:pStyle w:val="TOC3"/>
        <w:rPr>
          <w:rFonts w:asciiTheme="minorHAnsi" w:eastAsiaTheme="minorEastAsia" w:hAnsiTheme="minorHAnsi" w:cstheme="minorBidi"/>
          <w:noProof/>
          <w:szCs w:val="22"/>
          <w:lang w:val="en-CA"/>
        </w:rPr>
      </w:pPr>
      <w:hyperlink w:anchor="_Toc79657955" w:history="1">
        <w:r w:rsidR="003B082C" w:rsidRPr="00BB704C">
          <w:rPr>
            <w:rStyle w:val="Hyperlink"/>
            <w:noProof/>
          </w:rPr>
          <w:t>1.6.24</w:t>
        </w:r>
        <w:r w:rsidR="003B082C">
          <w:rPr>
            <w:rFonts w:asciiTheme="minorHAnsi" w:eastAsiaTheme="minorEastAsia" w:hAnsiTheme="minorHAnsi" w:cstheme="minorBidi"/>
            <w:noProof/>
            <w:szCs w:val="22"/>
            <w:lang w:val="en-CA"/>
          </w:rPr>
          <w:tab/>
        </w:r>
        <w:r w:rsidR="003B082C" w:rsidRPr="00BB704C">
          <w:rPr>
            <w:rStyle w:val="Hyperlink"/>
            <w:noProof/>
          </w:rPr>
          <w:t>Intentionally Left Blank</w:t>
        </w:r>
        <w:r w:rsidR="003B082C">
          <w:rPr>
            <w:noProof/>
            <w:webHidden/>
          </w:rPr>
          <w:tab/>
        </w:r>
        <w:r w:rsidR="003B082C">
          <w:rPr>
            <w:noProof/>
            <w:webHidden/>
          </w:rPr>
          <w:fldChar w:fldCharType="begin"/>
        </w:r>
        <w:r w:rsidR="003B082C">
          <w:rPr>
            <w:noProof/>
            <w:webHidden/>
          </w:rPr>
          <w:instrText xml:space="preserve"> PAGEREF _Toc79657955 \h </w:instrText>
        </w:r>
        <w:r w:rsidR="003B082C">
          <w:rPr>
            <w:noProof/>
            <w:webHidden/>
          </w:rPr>
        </w:r>
        <w:r w:rsidR="003B082C">
          <w:rPr>
            <w:noProof/>
            <w:webHidden/>
          </w:rPr>
          <w:fldChar w:fldCharType="separate"/>
        </w:r>
        <w:r w:rsidR="003B082C">
          <w:rPr>
            <w:noProof/>
            <w:webHidden/>
          </w:rPr>
          <w:t>49</w:t>
        </w:r>
        <w:r w:rsidR="003B082C">
          <w:rPr>
            <w:noProof/>
            <w:webHidden/>
          </w:rPr>
          <w:fldChar w:fldCharType="end"/>
        </w:r>
      </w:hyperlink>
    </w:p>
    <w:p w14:paraId="184F35AE" w14:textId="2ADA12DC" w:rsidR="003B082C" w:rsidRDefault="005C5CD4">
      <w:pPr>
        <w:pStyle w:val="TOC3"/>
        <w:rPr>
          <w:rFonts w:asciiTheme="minorHAnsi" w:eastAsiaTheme="minorEastAsia" w:hAnsiTheme="minorHAnsi" w:cstheme="minorBidi"/>
          <w:noProof/>
          <w:szCs w:val="22"/>
          <w:lang w:val="en-CA"/>
        </w:rPr>
      </w:pPr>
      <w:hyperlink w:anchor="_Toc79657956" w:history="1">
        <w:r w:rsidR="003B082C" w:rsidRPr="00BB704C">
          <w:rPr>
            <w:rStyle w:val="Hyperlink"/>
            <w:noProof/>
          </w:rPr>
          <w:t>1.6.25</w:t>
        </w:r>
        <w:r w:rsidR="003B082C">
          <w:rPr>
            <w:rFonts w:asciiTheme="minorHAnsi" w:eastAsiaTheme="minorEastAsia" w:hAnsiTheme="minorHAnsi" w:cstheme="minorBidi"/>
            <w:noProof/>
            <w:szCs w:val="22"/>
            <w:lang w:val="en-CA"/>
          </w:rPr>
          <w:tab/>
        </w:r>
        <w:r w:rsidR="003B082C" w:rsidRPr="00BB704C">
          <w:rPr>
            <w:rStyle w:val="Hyperlink"/>
            <w:noProof/>
          </w:rPr>
          <w:t>Biomass NUG and Energy from Waste (EFW) Contracts</w:t>
        </w:r>
        <w:r w:rsidR="003B082C">
          <w:rPr>
            <w:noProof/>
            <w:webHidden/>
          </w:rPr>
          <w:tab/>
        </w:r>
        <w:r w:rsidR="003B082C">
          <w:rPr>
            <w:noProof/>
            <w:webHidden/>
          </w:rPr>
          <w:fldChar w:fldCharType="begin"/>
        </w:r>
        <w:r w:rsidR="003B082C">
          <w:rPr>
            <w:noProof/>
            <w:webHidden/>
          </w:rPr>
          <w:instrText xml:space="preserve"> PAGEREF _Toc79657956 \h </w:instrText>
        </w:r>
        <w:r w:rsidR="003B082C">
          <w:rPr>
            <w:noProof/>
            <w:webHidden/>
          </w:rPr>
        </w:r>
        <w:r w:rsidR="003B082C">
          <w:rPr>
            <w:noProof/>
            <w:webHidden/>
          </w:rPr>
          <w:fldChar w:fldCharType="separate"/>
        </w:r>
        <w:r w:rsidR="003B082C">
          <w:rPr>
            <w:noProof/>
            <w:webHidden/>
          </w:rPr>
          <w:t>50</w:t>
        </w:r>
        <w:r w:rsidR="003B082C">
          <w:rPr>
            <w:noProof/>
            <w:webHidden/>
          </w:rPr>
          <w:fldChar w:fldCharType="end"/>
        </w:r>
      </w:hyperlink>
    </w:p>
    <w:p w14:paraId="31CB116E" w14:textId="2D0CA9E9" w:rsidR="003B082C" w:rsidRDefault="005C5CD4">
      <w:pPr>
        <w:pStyle w:val="TOC3"/>
        <w:rPr>
          <w:rFonts w:asciiTheme="minorHAnsi" w:eastAsiaTheme="minorEastAsia" w:hAnsiTheme="minorHAnsi" w:cstheme="minorBidi"/>
          <w:noProof/>
          <w:szCs w:val="22"/>
          <w:lang w:val="en-CA"/>
        </w:rPr>
      </w:pPr>
      <w:hyperlink w:anchor="_Toc79657957" w:history="1">
        <w:r w:rsidR="003B082C" w:rsidRPr="00BB704C">
          <w:rPr>
            <w:rStyle w:val="Hyperlink"/>
            <w:noProof/>
          </w:rPr>
          <w:t>1.6.2</w:t>
        </w:r>
        <w:r w:rsidR="003B082C" w:rsidRPr="00121C65">
          <w:rPr>
            <w:rStyle w:val="Hyperlink"/>
            <w:noProof/>
          </w:rPr>
          <w:t>6</w:t>
        </w:r>
        <w:r w:rsidR="003B082C" w:rsidRPr="00121C65">
          <w:rPr>
            <w:rFonts w:asciiTheme="minorHAnsi" w:eastAsiaTheme="minorEastAsia" w:hAnsiTheme="minorHAnsi" w:cstheme="minorBidi"/>
            <w:noProof/>
            <w:szCs w:val="22"/>
            <w:lang w:val="en-CA"/>
          </w:rPr>
          <w:tab/>
        </w:r>
        <w:r w:rsidR="003B082C" w:rsidRPr="00121C65">
          <w:rPr>
            <w:rStyle w:val="Hyperlink"/>
            <w:noProof/>
          </w:rPr>
          <w:t>Capacity Obligations</w:t>
        </w:r>
        <w:r w:rsidR="003B082C">
          <w:rPr>
            <w:noProof/>
            <w:webHidden/>
          </w:rPr>
          <w:tab/>
        </w:r>
        <w:r w:rsidR="003B082C">
          <w:rPr>
            <w:noProof/>
            <w:webHidden/>
          </w:rPr>
          <w:fldChar w:fldCharType="begin"/>
        </w:r>
        <w:r w:rsidR="003B082C">
          <w:rPr>
            <w:noProof/>
            <w:webHidden/>
          </w:rPr>
          <w:instrText xml:space="preserve"> PAGEREF _Toc79657957 \h </w:instrText>
        </w:r>
        <w:r w:rsidR="003B082C">
          <w:rPr>
            <w:noProof/>
            <w:webHidden/>
          </w:rPr>
        </w:r>
        <w:r w:rsidR="003B082C">
          <w:rPr>
            <w:noProof/>
            <w:webHidden/>
          </w:rPr>
          <w:fldChar w:fldCharType="separate"/>
        </w:r>
        <w:r w:rsidR="003B082C">
          <w:rPr>
            <w:noProof/>
            <w:webHidden/>
          </w:rPr>
          <w:t>50</w:t>
        </w:r>
        <w:r w:rsidR="003B082C">
          <w:rPr>
            <w:noProof/>
            <w:webHidden/>
          </w:rPr>
          <w:fldChar w:fldCharType="end"/>
        </w:r>
      </w:hyperlink>
    </w:p>
    <w:p w14:paraId="56686BCC" w14:textId="548217EC" w:rsidR="003B082C" w:rsidRDefault="005C5CD4">
      <w:pPr>
        <w:pStyle w:val="TOC3"/>
        <w:rPr>
          <w:rFonts w:asciiTheme="minorHAnsi" w:eastAsiaTheme="minorEastAsia" w:hAnsiTheme="minorHAnsi" w:cstheme="minorBidi"/>
          <w:noProof/>
          <w:szCs w:val="22"/>
          <w:lang w:val="en-CA"/>
        </w:rPr>
      </w:pPr>
      <w:hyperlink w:anchor="_Toc79657958" w:history="1">
        <w:r w:rsidR="003B082C" w:rsidRPr="00BB704C">
          <w:rPr>
            <w:rStyle w:val="Hyperlink"/>
            <w:noProof/>
          </w:rPr>
          <w:t>1.6.27</w:t>
        </w:r>
        <w:r w:rsidR="003B082C">
          <w:rPr>
            <w:rFonts w:asciiTheme="minorHAnsi" w:eastAsiaTheme="minorEastAsia" w:hAnsiTheme="minorHAnsi" w:cstheme="minorBidi"/>
            <w:noProof/>
            <w:szCs w:val="22"/>
            <w:lang w:val="en-CA"/>
          </w:rPr>
          <w:tab/>
        </w:r>
        <w:r w:rsidR="003B082C" w:rsidRPr="00BB704C">
          <w:rPr>
            <w:rStyle w:val="Hyperlink"/>
            <w:noProof/>
          </w:rPr>
          <w:t>Transmission Rights Clearing Account Disbursement</w:t>
        </w:r>
        <w:r w:rsidR="003B082C">
          <w:rPr>
            <w:noProof/>
            <w:webHidden/>
          </w:rPr>
          <w:tab/>
        </w:r>
        <w:r w:rsidR="003B082C">
          <w:rPr>
            <w:noProof/>
            <w:webHidden/>
          </w:rPr>
          <w:fldChar w:fldCharType="begin"/>
        </w:r>
        <w:r w:rsidR="003B082C">
          <w:rPr>
            <w:noProof/>
            <w:webHidden/>
          </w:rPr>
          <w:instrText xml:space="preserve"> PAGEREF _Toc79657958 \h </w:instrText>
        </w:r>
        <w:r w:rsidR="003B082C">
          <w:rPr>
            <w:noProof/>
            <w:webHidden/>
          </w:rPr>
        </w:r>
        <w:r w:rsidR="003B082C">
          <w:rPr>
            <w:noProof/>
            <w:webHidden/>
          </w:rPr>
          <w:fldChar w:fldCharType="separate"/>
        </w:r>
        <w:r w:rsidR="003B082C">
          <w:rPr>
            <w:noProof/>
            <w:webHidden/>
          </w:rPr>
          <w:t>61</w:t>
        </w:r>
        <w:r w:rsidR="003B082C">
          <w:rPr>
            <w:noProof/>
            <w:webHidden/>
          </w:rPr>
          <w:fldChar w:fldCharType="end"/>
        </w:r>
      </w:hyperlink>
    </w:p>
    <w:p w14:paraId="7EFC4BD8" w14:textId="730D945A" w:rsidR="003B082C" w:rsidRDefault="005C5CD4">
      <w:pPr>
        <w:pStyle w:val="TOC3"/>
        <w:rPr>
          <w:rFonts w:asciiTheme="minorHAnsi" w:eastAsiaTheme="minorEastAsia" w:hAnsiTheme="minorHAnsi" w:cstheme="minorBidi"/>
          <w:noProof/>
          <w:szCs w:val="22"/>
          <w:lang w:val="en-CA"/>
        </w:rPr>
      </w:pPr>
      <w:hyperlink w:anchor="_Toc79657959" w:history="1">
        <w:r w:rsidR="003B082C" w:rsidRPr="00BB704C">
          <w:rPr>
            <w:rStyle w:val="Hyperlink"/>
            <w:noProof/>
          </w:rPr>
          <w:t>1.6.28</w:t>
        </w:r>
        <w:r w:rsidR="003B082C">
          <w:rPr>
            <w:rFonts w:asciiTheme="minorHAnsi" w:eastAsiaTheme="minorEastAsia" w:hAnsiTheme="minorHAnsi" w:cstheme="minorBidi"/>
            <w:noProof/>
            <w:szCs w:val="22"/>
            <w:lang w:val="en-CA"/>
          </w:rPr>
          <w:tab/>
        </w:r>
        <w:r w:rsidR="003B082C" w:rsidRPr="00BB704C">
          <w:rPr>
            <w:rStyle w:val="Hyperlink"/>
            <w:noProof/>
          </w:rPr>
          <w:t>Limiting Constrained-off CMSC to Interties</w:t>
        </w:r>
        <w:r w:rsidR="003B082C">
          <w:rPr>
            <w:noProof/>
            <w:webHidden/>
          </w:rPr>
          <w:tab/>
        </w:r>
        <w:r w:rsidR="003B082C">
          <w:rPr>
            <w:noProof/>
            <w:webHidden/>
          </w:rPr>
          <w:fldChar w:fldCharType="begin"/>
        </w:r>
        <w:r w:rsidR="003B082C">
          <w:rPr>
            <w:noProof/>
            <w:webHidden/>
          </w:rPr>
          <w:instrText xml:space="preserve"> PAGEREF _Toc79657959 \h </w:instrText>
        </w:r>
        <w:r w:rsidR="003B082C">
          <w:rPr>
            <w:noProof/>
            <w:webHidden/>
          </w:rPr>
        </w:r>
        <w:r w:rsidR="003B082C">
          <w:rPr>
            <w:noProof/>
            <w:webHidden/>
          </w:rPr>
          <w:fldChar w:fldCharType="separate"/>
        </w:r>
        <w:r w:rsidR="003B082C">
          <w:rPr>
            <w:noProof/>
            <w:webHidden/>
          </w:rPr>
          <w:t>61</w:t>
        </w:r>
        <w:r w:rsidR="003B082C">
          <w:rPr>
            <w:noProof/>
            <w:webHidden/>
          </w:rPr>
          <w:fldChar w:fldCharType="end"/>
        </w:r>
      </w:hyperlink>
    </w:p>
    <w:p w14:paraId="2FF69C66" w14:textId="57FFA601" w:rsidR="003B082C" w:rsidRDefault="005C5CD4">
      <w:pPr>
        <w:pStyle w:val="TOC3"/>
        <w:rPr>
          <w:rFonts w:asciiTheme="minorHAnsi" w:eastAsiaTheme="minorEastAsia" w:hAnsiTheme="minorHAnsi" w:cstheme="minorBidi"/>
          <w:noProof/>
          <w:szCs w:val="22"/>
          <w:lang w:val="en-CA"/>
        </w:rPr>
      </w:pPr>
      <w:hyperlink w:anchor="_Toc79657960" w:history="1">
        <w:r w:rsidR="003B082C" w:rsidRPr="00BB704C">
          <w:rPr>
            <w:rStyle w:val="Hyperlink"/>
            <w:noProof/>
          </w:rPr>
          <w:t>1.6.29</w:t>
        </w:r>
        <w:r w:rsidR="003B082C">
          <w:rPr>
            <w:rFonts w:asciiTheme="minorHAnsi" w:eastAsiaTheme="minorEastAsia" w:hAnsiTheme="minorHAnsi" w:cstheme="minorBidi"/>
            <w:noProof/>
            <w:szCs w:val="22"/>
            <w:lang w:val="en-CA"/>
          </w:rPr>
          <w:tab/>
        </w:r>
        <w:r w:rsidR="003B082C" w:rsidRPr="00BB704C">
          <w:rPr>
            <w:rStyle w:val="Hyperlink"/>
            <w:noProof/>
          </w:rPr>
          <w:t>Ontario Electricity Support Program</w:t>
        </w:r>
        <w:r w:rsidR="003B082C">
          <w:rPr>
            <w:noProof/>
            <w:webHidden/>
          </w:rPr>
          <w:tab/>
        </w:r>
        <w:r w:rsidR="003B082C">
          <w:rPr>
            <w:noProof/>
            <w:webHidden/>
          </w:rPr>
          <w:fldChar w:fldCharType="begin"/>
        </w:r>
        <w:r w:rsidR="003B082C">
          <w:rPr>
            <w:noProof/>
            <w:webHidden/>
          </w:rPr>
          <w:instrText xml:space="preserve"> PAGEREF _Toc79657960 \h </w:instrText>
        </w:r>
        <w:r w:rsidR="003B082C">
          <w:rPr>
            <w:noProof/>
            <w:webHidden/>
          </w:rPr>
        </w:r>
        <w:r w:rsidR="003B082C">
          <w:rPr>
            <w:noProof/>
            <w:webHidden/>
          </w:rPr>
          <w:fldChar w:fldCharType="separate"/>
        </w:r>
        <w:r w:rsidR="003B082C">
          <w:rPr>
            <w:noProof/>
            <w:webHidden/>
          </w:rPr>
          <w:t>62</w:t>
        </w:r>
        <w:r w:rsidR="003B082C">
          <w:rPr>
            <w:noProof/>
            <w:webHidden/>
          </w:rPr>
          <w:fldChar w:fldCharType="end"/>
        </w:r>
      </w:hyperlink>
    </w:p>
    <w:p w14:paraId="22DAC382" w14:textId="1E02759B" w:rsidR="003B082C" w:rsidRDefault="005C5CD4">
      <w:pPr>
        <w:pStyle w:val="TOC3"/>
        <w:rPr>
          <w:rFonts w:asciiTheme="minorHAnsi" w:eastAsiaTheme="minorEastAsia" w:hAnsiTheme="minorHAnsi" w:cstheme="minorBidi"/>
          <w:noProof/>
          <w:szCs w:val="22"/>
          <w:lang w:val="en-CA"/>
        </w:rPr>
      </w:pPr>
      <w:hyperlink w:anchor="_Toc79657961" w:history="1">
        <w:r w:rsidR="003B082C" w:rsidRPr="00BB704C">
          <w:rPr>
            <w:rStyle w:val="Hyperlink"/>
            <w:noProof/>
          </w:rPr>
          <w:t>1.6.30</w:t>
        </w:r>
        <w:r w:rsidR="003B082C">
          <w:rPr>
            <w:rFonts w:asciiTheme="minorHAnsi" w:eastAsiaTheme="minorEastAsia" w:hAnsiTheme="minorHAnsi" w:cstheme="minorBidi"/>
            <w:noProof/>
            <w:szCs w:val="22"/>
            <w:lang w:val="en-CA"/>
          </w:rPr>
          <w:tab/>
        </w:r>
        <w:r w:rsidR="003B082C" w:rsidRPr="00BB704C">
          <w:rPr>
            <w:rStyle w:val="Hyperlink"/>
            <w:noProof/>
          </w:rPr>
          <w:t>Adjustment Account Surplus Disbursement</w:t>
        </w:r>
        <w:r w:rsidR="003B082C">
          <w:rPr>
            <w:noProof/>
            <w:webHidden/>
          </w:rPr>
          <w:tab/>
        </w:r>
        <w:r w:rsidR="003B082C">
          <w:rPr>
            <w:noProof/>
            <w:webHidden/>
          </w:rPr>
          <w:fldChar w:fldCharType="begin"/>
        </w:r>
        <w:r w:rsidR="003B082C">
          <w:rPr>
            <w:noProof/>
            <w:webHidden/>
          </w:rPr>
          <w:instrText xml:space="preserve"> PAGEREF _Toc79657961 \h </w:instrText>
        </w:r>
        <w:r w:rsidR="003B082C">
          <w:rPr>
            <w:noProof/>
            <w:webHidden/>
          </w:rPr>
        </w:r>
        <w:r w:rsidR="003B082C">
          <w:rPr>
            <w:noProof/>
            <w:webHidden/>
          </w:rPr>
          <w:fldChar w:fldCharType="separate"/>
        </w:r>
        <w:r w:rsidR="003B082C">
          <w:rPr>
            <w:noProof/>
            <w:webHidden/>
          </w:rPr>
          <w:t>62</w:t>
        </w:r>
        <w:r w:rsidR="003B082C">
          <w:rPr>
            <w:noProof/>
            <w:webHidden/>
          </w:rPr>
          <w:fldChar w:fldCharType="end"/>
        </w:r>
      </w:hyperlink>
    </w:p>
    <w:p w14:paraId="3D8B0C85" w14:textId="5DBE909C" w:rsidR="003B082C" w:rsidRDefault="005C5CD4">
      <w:pPr>
        <w:pStyle w:val="TOC3"/>
        <w:rPr>
          <w:rFonts w:asciiTheme="minorHAnsi" w:eastAsiaTheme="minorEastAsia" w:hAnsiTheme="minorHAnsi" w:cstheme="minorBidi"/>
          <w:noProof/>
          <w:szCs w:val="22"/>
          <w:lang w:val="en-CA"/>
        </w:rPr>
      </w:pPr>
      <w:hyperlink w:anchor="_Toc79657962" w:history="1">
        <w:r w:rsidR="003B082C" w:rsidRPr="00BB704C">
          <w:rPr>
            <w:rStyle w:val="Hyperlink"/>
            <w:noProof/>
          </w:rPr>
          <w:t>1.6.31</w:t>
        </w:r>
        <w:r w:rsidR="003B082C">
          <w:rPr>
            <w:rFonts w:asciiTheme="minorHAnsi" w:eastAsiaTheme="minorEastAsia" w:hAnsiTheme="minorHAnsi" w:cstheme="minorBidi"/>
            <w:noProof/>
            <w:szCs w:val="22"/>
            <w:lang w:val="en-CA"/>
          </w:rPr>
          <w:tab/>
        </w:r>
        <w:r w:rsidR="003B082C" w:rsidRPr="00BB704C">
          <w:rPr>
            <w:rStyle w:val="Hyperlink"/>
            <w:noProof/>
          </w:rPr>
          <w:t>Limiting Constrained On CMSC Payments to Generators and Electricity Storage Participants Ramping Down</w:t>
        </w:r>
        <w:r w:rsidR="003B082C">
          <w:rPr>
            <w:noProof/>
            <w:webHidden/>
          </w:rPr>
          <w:tab/>
        </w:r>
        <w:r w:rsidR="003B082C">
          <w:rPr>
            <w:noProof/>
            <w:webHidden/>
          </w:rPr>
          <w:fldChar w:fldCharType="begin"/>
        </w:r>
        <w:r w:rsidR="003B082C">
          <w:rPr>
            <w:noProof/>
            <w:webHidden/>
          </w:rPr>
          <w:instrText xml:space="preserve"> PAGEREF _Toc79657962 \h </w:instrText>
        </w:r>
        <w:r w:rsidR="003B082C">
          <w:rPr>
            <w:noProof/>
            <w:webHidden/>
          </w:rPr>
        </w:r>
        <w:r w:rsidR="003B082C">
          <w:rPr>
            <w:noProof/>
            <w:webHidden/>
          </w:rPr>
          <w:fldChar w:fldCharType="separate"/>
        </w:r>
        <w:r w:rsidR="003B082C">
          <w:rPr>
            <w:noProof/>
            <w:webHidden/>
          </w:rPr>
          <w:t>63</w:t>
        </w:r>
        <w:r w:rsidR="003B082C">
          <w:rPr>
            <w:noProof/>
            <w:webHidden/>
          </w:rPr>
          <w:fldChar w:fldCharType="end"/>
        </w:r>
      </w:hyperlink>
    </w:p>
    <w:p w14:paraId="1A6C304C" w14:textId="2E0AEC6E" w:rsidR="003B082C" w:rsidRDefault="005C5CD4">
      <w:pPr>
        <w:pStyle w:val="TOC3"/>
        <w:rPr>
          <w:rFonts w:asciiTheme="minorHAnsi" w:eastAsiaTheme="minorEastAsia" w:hAnsiTheme="minorHAnsi" w:cstheme="minorBidi"/>
          <w:noProof/>
          <w:szCs w:val="22"/>
          <w:lang w:val="en-CA"/>
        </w:rPr>
      </w:pPr>
      <w:hyperlink w:anchor="_Toc79657963" w:history="1">
        <w:r w:rsidR="003B082C" w:rsidRPr="00BB704C">
          <w:rPr>
            <w:rStyle w:val="Hyperlink"/>
            <w:noProof/>
          </w:rPr>
          <w:t>1.6.32</w:t>
        </w:r>
        <w:r w:rsidR="003B082C">
          <w:rPr>
            <w:rFonts w:asciiTheme="minorHAnsi" w:eastAsiaTheme="minorEastAsia" w:hAnsiTheme="minorHAnsi" w:cstheme="minorBidi"/>
            <w:noProof/>
            <w:szCs w:val="22"/>
            <w:lang w:val="en-CA"/>
          </w:rPr>
          <w:tab/>
        </w:r>
        <w:r w:rsidR="003B082C" w:rsidRPr="00BB704C">
          <w:rPr>
            <w:rStyle w:val="Hyperlink"/>
            <w:noProof/>
          </w:rPr>
          <w:t>Ontario Rebate for Electricity Consumers Act, 2016</w:t>
        </w:r>
        <w:r w:rsidR="003B082C">
          <w:rPr>
            <w:noProof/>
            <w:webHidden/>
          </w:rPr>
          <w:tab/>
        </w:r>
        <w:r w:rsidR="003B082C">
          <w:rPr>
            <w:noProof/>
            <w:webHidden/>
          </w:rPr>
          <w:fldChar w:fldCharType="begin"/>
        </w:r>
        <w:r w:rsidR="003B082C">
          <w:rPr>
            <w:noProof/>
            <w:webHidden/>
          </w:rPr>
          <w:instrText xml:space="preserve"> PAGEREF _Toc79657963 \h </w:instrText>
        </w:r>
        <w:r w:rsidR="003B082C">
          <w:rPr>
            <w:noProof/>
            <w:webHidden/>
          </w:rPr>
        </w:r>
        <w:r w:rsidR="003B082C">
          <w:rPr>
            <w:noProof/>
            <w:webHidden/>
          </w:rPr>
          <w:fldChar w:fldCharType="separate"/>
        </w:r>
        <w:r w:rsidR="003B082C">
          <w:rPr>
            <w:noProof/>
            <w:webHidden/>
          </w:rPr>
          <w:t>64</w:t>
        </w:r>
        <w:r w:rsidR="003B082C">
          <w:rPr>
            <w:noProof/>
            <w:webHidden/>
          </w:rPr>
          <w:fldChar w:fldCharType="end"/>
        </w:r>
      </w:hyperlink>
    </w:p>
    <w:p w14:paraId="43858F41" w14:textId="6486CFF1" w:rsidR="003B082C" w:rsidRDefault="005C5CD4">
      <w:pPr>
        <w:pStyle w:val="TOC3"/>
        <w:rPr>
          <w:rFonts w:asciiTheme="minorHAnsi" w:eastAsiaTheme="minorEastAsia" w:hAnsiTheme="minorHAnsi" w:cstheme="minorBidi"/>
          <w:noProof/>
          <w:szCs w:val="22"/>
          <w:lang w:val="en-CA"/>
        </w:rPr>
      </w:pPr>
      <w:hyperlink w:anchor="_Toc79657964" w:history="1">
        <w:r w:rsidR="003B082C" w:rsidRPr="00BB704C">
          <w:rPr>
            <w:rStyle w:val="Hyperlink"/>
            <w:noProof/>
          </w:rPr>
          <w:t>1.6.33</w:t>
        </w:r>
        <w:r w:rsidR="003B082C">
          <w:rPr>
            <w:rFonts w:asciiTheme="minorHAnsi" w:eastAsiaTheme="minorEastAsia" w:hAnsiTheme="minorHAnsi" w:cstheme="minorBidi"/>
            <w:noProof/>
            <w:szCs w:val="22"/>
            <w:lang w:val="en-CA"/>
          </w:rPr>
          <w:tab/>
        </w:r>
        <w:r w:rsidR="003B082C" w:rsidRPr="00BB704C">
          <w:rPr>
            <w:rStyle w:val="Hyperlink"/>
            <w:noProof/>
          </w:rPr>
          <w:t>Fair Hydro Act, 2017</w:t>
        </w:r>
        <w:r w:rsidR="003B082C">
          <w:rPr>
            <w:noProof/>
            <w:webHidden/>
          </w:rPr>
          <w:tab/>
        </w:r>
        <w:r w:rsidR="003B082C">
          <w:rPr>
            <w:noProof/>
            <w:webHidden/>
          </w:rPr>
          <w:fldChar w:fldCharType="begin"/>
        </w:r>
        <w:r w:rsidR="003B082C">
          <w:rPr>
            <w:noProof/>
            <w:webHidden/>
          </w:rPr>
          <w:instrText xml:space="preserve"> PAGEREF _Toc79657964 \h </w:instrText>
        </w:r>
        <w:r w:rsidR="003B082C">
          <w:rPr>
            <w:noProof/>
            <w:webHidden/>
          </w:rPr>
        </w:r>
        <w:r w:rsidR="003B082C">
          <w:rPr>
            <w:noProof/>
            <w:webHidden/>
          </w:rPr>
          <w:fldChar w:fldCharType="separate"/>
        </w:r>
        <w:r w:rsidR="003B082C">
          <w:rPr>
            <w:noProof/>
            <w:webHidden/>
          </w:rPr>
          <w:t>65</w:t>
        </w:r>
        <w:r w:rsidR="003B082C">
          <w:rPr>
            <w:noProof/>
            <w:webHidden/>
          </w:rPr>
          <w:fldChar w:fldCharType="end"/>
        </w:r>
      </w:hyperlink>
    </w:p>
    <w:p w14:paraId="75D57A91" w14:textId="508D2B50" w:rsidR="003B082C" w:rsidRDefault="005C5CD4">
      <w:pPr>
        <w:pStyle w:val="TOC3"/>
        <w:rPr>
          <w:rFonts w:asciiTheme="minorHAnsi" w:eastAsiaTheme="minorEastAsia" w:hAnsiTheme="minorHAnsi" w:cstheme="minorBidi"/>
          <w:noProof/>
          <w:szCs w:val="22"/>
          <w:lang w:val="en-CA"/>
        </w:rPr>
      </w:pPr>
      <w:hyperlink w:anchor="_Toc79657965" w:history="1">
        <w:r w:rsidR="003B082C" w:rsidRPr="00BB704C">
          <w:rPr>
            <w:rStyle w:val="Hyperlink"/>
            <w:noProof/>
          </w:rPr>
          <w:t>1.6.34</w:t>
        </w:r>
        <w:r w:rsidR="003B082C">
          <w:rPr>
            <w:rFonts w:asciiTheme="minorHAnsi" w:eastAsiaTheme="minorEastAsia" w:hAnsiTheme="minorHAnsi" w:cstheme="minorBidi"/>
            <w:noProof/>
            <w:szCs w:val="22"/>
            <w:lang w:val="en-CA"/>
          </w:rPr>
          <w:tab/>
        </w:r>
        <w:r w:rsidR="003B082C" w:rsidRPr="00BB704C">
          <w:rPr>
            <w:rStyle w:val="Hyperlink"/>
            <w:noProof/>
          </w:rPr>
          <w:t>Capacity Exports</w:t>
        </w:r>
        <w:r w:rsidR="003B082C">
          <w:rPr>
            <w:noProof/>
            <w:webHidden/>
          </w:rPr>
          <w:tab/>
        </w:r>
        <w:r w:rsidR="003B082C">
          <w:rPr>
            <w:noProof/>
            <w:webHidden/>
          </w:rPr>
          <w:fldChar w:fldCharType="begin"/>
        </w:r>
        <w:r w:rsidR="003B082C">
          <w:rPr>
            <w:noProof/>
            <w:webHidden/>
          </w:rPr>
          <w:instrText xml:space="preserve"> PAGEREF _Toc79657965 \h </w:instrText>
        </w:r>
        <w:r w:rsidR="003B082C">
          <w:rPr>
            <w:noProof/>
            <w:webHidden/>
          </w:rPr>
        </w:r>
        <w:r w:rsidR="003B082C">
          <w:rPr>
            <w:noProof/>
            <w:webHidden/>
          </w:rPr>
          <w:fldChar w:fldCharType="separate"/>
        </w:r>
        <w:r w:rsidR="003B082C">
          <w:rPr>
            <w:noProof/>
            <w:webHidden/>
          </w:rPr>
          <w:t>67</w:t>
        </w:r>
        <w:r w:rsidR="003B082C">
          <w:rPr>
            <w:noProof/>
            <w:webHidden/>
          </w:rPr>
          <w:fldChar w:fldCharType="end"/>
        </w:r>
      </w:hyperlink>
    </w:p>
    <w:p w14:paraId="19CBF13B" w14:textId="350B8247" w:rsidR="003B082C" w:rsidRDefault="005C5CD4">
      <w:pPr>
        <w:pStyle w:val="TOC3"/>
        <w:rPr>
          <w:rFonts w:asciiTheme="minorHAnsi" w:eastAsiaTheme="minorEastAsia" w:hAnsiTheme="minorHAnsi" w:cstheme="minorBidi"/>
          <w:noProof/>
          <w:szCs w:val="22"/>
          <w:lang w:val="en-CA"/>
        </w:rPr>
      </w:pPr>
      <w:hyperlink w:anchor="_Toc79657966" w:history="1">
        <w:r w:rsidR="003B082C" w:rsidRPr="00BB704C">
          <w:rPr>
            <w:rStyle w:val="Hyperlink"/>
            <w:noProof/>
          </w:rPr>
          <w:t>1.6.35</w:t>
        </w:r>
        <w:r w:rsidR="003B082C">
          <w:rPr>
            <w:rFonts w:asciiTheme="minorHAnsi" w:eastAsiaTheme="minorEastAsia" w:hAnsiTheme="minorHAnsi" w:cstheme="minorBidi"/>
            <w:noProof/>
            <w:szCs w:val="22"/>
            <w:lang w:val="en-CA"/>
          </w:rPr>
          <w:tab/>
        </w:r>
        <w:r w:rsidR="003B082C" w:rsidRPr="00BB704C">
          <w:rPr>
            <w:rStyle w:val="Hyperlink"/>
            <w:noProof/>
          </w:rPr>
          <w:t>Dispute Resolution Settlement</w:t>
        </w:r>
        <w:r w:rsidR="003B082C">
          <w:rPr>
            <w:noProof/>
            <w:webHidden/>
          </w:rPr>
          <w:tab/>
        </w:r>
        <w:r w:rsidR="003B082C">
          <w:rPr>
            <w:noProof/>
            <w:webHidden/>
          </w:rPr>
          <w:fldChar w:fldCharType="begin"/>
        </w:r>
        <w:r w:rsidR="003B082C">
          <w:rPr>
            <w:noProof/>
            <w:webHidden/>
          </w:rPr>
          <w:instrText xml:space="preserve"> PAGEREF _Toc79657966 \h </w:instrText>
        </w:r>
        <w:r w:rsidR="003B082C">
          <w:rPr>
            <w:noProof/>
            <w:webHidden/>
          </w:rPr>
        </w:r>
        <w:r w:rsidR="003B082C">
          <w:rPr>
            <w:noProof/>
            <w:webHidden/>
          </w:rPr>
          <w:fldChar w:fldCharType="separate"/>
        </w:r>
        <w:r w:rsidR="003B082C">
          <w:rPr>
            <w:noProof/>
            <w:webHidden/>
          </w:rPr>
          <w:t>67</w:t>
        </w:r>
        <w:r w:rsidR="003B082C">
          <w:rPr>
            <w:noProof/>
            <w:webHidden/>
          </w:rPr>
          <w:fldChar w:fldCharType="end"/>
        </w:r>
      </w:hyperlink>
    </w:p>
    <w:p w14:paraId="3FF23548" w14:textId="5F1A5645" w:rsidR="003B082C" w:rsidRDefault="005C5CD4">
      <w:pPr>
        <w:pStyle w:val="TOC3"/>
        <w:rPr>
          <w:rFonts w:asciiTheme="minorHAnsi" w:eastAsiaTheme="minorEastAsia" w:hAnsiTheme="minorHAnsi" w:cstheme="minorBidi"/>
          <w:noProof/>
          <w:szCs w:val="22"/>
          <w:lang w:val="en-CA"/>
        </w:rPr>
      </w:pPr>
      <w:hyperlink w:anchor="_Toc79657967" w:history="1">
        <w:r w:rsidR="003B082C" w:rsidRPr="00BB704C">
          <w:rPr>
            <w:rStyle w:val="Hyperlink"/>
            <w:noProof/>
            <w:lang w:val="en-CA"/>
          </w:rPr>
          <w:t>1.6.36</w:t>
        </w:r>
        <w:r w:rsidR="003B082C">
          <w:rPr>
            <w:rFonts w:asciiTheme="minorHAnsi" w:eastAsiaTheme="minorEastAsia" w:hAnsiTheme="minorHAnsi" w:cstheme="minorBidi"/>
            <w:noProof/>
            <w:szCs w:val="22"/>
            <w:lang w:val="en-CA"/>
          </w:rPr>
          <w:tab/>
        </w:r>
        <w:r w:rsidR="003B082C" w:rsidRPr="00BB704C">
          <w:rPr>
            <w:rStyle w:val="Hyperlink"/>
            <w:noProof/>
            <w:lang w:val="en-CA"/>
          </w:rPr>
          <w:t>COVID-19 Energy Assistance Program (CEAP and CEAP-SB)</w:t>
        </w:r>
        <w:r w:rsidR="003B082C">
          <w:rPr>
            <w:noProof/>
            <w:webHidden/>
          </w:rPr>
          <w:tab/>
        </w:r>
        <w:r w:rsidR="003B082C">
          <w:rPr>
            <w:noProof/>
            <w:webHidden/>
          </w:rPr>
          <w:fldChar w:fldCharType="begin"/>
        </w:r>
        <w:r w:rsidR="003B082C">
          <w:rPr>
            <w:noProof/>
            <w:webHidden/>
          </w:rPr>
          <w:instrText xml:space="preserve"> PAGEREF _Toc79657967 \h </w:instrText>
        </w:r>
        <w:r w:rsidR="003B082C">
          <w:rPr>
            <w:noProof/>
            <w:webHidden/>
          </w:rPr>
        </w:r>
        <w:r w:rsidR="003B082C">
          <w:rPr>
            <w:noProof/>
            <w:webHidden/>
          </w:rPr>
          <w:fldChar w:fldCharType="separate"/>
        </w:r>
        <w:r w:rsidR="003B082C">
          <w:rPr>
            <w:noProof/>
            <w:webHidden/>
          </w:rPr>
          <w:t>67</w:t>
        </w:r>
        <w:r w:rsidR="003B082C">
          <w:rPr>
            <w:noProof/>
            <w:webHidden/>
          </w:rPr>
          <w:fldChar w:fldCharType="end"/>
        </w:r>
      </w:hyperlink>
    </w:p>
    <w:p w14:paraId="49F2E49F" w14:textId="4A60A541" w:rsidR="003B082C" w:rsidRDefault="005C5CD4">
      <w:pPr>
        <w:pStyle w:val="TOC2"/>
        <w:rPr>
          <w:rFonts w:asciiTheme="minorHAnsi" w:eastAsiaTheme="minorEastAsia" w:hAnsiTheme="minorHAnsi" w:cstheme="minorBidi"/>
          <w:szCs w:val="22"/>
          <w:lang w:val="en-CA"/>
        </w:rPr>
      </w:pPr>
      <w:hyperlink w:anchor="_Toc79657968" w:history="1">
        <w:r w:rsidR="003B082C" w:rsidRPr="00BB704C">
          <w:rPr>
            <w:rStyle w:val="Hyperlink"/>
            <w:lang w:val="en-CA"/>
          </w:rPr>
          <w:t>1.7</w:t>
        </w:r>
        <w:r w:rsidR="003B082C">
          <w:rPr>
            <w:rFonts w:asciiTheme="minorHAnsi" w:eastAsiaTheme="minorEastAsia" w:hAnsiTheme="minorHAnsi" w:cstheme="minorBidi"/>
            <w:szCs w:val="22"/>
            <w:lang w:val="en-CA"/>
          </w:rPr>
          <w:tab/>
        </w:r>
        <w:r w:rsidR="003B082C" w:rsidRPr="00BB704C">
          <w:rPr>
            <w:rStyle w:val="Hyperlink"/>
            <w:lang w:val="en-CA"/>
          </w:rPr>
          <w:t>Roles and Responsibilities</w:t>
        </w:r>
        <w:r w:rsidR="003B082C">
          <w:rPr>
            <w:webHidden/>
          </w:rPr>
          <w:tab/>
        </w:r>
        <w:r w:rsidR="003B082C">
          <w:rPr>
            <w:webHidden/>
          </w:rPr>
          <w:fldChar w:fldCharType="begin"/>
        </w:r>
        <w:r w:rsidR="003B082C">
          <w:rPr>
            <w:webHidden/>
          </w:rPr>
          <w:instrText xml:space="preserve"> PAGEREF _Toc79657968 \h </w:instrText>
        </w:r>
        <w:r w:rsidR="003B082C">
          <w:rPr>
            <w:webHidden/>
          </w:rPr>
        </w:r>
        <w:r w:rsidR="003B082C">
          <w:rPr>
            <w:webHidden/>
          </w:rPr>
          <w:fldChar w:fldCharType="separate"/>
        </w:r>
        <w:r w:rsidR="003B082C">
          <w:rPr>
            <w:webHidden/>
          </w:rPr>
          <w:t>68</w:t>
        </w:r>
        <w:r w:rsidR="003B082C">
          <w:rPr>
            <w:webHidden/>
          </w:rPr>
          <w:fldChar w:fldCharType="end"/>
        </w:r>
      </w:hyperlink>
    </w:p>
    <w:p w14:paraId="06397CF6" w14:textId="23AA343E" w:rsidR="003B082C" w:rsidRDefault="005C5CD4">
      <w:pPr>
        <w:pStyle w:val="TOC2"/>
        <w:rPr>
          <w:rFonts w:asciiTheme="minorHAnsi" w:eastAsiaTheme="minorEastAsia" w:hAnsiTheme="minorHAnsi" w:cstheme="minorBidi"/>
          <w:szCs w:val="22"/>
          <w:lang w:val="en-CA"/>
        </w:rPr>
      </w:pPr>
      <w:hyperlink w:anchor="_Toc79657969" w:history="1">
        <w:r w:rsidR="003B082C" w:rsidRPr="00BB704C">
          <w:rPr>
            <w:rStyle w:val="Hyperlink"/>
            <w:lang w:val="en-CA"/>
          </w:rPr>
          <w:t>1.8</w:t>
        </w:r>
        <w:r w:rsidR="003B082C">
          <w:rPr>
            <w:rFonts w:asciiTheme="minorHAnsi" w:eastAsiaTheme="minorEastAsia" w:hAnsiTheme="minorHAnsi" w:cstheme="minorBidi"/>
            <w:szCs w:val="22"/>
            <w:lang w:val="en-CA"/>
          </w:rPr>
          <w:tab/>
        </w:r>
        <w:r w:rsidR="003B082C" w:rsidRPr="00BB704C">
          <w:rPr>
            <w:rStyle w:val="Hyperlink"/>
            <w:lang w:val="en-CA"/>
          </w:rPr>
          <w:t>Contact Information</w:t>
        </w:r>
        <w:r w:rsidR="003B082C">
          <w:rPr>
            <w:webHidden/>
          </w:rPr>
          <w:tab/>
        </w:r>
        <w:r w:rsidR="003B082C">
          <w:rPr>
            <w:webHidden/>
          </w:rPr>
          <w:fldChar w:fldCharType="begin"/>
        </w:r>
        <w:r w:rsidR="003B082C">
          <w:rPr>
            <w:webHidden/>
          </w:rPr>
          <w:instrText xml:space="preserve"> PAGEREF _Toc79657969 \h </w:instrText>
        </w:r>
        <w:r w:rsidR="003B082C">
          <w:rPr>
            <w:webHidden/>
          </w:rPr>
        </w:r>
        <w:r w:rsidR="003B082C">
          <w:rPr>
            <w:webHidden/>
          </w:rPr>
          <w:fldChar w:fldCharType="separate"/>
        </w:r>
        <w:r w:rsidR="003B082C">
          <w:rPr>
            <w:webHidden/>
          </w:rPr>
          <w:t>69</w:t>
        </w:r>
        <w:r w:rsidR="003B082C">
          <w:rPr>
            <w:webHidden/>
          </w:rPr>
          <w:fldChar w:fldCharType="end"/>
        </w:r>
      </w:hyperlink>
    </w:p>
    <w:p w14:paraId="667B8AA2" w14:textId="2DB18924" w:rsidR="003B082C" w:rsidRDefault="005C5CD4">
      <w:pPr>
        <w:pStyle w:val="TOC1"/>
        <w:rPr>
          <w:rFonts w:asciiTheme="minorHAnsi" w:eastAsiaTheme="minorEastAsia" w:hAnsiTheme="minorHAnsi" w:cstheme="minorBidi"/>
          <w:sz w:val="22"/>
          <w:szCs w:val="22"/>
        </w:rPr>
      </w:pPr>
      <w:hyperlink w:anchor="_Toc79657970" w:history="1">
        <w:r w:rsidR="003B082C" w:rsidRPr="00BB704C">
          <w:rPr>
            <w:rStyle w:val="Hyperlink"/>
          </w:rPr>
          <w:t>2.</w:t>
        </w:r>
        <w:r w:rsidR="003B082C">
          <w:rPr>
            <w:rFonts w:asciiTheme="minorHAnsi" w:eastAsiaTheme="minorEastAsia" w:hAnsiTheme="minorHAnsi" w:cstheme="minorBidi"/>
            <w:sz w:val="22"/>
            <w:szCs w:val="22"/>
          </w:rPr>
          <w:tab/>
        </w:r>
        <w:r w:rsidR="003B082C" w:rsidRPr="00BB704C">
          <w:rPr>
            <w:rStyle w:val="Hyperlink"/>
          </w:rPr>
          <w:t>Procedural Work Flow</w:t>
        </w:r>
        <w:r w:rsidR="003B082C">
          <w:rPr>
            <w:webHidden/>
          </w:rPr>
          <w:tab/>
        </w:r>
        <w:r w:rsidR="003B082C">
          <w:rPr>
            <w:webHidden/>
          </w:rPr>
          <w:fldChar w:fldCharType="begin"/>
        </w:r>
        <w:r w:rsidR="003B082C">
          <w:rPr>
            <w:webHidden/>
          </w:rPr>
          <w:instrText xml:space="preserve"> PAGEREF _Toc79657970 \h </w:instrText>
        </w:r>
        <w:r w:rsidR="003B082C">
          <w:rPr>
            <w:webHidden/>
          </w:rPr>
        </w:r>
        <w:r w:rsidR="003B082C">
          <w:rPr>
            <w:webHidden/>
          </w:rPr>
          <w:fldChar w:fldCharType="separate"/>
        </w:r>
        <w:r w:rsidR="003B082C">
          <w:rPr>
            <w:webHidden/>
          </w:rPr>
          <w:t>70</w:t>
        </w:r>
        <w:r w:rsidR="003B082C">
          <w:rPr>
            <w:webHidden/>
          </w:rPr>
          <w:fldChar w:fldCharType="end"/>
        </w:r>
      </w:hyperlink>
    </w:p>
    <w:p w14:paraId="2C825B91" w14:textId="2B912B38" w:rsidR="003B082C" w:rsidRDefault="005C5CD4">
      <w:pPr>
        <w:pStyle w:val="TOC2"/>
        <w:rPr>
          <w:rFonts w:asciiTheme="minorHAnsi" w:eastAsiaTheme="minorEastAsia" w:hAnsiTheme="minorHAnsi" w:cstheme="minorBidi"/>
          <w:szCs w:val="22"/>
          <w:lang w:val="en-CA"/>
        </w:rPr>
      </w:pPr>
      <w:hyperlink w:anchor="_Toc79657971" w:history="1">
        <w:r w:rsidR="003B082C" w:rsidRPr="00BB704C">
          <w:rPr>
            <w:rStyle w:val="Hyperlink"/>
            <w:lang w:val="en-CA"/>
          </w:rPr>
          <w:t>2.1</w:t>
        </w:r>
        <w:r w:rsidR="003B082C">
          <w:rPr>
            <w:rFonts w:asciiTheme="minorHAnsi" w:eastAsiaTheme="minorEastAsia" w:hAnsiTheme="minorHAnsi" w:cstheme="minorBidi"/>
            <w:szCs w:val="22"/>
            <w:lang w:val="en-CA"/>
          </w:rPr>
          <w:tab/>
        </w:r>
        <w:r w:rsidR="003B082C" w:rsidRPr="00BB704C">
          <w:rPr>
            <w:rStyle w:val="Hyperlink"/>
            <w:lang w:val="en-CA"/>
          </w:rPr>
          <w:t>Preliminary Settlement Statements</w:t>
        </w:r>
        <w:r w:rsidR="003B082C">
          <w:rPr>
            <w:webHidden/>
          </w:rPr>
          <w:tab/>
        </w:r>
        <w:r w:rsidR="003B082C">
          <w:rPr>
            <w:webHidden/>
          </w:rPr>
          <w:fldChar w:fldCharType="begin"/>
        </w:r>
        <w:r w:rsidR="003B082C">
          <w:rPr>
            <w:webHidden/>
          </w:rPr>
          <w:instrText xml:space="preserve"> PAGEREF _Toc79657971 \h </w:instrText>
        </w:r>
        <w:r w:rsidR="003B082C">
          <w:rPr>
            <w:webHidden/>
          </w:rPr>
        </w:r>
        <w:r w:rsidR="003B082C">
          <w:rPr>
            <w:webHidden/>
          </w:rPr>
          <w:fldChar w:fldCharType="separate"/>
        </w:r>
        <w:r w:rsidR="003B082C">
          <w:rPr>
            <w:webHidden/>
          </w:rPr>
          <w:t>70</w:t>
        </w:r>
        <w:r w:rsidR="003B082C">
          <w:rPr>
            <w:webHidden/>
          </w:rPr>
          <w:fldChar w:fldCharType="end"/>
        </w:r>
      </w:hyperlink>
    </w:p>
    <w:p w14:paraId="1FFFA70A" w14:textId="53F2EAEF" w:rsidR="003B082C" w:rsidRDefault="005C5CD4">
      <w:pPr>
        <w:pStyle w:val="TOC2"/>
        <w:rPr>
          <w:rFonts w:asciiTheme="minorHAnsi" w:eastAsiaTheme="minorEastAsia" w:hAnsiTheme="minorHAnsi" w:cstheme="minorBidi"/>
          <w:szCs w:val="22"/>
          <w:lang w:val="en-CA"/>
        </w:rPr>
      </w:pPr>
      <w:hyperlink w:anchor="_Toc79657972" w:history="1">
        <w:r w:rsidR="003B082C" w:rsidRPr="00BB704C">
          <w:rPr>
            <w:rStyle w:val="Hyperlink"/>
            <w:lang w:val="en-CA"/>
          </w:rPr>
          <w:t>2.2</w:t>
        </w:r>
        <w:r w:rsidR="003B082C">
          <w:rPr>
            <w:rFonts w:asciiTheme="minorHAnsi" w:eastAsiaTheme="minorEastAsia" w:hAnsiTheme="minorHAnsi" w:cstheme="minorBidi"/>
            <w:szCs w:val="22"/>
            <w:lang w:val="en-CA"/>
          </w:rPr>
          <w:tab/>
        </w:r>
        <w:r w:rsidR="003B082C" w:rsidRPr="00BB704C">
          <w:rPr>
            <w:rStyle w:val="Hyperlink"/>
            <w:lang w:val="en-CA"/>
          </w:rPr>
          <w:t>Retrieving Final Settlement Statements</w:t>
        </w:r>
        <w:r w:rsidR="003B082C">
          <w:rPr>
            <w:webHidden/>
          </w:rPr>
          <w:tab/>
        </w:r>
        <w:r w:rsidR="003B082C">
          <w:rPr>
            <w:webHidden/>
          </w:rPr>
          <w:fldChar w:fldCharType="begin"/>
        </w:r>
        <w:r w:rsidR="003B082C">
          <w:rPr>
            <w:webHidden/>
          </w:rPr>
          <w:instrText xml:space="preserve"> PAGEREF _Toc79657972 \h </w:instrText>
        </w:r>
        <w:r w:rsidR="003B082C">
          <w:rPr>
            <w:webHidden/>
          </w:rPr>
        </w:r>
        <w:r w:rsidR="003B082C">
          <w:rPr>
            <w:webHidden/>
          </w:rPr>
          <w:fldChar w:fldCharType="separate"/>
        </w:r>
        <w:r w:rsidR="003B082C">
          <w:rPr>
            <w:webHidden/>
          </w:rPr>
          <w:t>73</w:t>
        </w:r>
        <w:r w:rsidR="003B082C">
          <w:rPr>
            <w:webHidden/>
          </w:rPr>
          <w:fldChar w:fldCharType="end"/>
        </w:r>
      </w:hyperlink>
    </w:p>
    <w:p w14:paraId="2DB7EA8C" w14:textId="43EB3295" w:rsidR="003B082C" w:rsidRDefault="005C5CD4">
      <w:pPr>
        <w:pStyle w:val="TOC2"/>
        <w:rPr>
          <w:rFonts w:asciiTheme="minorHAnsi" w:eastAsiaTheme="minorEastAsia" w:hAnsiTheme="minorHAnsi" w:cstheme="minorBidi"/>
          <w:szCs w:val="22"/>
          <w:lang w:val="en-CA"/>
        </w:rPr>
      </w:pPr>
      <w:hyperlink w:anchor="_Toc79657973" w:history="1">
        <w:r w:rsidR="003B082C" w:rsidRPr="00BB704C">
          <w:rPr>
            <w:rStyle w:val="Hyperlink"/>
            <w:lang w:val="en-CA"/>
          </w:rPr>
          <w:t>2.3</w:t>
        </w:r>
        <w:r w:rsidR="003B082C">
          <w:rPr>
            <w:rFonts w:asciiTheme="minorHAnsi" w:eastAsiaTheme="minorEastAsia" w:hAnsiTheme="minorHAnsi" w:cstheme="minorBidi"/>
            <w:szCs w:val="22"/>
            <w:lang w:val="en-CA"/>
          </w:rPr>
          <w:tab/>
        </w:r>
        <w:r w:rsidR="003B082C" w:rsidRPr="00BB704C">
          <w:rPr>
            <w:rStyle w:val="Hyperlink"/>
            <w:lang w:val="en-CA"/>
          </w:rPr>
          <w:t>Intentionally Left Blank</w:t>
        </w:r>
        <w:r w:rsidR="003B082C">
          <w:rPr>
            <w:webHidden/>
          </w:rPr>
          <w:tab/>
        </w:r>
        <w:r w:rsidR="003B082C">
          <w:rPr>
            <w:webHidden/>
          </w:rPr>
          <w:fldChar w:fldCharType="begin"/>
        </w:r>
        <w:r w:rsidR="003B082C">
          <w:rPr>
            <w:webHidden/>
          </w:rPr>
          <w:instrText xml:space="preserve"> PAGEREF _Toc79657973 \h </w:instrText>
        </w:r>
        <w:r w:rsidR="003B082C">
          <w:rPr>
            <w:webHidden/>
          </w:rPr>
        </w:r>
        <w:r w:rsidR="003B082C">
          <w:rPr>
            <w:webHidden/>
          </w:rPr>
          <w:fldChar w:fldCharType="separate"/>
        </w:r>
        <w:r w:rsidR="003B082C">
          <w:rPr>
            <w:webHidden/>
          </w:rPr>
          <w:t>75</w:t>
        </w:r>
        <w:r w:rsidR="003B082C">
          <w:rPr>
            <w:webHidden/>
          </w:rPr>
          <w:fldChar w:fldCharType="end"/>
        </w:r>
      </w:hyperlink>
    </w:p>
    <w:p w14:paraId="03ADD461" w14:textId="33B820C9" w:rsidR="003B082C" w:rsidRDefault="005C5CD4">
      <w:pPr>
        <w:pStyle w:val="TOC2"/>
        <w:rPr>
          <w:rFonts w:asciiTheme="minorHAnsi" w:eastAsiaTheme="minorEastAsia" w:hAnsiTheme="minorHAnsi" w:cstheme="minorBidi"/>
          <w:szCs w:val="22"/>
          <w:lang w:val="en-CA"/>
        </w:rPr>
      </w:pPr>
      <w:hyperlink w:anchor="_Toc79657974" w:history="1">
        <w:r w:rsidR="003B082C" w:rsidRPr="00BB704C">
          <w:rPr>
            <w:rStyle w:val="Hyperlink"/>
            <w:lang w:val="en-CA"/>
          </w:rPr>
          <w:t>2.4</w:t>
        </w:r>
        <w:r w:rsidR="003B082C">
          <w:rPr>
            <w:rFonts w:asciiTheme="minorHAnsi" w:eastAsiaTheme="minorEastAsia" w:hAnsiTheme="minorHAnsi" w:cstheme="minorBidi"/>
            <w:szCs w:val="22"/>
            <w:lang w:val="en-CA"/>
          </w:rPr>
          <w:tab/>
        </w:r>
        <w:r w:rsidR="003B082C" w:rsidRPr="00BB704C">
          <w:rPr>
            <w:rStyle w:val="Hyperlink"/>
            <w:lang w:val="en-CA"/>
          </w:rPr>
          <w:t>Intentionally Left Blank</w:t>
        </w:r>
        <w:r w:rsidR="003B082C">
          <w:rPr>
            <w:webHidden/>
          </w:rPr>
          <w:tab/>
        </w:r>
        <w:r w:rsidR="003B082C">
          <w:rPr>
            <w:webHidden/>
          </w:rPr>
          <w:fldChar w:fldCharType="begin"/>
        </w:r>
        <w:r w:rsidR="003B082C">
          <w:rPr>
            <w:webHidden/>
          </w:rPr>
          <w:instrText xml:space="preserve"> PAGEREF _Toc79657974 \h </w:instrText>
        </w:r>
        <w:r w:rsidR="003B082C">
          <w:rPr>
            <w:webHidden/>
          </w:rPr>
        </w:r>
        <w:r w:rsidR="003B082C">
          <w:rPr>
            <w:webHidden/>
          </w:rPr>
          <w:fldChar w:fldCharType="separate"/>
        </w:r>
        <w:r w:rsidR="003B082C">
          <w:rPr>
            <w:webHidden/>
          </w:rPr>
          <w:t>76</w:t>
        </w:r>
        <w:r w:rsidR="003B082C">
          <w:rPr>
            <w:webHidden/>
          </w:rPr>
          <w:fldChar w:fldCharType="end"/>
        </w:r>
      </w:hyperlink>
    </w:p>
    <w:p w14:paraId="3EB946B5" w14:textId="03BAB203" w:rsidR="003B082C" w:rsidRDefault="005C5CD4">
      <w:pPr>
        <w:pStyle w:val="TOC2"/>
        <w:rPr>
          <w:rFonts w:asciiTheme="minorHAnsi" w:eastAsiaTheme="minorEastAsia" w:hAnsiTheme="minorHAnsi" w:cstheme="minorBidi"/>
          <w:szCs w:val="22"/>
          <w:lang w:val="en-CA"/>
        </w:rPr>
      </w:pPr>
      <w:hyperlink w:anchor="_Toc79657975" w:history="1">
        <w:r w:rsidR="003B082C" w:rsidRPr="00BB704C">
          <w:rPr>
            <w:rStyle w:val="Hyperlink"/>
            <w:lang w:val="en-CA"/>
          </w:rPr>
          <w:t>2.5</w:t>
        </w:r>
        <w:r w:rsidR="003B082C">
          <w:rPr>
            <w:rFonts w:asciiTheme="minorHAnsi" w:eastAsiaTheme="minorEastAsia" w:hAnsiTheme="minorHAnsi" w:cstheme="minorBidi"/>
            <w:szCs w:val="22"/>
            <w:lang w:val="en-CA"/>
          </w:rPr>
          <w:tab/>
        </w:r>
        <w:r w:rsidR="003B082C" w:rsidRPr="00BB704C">
          <w:rPr>
            <w:rStyle w:val="Hyperlink"/>
            <w:lang w:val="en-CA"/>
          </w:rPr>
          <w:t>Intentionally Left Blank</w:t>
        </w:r>
        <w:r w:rsidR="003B082C">
          <w:rPr>
            <w:webHidden/>
          </w:rPr>
          <w:tab/>
        </w:r>
        <w:r w:rsidR="003B082C">
          <w:rPr>
            <w:webHidden/>
          </w:rPr>
          <w:fldChar w:fldCharType="begin"/>
        </w:r>
        <w:r w:rsidR="003B082C">
          <w:rPr>
            <w:webHidden/>
          </w:rPr>
          <w:instrText xml:space="preserve"> PAGEREF _Toc79657975 \h </w:instrText>
        </w:r>
        <w:r w:rsidR="003B082C">
          <w:rPr>
            <w:webHidden/>
          </w:rPr>
        </w:r>
        <w:r w:rsidR="003B082C">
          <w:rPr>
            <w:webHidden/>
          </w:rPr>
          <w:fldChar w:fldCharType="separate"/>
        </w:r>
        <w:r w:rsidR="003B082C">
          <w:rPr>
            <w:webHidden/>
          </w:rPr>
          <w:t>77</w:t>
        </w:r>
        <w:r w:rsidR="003B082C">
          <w:rPr>
            <w:webHidden/>
          </w:rPr>
          <w:fldChar w:fldCharType="end"/>
        </w:r>
      </w:hyperlink>
    </w:p>
    <w:p w14:paraId="64DA73CE" w14:textId="239324BA" w:rsidR="003B082C" w:rsidRDefault="005C5CD4">
      <w:pPr>
        <w:pStyle w:val="TOC2"/>
        <w:rPr>
          <w:rFonts w:asciiTheme="minorHAnsi" w:eastAsiaTheme="minorEastAsia" w:hAnsiTheme="minorHAnsi" w:cstheme="minorBidi"/>
          <w:szCs w:val="22"/>
          <w:lang w:val="en-CA"/>
        </w:rPr>
      </w:pPr>
      <w:hyperlink w:anchor="_Toc79657976" w:history="1">
        <w:r w:rsidR="003B082C" w:rsidRPr="00BB704C">
          <w:rPr>
            <w:rStyle w:val="Hyperlink"/>
            <w:lang w:val="en-CA"/>
          </w:rPr>
          <w:t>2.6</w:t>
        </w:r>
        <w:r w:rsidR="003B082C">
          <w:rPr>
            <w:rFonts w:asciiTheme="minorHAnsi" w:eastAsiaTheme="minorEastAsia" w:hAnsiTheme="minorHAnsi" w:cstheme="minorBidi"/>
            <w:szCs w:val="22"/>
            <w:lang w:val="en-CA"/>
          </w:rPr>
          <w:tab/>
        </w:r>
        <w:r w:rsidR="003B082C" w:rsidRPr="00BB704C">
          <w:rPr>
            <w:rStyle w:val="Hyperlink"/>
            <w:lang w:val="en-CA"/>
          </w:rPr>
          <w:t>Intentionally Left Blank</w:t>
        </w:r>
        <w:r w:rsidR="003B082C">
          <w:rPr>
            <w:webHidden/>
          </w:rPr>
          <w:tab/>
        </w:r>
        <w:r w:rsidR="003B082C">
          <w:rPr>
            <w:webHidden/>
          </w:rPr>
          <w:fldChar w:fldCharType="begin"/>
        </w:r>
        <w:r w:rsidR="003B082C">
          <w:rPr>
            <w:webHidden/>
          </w:rPr>
          <w:instrText xml:space="preserve"> PAGEREF _Toc79657976 \h </w:instrText>
        </w:r>
        <w:r w:rsidR="003B082C">
          <w:rPr>
            <w:webHidden/>
          </w:rPr>
        </w:r>
        <w:r w:rsidR="003B082C">
          <w:rPr>
            <w:webHidden/>
          </w:rPr>
          <w:fldChar w:fldCharType="separate"/>
        </w:r>
        <w:r w:rsidR="003B082C">
          <w:rPr>
            <w:webHidden/>
          </w:rPr>
          <w:t>78</w:t>
        </w:r>
        <w:r w:rsidR="003B082C">
          <w:rPr>
            <w:webHidden/>
          </w:rPr>
          <w:fldChar w:fldCharType="end"/>
        </w:r>
      </w:hyperlink>
    </w:p>
    <w:p w14:paraId="2B998ED0" w14:textId="3D2FF66D" w:rsidR="003B082C" w:rsidRDefault="005C5CD4">
      <w:pPr>
        <w:pStyle w:val="TOC2"/>
        <w:rPr>
          <w:rFonts w:asciiTheme="minorHAnsi" w:eastAsiaTheme="minorEastAsia" w:hAnsiTheme="minorHAnsi" w:cstheme="minorBidi"/>
          <w:szCs w:val="22"/>
          <w:lang w:val="en-CA"/>
        </w:rPr>
      </w:pPr>
      <w:hyperlink w:anchor="_Toc79657977" w:history="1">
        <w:r w:rsidR="003B082C" w:rsidRPr="00BB704C">
          <w:rPr>
            <w:rStyle w:val="Hyperlink"/>
            <w:lang w:val="en-CA"/>
          </w:rPr>
          <w:t>2.7</w:t>
        </w:r>
        <w:r w:rsidR="003B082C">
          <w:rPr>
            <w:rFonts w:asciiTheme="minorHAnsi" w:eastAsiaTheme="minorEastAsia" w:hAnsiTheme="minorHAnsi" w:cstheme="minorBidi"/>
            <w:szCs w:val="22"/>
            <w:lang w:val="en-CA"/>
          </w:rPr>
          <w:tab/>
        </w:r>
        <w:r w:rsidR="003B082C" w:rsidRPr="00BB704C">
          <w:rPr>
            <w:rStyle w:val="Hyperlink"/>
            <w:lang w:val="en-CA"/>
          </w:rPr>
          <w:t>Intentionally Left Blank</w:t>
        </w:r>
        <w:r w:rsidR="003B082C">
          <w:rPr>
            <w:webHidden/>
          </w:rPr>
          <w:tab/>
        </w:r>
        <w:r w:rsidR="003B082C">
          <w:rPr>
            <w:webHidden/>
          </w:rPr>
          <w:fldChar w:fldCharType="begin"/>
        </w:r>
        <w:r w:rsidR="003B082C">
          <w:rPr>
            <w:webHidden/>
          </w:rPr>
          <w:instrText xml:space="preserve"> PAGEREF _Toc79657977 \h </w:instrText>
        </w:r>
        <w:r w:rsidR="003B082C">
          <w:rPr>
            <w:webHidden/>
          </w:rPr>
        </w:r>
        <w:r w:rsidR="003B082C">
          <w:rPr>
            <w:webHidden/>
          </w:rPr>
          <w:fldChar w:fldCharType="separate"/>
        </w:r>
        <w:r w:rsidR="003B082C">
          <w:rPr>
            <w:webHidden/>
          </w:rPr>
          <w:t>79</w:t>
        </w:r>
        <w:r w:rsidR="003B082C">
          <w:rPr>
            <w:webHidden/>
          </w:rPr>
          <w:fldChar w:fldCharType="end"/>
        </w:r>
      </w:hyperlink>
    </w:p>
    <w:p w14:paraId="3D088765" w14:textId="285BEBD3" w:rsidR="003B082C" w:rsidRDefault="005C5CD4">
      <w:pPr>
        <w:pStyle w:val="TOC2"/>
        <w:rPr>
          <w:rFonts w:asciiTheme="minorHAnsi" w:eastAsiaTheme="minorEastAsia" w:hAnsiTheme="minorHAnsi" w:cstheme="minorBidi"/>
          <w:szCs w:val="22"/>
          <w:lang w:val="en-CA"/>
        </w:rPr>
      </w:pPr>
      <w:hyperlink w:anchor="_Toc79657978" w:history="1">
        <w:r w:rsidR="003B082C" w:rsidRPr="00BB704C">
          <w:rPr>
            <w:rStyle w:val="Hyperlink"/>
            <w:lang w:val="en-CA"/>
          </w:rPr>
          <w:t>2.8</w:t>
        </w:r>
        <w:r w:rsidR="003B082C">
          <w:rPr>
            <w:rFonts w:asciiTheme="minorHAnsi" w:eastAsiaTheme="minorEastAsia" w:hAnsiTheme="minorHAnsi" w:cstheme="minorBidi"/>
            <w:szCs w:val="22"/>
            <w:lang w:val="en-CA"/>
          </w:rPr>
          <w:tab/>
        </w:r>
        <w:r w:rsidR="003B082C" w:rsidRPr="00BB704C">
          <w:rPr>
            <w:rStyle w:val="Hyperlink"/>
            <w:lang w:val="en-CA"/>
          </w:rPr>
          <w:t>Declaration of Designated Consumer</w:t>
        </w:r>
        <w:r w:rsidR="003B082C">
          <w:rPr>
            <w:webHidden/>
          </w:rPr>
          <w:tab/>
        </w:r>
        <w:r w:rsidR="003B082C">
          <w:rPr>
            <w:webHidden/>
          </w:rPr>
          <w:fldChar w:fldCharType="begin"/>
        </w:r>
        <w:r w:rsidR="003B082C">
          <w:rPr>
            <w:webHidden/>
          </w:rPr>
          <w:instrText xml:space="preserve"> PAGEREF _Toc79657978 \h </w:instrText>
        </w:r>
        <w:r w:rsidR="003B082C">
          <w:rPr>
            <w:webHidden/>
          </w:rPr>
        </w:r>
        <w:r w:rsidR="003B082C">
          <w:rPr>
            <w:webHidden/>
          </w:rPr>
          <w:fldChar w:fldCharType="separate"/>
        </w:r>
        <w:r w:rsidR="003B082C">
          <w:rPr>
            <w:webHidden/>
          </w:rPr>
          <w:t>80</w:t>
        </w:r>
        <w:r w:rsidR="003B082C">
          <w:rPr>
            <w:webHidden/>
          </w:rPr>
          <w:fldChar w:fldCharType="end"/>
        </w:r>
      </w:hyperlink>
    </w:p>
    <w:p w14:paraId="0B3F12A0" w14:textId="2741B8CC" w:rsidR="003B082C" w:rsidRDefault="005C5CD4">
      <w:pPr>
        <w:pStyle w:val="TOC2"/>
        <w:rPr>
          <w:rFonts w:asciiTheme="minorHAnsi" w:eastAsiaTheme="minorEastAsia" w:hAnsiTheme="minorHAnsi" w:cstheme="minorBidi"/>
          <w:szCs w:val="22"/>
          <w:lang w:val="en-CA"/>
        </w:rPr>
      </w:pPr>
      <w:hyperlink w:anchor="_Toc79657979" w:history="1">
        <w:r w:rsidR="003B082C" w:rsidRPr="00BB704C">
          <w:rPr>
            <w:rStyle w:val="Hyperlink"/>
            <w:lang w:val="en-CA"/>
          </w:rPr>
          <w:t>2.9</w:t>
        </w:r>
        <w:r w:rsidR="003B082C">
          <w:rPr>
            <w:rFonts w:asciiTheme="minorHAnsi" w:eastAsiaTheme="minorEastAsia" w:hAnsiTheme="minorHAnsi" w:cstheme="minorBidi"/>
            <w:szCs w:val="22"/>
            <w:lang w:val="en-CA"/>
          </w:rPr>
          <w:tab/>
        </w:r>
        <w:r w:rsidR="003B082C" w:rsidRPr="00BB704C">
          <w:rPr>
            <w:rStyle w:val="Hyperlink"/>
            <w:lang w:val="en-CA"/>
          </w:rPr>
          <w:t>Intentionally Left Blank</w:t>
        </w:r>
        <w:r w:rsidR="003B082C">
          <w:rPr>
            <w:webHidden/>
          </w:rPr>
          <w:tab/>
        </w:r>
        <w:r w:rsidR="003B082C">
          <w:rPr>
            <w:webHidden/>
          </w:rPr>
          <w:fldChar w:fldCharType="begin"/>
        </w:r>
        <w:r w:rsidR="003B082C">
          <w:rPr>
            <w:webHidden/>
          </w:rPr>
          <w:instrText xml:space="preserve"> PAGEREF _Toc79657979 \h </w:instrText>
        </w:r>
        <w:r w:rsidR="003B082C">
          <w:rPr>
            <w:webHidden/>
          </w:rPr>
        </w:r>
        <w:r w:rsidR="003B082C">
          <w:rPr>
            <w:webHidden/>
          </w:rPr>
          <w:fldChar w:fldCharType="separate"/>
        </w:r>
        <w:r w:rsidR="003B082C">
          <w:rPr>
            <w:webHidden/>
          </w:rPr>
          <w:t>81</w:t>
        </w:r>
        <w:r w:rsidR="003B082C">
          <w:rPr>
            <w:webHidden/>
          </w:rPr>
          <w:fldChar w:fldCharType="end"/>
        </w:r>
      </w:hyperlink>
    </w:p>
    <w:p w14:paraId="0DBA2AF1" w14:textId="51BB6AB4" w:rsidR="003B082C" w:rsidRDefault="005C5CD4">
      <w:pPr>
        <w:pStyle w:val="TOC2"/>
        <w:rPr>
          <w:rFonts w:asciiTheme="minorHAnsi" w:eastAsiaTheme="minorEastAsia" w:hAnsiTheme="minorHAnsi" w:cstheme="minorBidi"/>
          <w:szCs w:val="22"/>
          <w:lang w:val="en-CA"/>
        </w:rPr>
      </w:pPr>
      <w:hyperlink w:anchor="_Toc79657980" w:history="1">
        <w:r w:rsidR="003B082C" w:rsidRPr="00BB704C">
          <w:rPr>
            <w:rStyle w:val="Hyperlink"/>
            <w:lang w:val="en-CA"/>
          </w:rPr>
          <w:t>2.10</w:t>
        </w:r>
        <w:r w:rsidR="003B082C">
          <w:rPr>
            <w:rFonts w:asciiTheme="minorHAnsi" w:eastAsiaTheme="minorEastAsia" w:hAnsiTheme="minorHAnsi" w:cstheme="minorBidi"/>
            <w:szCs w:val="22"/>
            <w:lang w:val="en-CA"/>
          </w:rPr>
          <w:tab/>
        </w:r>
        <w:r w:rsidR="003B082C" w:rsidRPr="00BB704C">
          <w:rPr>
            <w:rStyle w:val="Hyperlink"/>
            <w:lang w:val="en-CA"/>
          </w:rPr>
          <w:t>Submitting Transmission Service Charges for Embedded Generation</w:t>
        </w:r>
        <w:r w:rsidR="003B082C">
          <w:rPr>
            <w:webHidden/>
          </w:rPr>
          <w:tab/>
        </w:r>
        <w:r w:rsidR="003B082C">
          <w:rPr>
            <w:webHidden/>
          </w:rPr>
          <w:fldChar w:fldCharType="begin"/>
        </w:r>
        <w:r w:rsidR="003B082C">
          <w:rPr>
            <w:webHidden/>
          </w:rPr>
          <w:instrText xml:space="preserve"> PAGEREF _Toc79657980 \h </w:instrText>
        </w:r>
        <w:r w:rsidR="003B082C">
          <w:rPr>
            <w:webHidden/>
          </w:rPr>
        </w:r>
        <w:r w:rsidR="003B082C">
          <w:rPr>
            <w:webHidden/>
          </w:rPr>
          <w:fldChar w:fldCharType="separate"/>
        </w:r>
        <w:r w:rsidR="003B082C">
          <w:rPr>
            <w:webHidden/>
          </w:rPr>
          <w:t>82</w:t>
        </w:r>
        <w:r w:rsidR="003B082C">
          <w:rPr>
            <w:webHidden/>
          </w:rPr>
          <w:fldChar w:fldCharType="end"/>
        </w:r>
      </w:hyperlink>
    </w:p>
    <w:p w14:paraId="3A0E1679" w14:textId="3CF0D674" w:rsidR="003B082C" w:rsidRDefault="005C5CD4">
      <w:pPr>
        <w:pStyle w:val="TOC2"/>
        <w:rPr>
          <w:rFonts w:asciiTheme="minorHAnsi" w:eastAsiaTheme="minorEastAsia" w:hAnsiTheme="minorHAnsi" w:cstheme="minorBidi"/>
          <w:szCs w:val="22"/>
          <w:lang w:val="en-CA"/>
        </w:rPr>
      </w:pPr>
      <w:hyperlink w:anchor="_Toc79657981" w:history="1">
        <w:r w:rsidR="003B082C" w:rsidRPr="00BB704C">
          <w:rPr>
            <w:rStyle w:val="Hyperlink"/>
            <w:lang w:val="en-CA"/>
          </w:rPr>
          <w:t>2.11</w:t>
        </w:r>
        <w:r w:rsidR="003B082C">
          <w:rPr>
            <w:rFonts w:asciiTheme="minorHAnsi" w:eastAsiaTheme="minorEastAsia" w:hAnsiTheme="minorHAnsi" w:cstheme="minorBidi"/>
            <w:szCs w:val="22"/>
            <w:lang w:val="en-CA"/>
          </w:rPr>
          <w:tab/>
        </w:r>
        <w:r w:rsidR="003B082C" w:rsidRPr="00BB704C">
          <w:rPr>
            <w:rStyle w:val="Hyperlink"/>
            <w:lang w:val="en-CA"/>
          </w:rPr>
          <w:t>Workflow for Submitting NUG Adjustment Amount Information</w:t>
        </w:r>
        <w:r w:rsidR="003B082C">
          <w:rPr>
            <w:webHidden/>
          </w:rPr>
          <w:tab/>
        </w:r>
        <w:r w:rsidR="003B082C">
          <w:rPr>
            <w:webHidden/>
          </w:rPr>
          <w:fldChar w:fldCharType="begin"/>
        </w:r>
        <w:r w:rsidR="003B082C">
          <w:rPr>
            <w:webHidden/>
          </w:rPr>
          <w:instrText xml:space="preserve"> PAGEREF _Toc79657981 \h </w:instrText>
        </w:r>
        <w:r w:rsidR="003B082C">
          <w:rPr>
            <w:webHidden/>
          </w:rPr>
        </w:r>
        <w:r w:rsidR="003B082C">
          <w:rPr>
            <w:webHidden/>
          </w:rPr>
          <w:fldChar w:fldCharType="separate"/>
        </w:r>
        <w:r w:rsidR="003B082C">
          <w:rPr>
            <w:webHidden/>
          </w:rPr>
          <w:t>84</w:t>
        </w:r>
        <w:r w:rsidR="003B082C">
          <w:rPr>
            <w:webHidden/>
          </w:rPr>
          <w:fldChar w:fldCharType="end"/>
        </w:r>
      </w:hyperlink>
    </w:p>
    <w:p w14:paraId="4980FF44" w14:textId="2F18589B" w:rsidR="003B082C" w:rsidRDefault="005C5CD4">
      <w:pPr>
        <w:pStyle w:val="TOC2"/>
        <w:rPr>
          <w:rFonts w:asciiTheme="minorHAnsi" w:eastAsiaTheme="minorEastAsia" w:hAnsiTheme="minorHAnsi" w:cstheme="minorBidi"/>
          <w:szCs w:val="22"/>
          <w:lang w:val="en-CA"/>
        </w:rPr>
      </w:pPr>
      <w:hyperlink w:anchor="_Toc79657982" w:history="1">
        <w:r w:rsidR="003B082C" w:rsidRPr="00BB704C">
          <w:rPr>
            <w:rStyle w:val="Hyperlink"/>
          </w:rPr>
          <w:t>2.12</w:t>
        </w:r>
        <w:r w:rsidR="003B082C">
          <w:rPr>
            <w:rFonts w:asciiTheme="minorHAnsi" w:eastAsiaTheme="minorEastAsia" w:hAnsiTheme="minorHAnsi" w:cstheme="minorBidi"/>
            <w:szCs w:val="22"/>
            <w:lang w:val="en-CA"/>
          </w:rPr>
          <w:tab/>
        </w:r>
        <w:r w:rsidR="003B082C" w:rsidRPr="00BB704C">
          <w:rPr>
            <w:rStyle w:val="Hyperlink"/>
          </w:rPr>
          <w:t>Workflow for Submitting Embedded Generation and Regulated Price Information</w:t>
        </w:r>
        <w:r w:rsidR="003B082C">
          <w:rPr>
            <w:webHidden/>
          </w:rPr>
          <w:tab/>
        </w:r>
        <w:r w:rsidR="003B082C">
          <w:rPr>
            <w:webHidden/>
          </w:rPr>
          <w:fldChar w:fldCharType="begin"/>
        </w:r>
        <w:r w:rsidR="003B082C">
          <w:rPr>
            <w:webHidden/>
          </w:rPr>
          <w:instrText xml:space="preserve"> PAGEREF _Toc79657982 \h </w:instrText>
        </w:r>
        <w:r w:rsidR="003B082C">
          <w:rPr>
            <w:webHidden/>
          </w:rPr>
        </w:r>
        <w:r w:rsidR="003B082C">
          <w:rPr>
            <w:webHidden/>
          </w:rPr>
          <w:fldChar w:fldCharType="separate"/>
        </w:r>
        <w:r w:rsidR="003B082C">
          <w:rPr>
            <w:webHidden/>
          </w:rPr>
          <w:t>85</w:t>
        </w:r>
        <w:r w:rsidR="003B082C">
          <w:rPr>
            <w:webHidden/>
          </w:rPr>
          <w:fldChar w:fldCharType="end"/>
        </w:r>
      </w:hyperlink>
    </w:p>
    <w:p w14:paraId="74CDAF56" w14:textId="141C9C76" w:rsidR="003B082C" w:rsidRDefault="005C5CD4">
      <w:pPr>
        <w:pStyle w:val="TOC1"/>
        <w:rPr>
          <w:rFonts w:asciiTheme="minorHAnsi" w:eastAsiaTheme="minorEastAsia" w:hAnsiTheme="minorHAnsi" w:cstheme="minorBidi"/>
          <w:sz w:val="22"/>
          <w:szCs w:val="22"/>
        </w:rPr>
      </w:pPr>
      <w:hyperlink w:anchor="_Toc79657983" w:history="1">
        <w:r w:rsidR="003B082C" w:rsidRPr="00BB704C">
          <w:rPr>
            <w:rStyle w:val="Hyperlink"/>
          </w:rPr>
          <w:t>3.</w:t>
        </w:r>
        <w:r w:rsidR="003B082C">
          <w:rPr>
            <w:rFonts w:asciiTheme="minorHAnsi" w:eastAsiaTheme="minorEastAsia" w:hAnsiTheme="minorHAnsi" w:cstheme="minorBidi"/>
            <w:sz w:val="22"/>
            <w:szCs w:val="22"/>
          </w:rPr>
          <w:tab/>
        </w:r>
        <w:r w:rsidR="003B082C" w:rsidRPr="00BB704C">
          <w:rPr>
            <w:rStyle w:val="Hyperlink"/>
          </w:rPr>
          <w:t>Procedural Steps</w:t>
        </w:r>
        <w:r w:rsidR="003B082C">
          <w:rPr>
            <w:webHidden/>
          </w:rPr>
          <w:tab/>
        </w:r>
        <w:r w:rsidR="003B082C">
          <w:rPr>
            <w:webHidden/>
          </w:rPr>
          <w:fldChar w:fldCharType="begin"/>
        </w:r>
        <w:r w:rsidR="003B082C">
          <w:rPr>
            <w:webHidden/>
          </w:rPr>
          <w:instrText xml:space="preserve"> PAGEREF _Toc79657983 \h </w:instrText>
        </w:r>
        <w:r w:rsidR="003B082C">
          <w:rPr>
            <w:webHidden/>
          </w:rPr>
        </w:r>
        <w:r w:rsidR="003B082C">
          <w:rPr>
            <w:webHidden/>
          </w:rPr>
          <w:fldChar w:fldCharType="separate"/>
        </w:r>
        <w:r w:rsidR="003B082C">
          <w:rPr>
            <w:webHidden/>
          </w:rPr>
          <w:t>87</w:t>
        </w:r>
        <w:r w:rsidR="003B082C">
          <w:rPr>
            <w:webHidden/>
          </w:rPr>
          <w:fldChar w:fldCharType="end"/>
        </w:r>
      </w:hyperlink>
    </w:p>
    <w:p w14:paraId="11CC7C11" w14:textId="00130EBA" w:rsidR="003B082C" w:rsidRDefault="005C5CD4">
      <w:pPr>
        <w:pStyle w:val="TOC2"/>
        <w:rPr>
          <w:rFonts w:asciiTheme="minorHAnsi" w:eastAsiaTheme="minorEastAsia" w:hAnsiTheme="minorHAnsi" w:cstheme="minorBidi"/>
          <w:szCs w:val="22"/>
          <w:lang w:val="en-CA"/>
        </w:rPr>
      </w:pPr>
      <w:hyperlink w:anchor="_Toc79657984" w:history="1">
        <w:r w:rsidR="003B082C" w:rsidRPr="00BB704C">
          <w:rPr>
            <w:rStyle w:val="Hyperlink"/>
            <w:lang w:val="en-CA"/>
          </w:rPr>
          <w:t>3.1</w:t>
        </w:r>
        <w:r w:rsidR="003B082C">
          <w:rPr>
            <w:rFonts w:asciiTheme="minorHAnsi" w:eastAsiaTheme="minorEastAsia" w:hAnsiTheme="minorHAnsi" w:cstheme="minorBidi"/>
            <w:szCs w:val="22"/>
            <w:lang w:val="en-CA"/>
          </w:rPr>
          <w:tab/>
        </w:r>
        <w:r w:rsidR="003B082C" w:rsidRPr="00BB704C">
          <w:rPr>
            <w:rStyle w:val="Hyperlink"/>
            <w:lang w:val="en-CA"/>
          </w:rPr>
          <w:t>Retrieving Preliminary Settlement Statements</w:t>
        </w:r>
        <w:r w:rsidR="003B082C">
          <w:rPr>
            <w:webHidden/>
          </w:rPr>
          <w:tab/>
        </w:r>
        <w:r w:rsidR="003B082C">
          <w:rPr>
            <w:webHidden/>
          </w:rPr>
          <w:fldChar w:fldCharType="begin"/>
        </w:r>
        <w:r w:rsidR="003B082C">
          <w:rPr>
            <w:webHidden/>
          </w:rPr>
          <w:instrText xml:space="preserve"> PAGEREF _Toc79657984 \h </w:instrText>
        </w:r>
        <w:r w:rsidR="003B082C">
          <w:rPr>
            <w:webHidden/>
          </w:rPr>
        </w:r>
        <w:r w:rsidR="003B082C">
          <w:rPr>
            <w:webHidden/>
          </w:rPr>
          <w:fldChar w:fldCharType="separate"/>
        </w:r>
        <w:r w:rsidR="003B082C">
          <w:rPr>
            <w:webHidden/>
          </w:rPr>
          <w:t>88</w:t>
        </w:r>
        <w:r w:rsidR="003B082C">
          <w:rPr>
            <w:webHidden/>
          </w:rPr>
          <w:fldChar w:fldCharType="end"/>
        </w:r>
      </w:hyperlink>
    </w:p>
    <w:p w14:paraId="6CC05B89" w14:textId="4174F7A5" w:rsidR="003B082C" w:rsidRDefault="005C5CD4">
      <w:pPr>
        <w:pStyle w:val="TOC2"/>
        <w:rPr>
          <w:rFonts w:asciiTheme="minorHAnsi" w:eastAsiaTheme="minorEastAsia" w:hAnsiTheme="minorHAnsi" w:cstheme="minorBidi"/>
          <w:szCs w:val="22"/>
          <w:lang w:val="en-CA"/>
        </w:rPr>
      </w:pPr>
      <w:hyperlink w:anchor="_Toc79657985" w:history="1">
        <w:r w:rsidR="003B082C" w:rsidRPr="00BB704C">
          <w:rPr>
            <w:rStyle w:val="Hyperlink"/>
            <w:lang w:val="en-CA"/>
          </w:rPr>
          <w:t>3.2</w:t>
        </w:r>
        <w:r w:rsidR="003B082C">
          <w:rPr>
            <w:rFonts w:asciiTheme="minorHAnsi" w:eastAsiaTheme="minorEastAsia" w:hAnsiTheme="minorHAnsi" w:cstheme="minorBidi"/>
            <w:szCs w:val="22"/>
            <w:lang w:val="en-CA"/>
          </w:rPr>
          <w:tab/>
        </w:r>
        <w:r w:rsidR="003B082C" w:rsidRPr="00BB704C">
          <w:rPr>
            <w:rStyle w:val="Hyperlink"/>
            <w:lang w:val="en-CA"/>
          </w:rPr>
          <w:t>Final Settlement Statements</w:t>
        </w:r>
        <w:r w:rsidR="003B082C">
          <w:rPr>
            <w:webHidden/>
          </w:rPr>
          <w:tab/>
        </w:r>
        <w:r w:rsidR="003B082C">
          <w:rPr>
            <w:webHidden/>
          </w:rPr>
          <w:fldChar w:fldCharType="begin"/>
        </w:r>
        <w:r w:rsidR="003B082C">
          <w:rPr>
            <w:webHidden/>
          </w:rPr>
          <w:instrText xml:space="preserve"> PAGEREF _Toc79657985 \h </w:instrText>
        </w:r>
        <w:r w:rsidR="003B082C">
          <w:rPr>
            <w:webHidden/>
          </w:rPr>
        </w:r>
        <w:r w:rsidR="003B082C">
          <w:rPr>
            <w:webHidden/>
          </w:rPr>
          <w:fldChar w:fldCharType="separate"/>
        </w:r>
        <w:r w:rsidR="003B082C">
          <w:rPr>
            <w:webHidden/>
          </w:rPr>
          <w:t>96</w:t>
        </w:r>
        <w:r w:rsidR="003B082C">
          <w:rPr>
            <w:webHidden/>
          </w:rPr>
          <w:fldChar w:fldCharType="end"/>
        </w:r>
      </w:hyperlink>
    </w:p>
    <w:p w14:paraId="2A847BED" w14:textId="6DA68626" w:rsidR="003B082C" w:rsidRDefault="005C5CD4">
      <w:pPr>
        <w:pStyle w:val="TOC2"/>
        <w:rPr>
          <w:rFonts w:asciiTheme="minorHAnsi" w:eastAsiaTheme="minorEastAsia" w:hAnsiTheme="minorHAnsi" w:cstheme="minorBidi"/>
          <w:szCs w:val="22"/>
          <w:lang w:val="en-CA"/>
        </w:rPr>
      </w:pPr>
      <w:hyperlink w:anchor="_Toc79657986" w:history="1">
        <w:r w:rsidR="003B082C" w:rsidRPr="00BB704C">
          <w:rPr>
            <w:rStyle w:val="Hyperlink"/>
            <w:lang w:val="en-CA"/>
          </w:rPr>
          <w:t>3.3</w:t>
        </w:r>
        <w:r w:rsidR="003B082C">
          <w:rPr>
            <w:rFonts w:asciiTheme="minorHAnsi" w:eastAsiaTheme="minorEastAsia" w:hAnsiTheme="minorHAnsi" w:cstheme="minorBidi"/>
            <w:szCs w:val="22"/>
            <w:lang w:val="en-CA"/>
          </w:rPr>
          <w:tab/>
        </w:r>
        <w:r w:rsidR="003B082C" w:rsidRPr="00BB704C">
          <w:rPr>
            <w:rStyle w:val="Hyperlink"/>
            <w:lang w:val="en-CA"/>
          </w:rPr>
          <w:t>Designating Facility for Generation Station Service Rebate or Electricity Storage Station Service Rebate</w:t>
        </w:r>
        <w:r w:rsidR="003B082C">
          <w:rPr>
            <w:webHidden/>
          </w:rPr>
          <w:tab/>
        </w:r>
        <w:r w:rsidR="003B082C">
          <w:rPr>
            <w:webHidden/>
          </w:rPr>
          <w:fldChar w:fldCharType="begin"/>
        </w:r>
        <w:r w:rsidR="003B082C">
          <w:rPr>
            <w:webHidden/>
          </w:rPr>
          <w:instrText xml:space="preserve"> PAGEREF _Toc79657986 \h </w:instrText>
        </w:r>
        <w:r w:rsidR="003B082C">
          <w:rPr>
            <w:webHidden/>
          </w:rPr>
        </w:r>
        <w:r w:rsidR="003B082C">
          <w:rPr>
            <w:webHidden/>
          </w:rPr>
          <w:fldChar w:fldCharType="separate"/>
        </w:r>
        <w:r w:rsidR="003B082C">
          <w:rPr>
            <w:webHidden/>
          </w:rPr>
          <w:t>99</w:t>
        </w:r>
        <w:r w:rsidR="003B082C">
          <w:rPr>
            <w:webHidden/>
          </w:rPr>
          <w:fldChar w:fldCharType="end"/>
        </w:r>
      </w:hyperlink>
    </w:p>
    <w:p w14:paraId="3792EEF7" w14:textId="64FD5028" w:rsidR="003B082C" w:rsidRDefault="005C5CD4">
      <w:pPr>
        <w:pStyle w:val="TOC2"/>
        <w:rPr>
          <w:rFonts w:asciiTheme="minorHAnsi" w:eastAsiaTheme="minorEastAsia" w:hAnsiTheme="minorHAnsi" w:cstheme="minorBidi"/>
          <w:szCs w:val="22"/>
          <w:lang w:val="en-CA"/>
        </w:rPr>
      </w:pPr>
      <w:hyperlink w:anchor="_Toc79657987" w:history="1">
        <w:r w:rsidR="003B082C" w:rsidRPr="00BB704C">
          <w:rPr>
            <w:rStyle w:val="Hyperlink"/>
            <w:lang w:val="en-CA"/>
          </w:rPr>
          <w:t>3.4</w:t>
        </w:r>
        <w:r w:rsidR="003B082C">
          <w:rPr>
            <w:rFonts w:asciiTheme="minorHAnsi" w:eastAsiaTheme="minorEastAsia" w:hAnsiTheme="minorHAnsi" w:cstheme="minorBidi"/>
            <w:szCs w:val="22"/>
            <w:lang w:val="en-CA"/>
          </w:rPr>
          <w:tab/>
        </w:r>
        <w:r w:rsidR="003B082C" w:rsidRPr="00BB704C">
          <w:rPr>
            <w:rStyle w:val="Hyperlink"/>
            <w:lang w:val="en-CA"/>
          </w:rPr>
          <w:t>Intentionally Left Blank</w:t>
        </w:r>
        <w:r w:rsidR="003B082C">
          <w:rPr>
            <w:webHidden/>
          </w:rPr>
          <w:tab/>
        </w:r>
        <w:r w:rsidR="003B082C">
          <w:rPr>
            <w:webHidden/>
          </w:rPr>
          <w:fldChar w:fldCharType="begin"/>
        </w:r>
        <w:r w:rsidR="003B082C">
          <w:rPr>
            <w:webHidden/>
          </w:rPr>
          <w:instrText xml:space="preserve"> PAGEREF _Toc79657987 \h </w:instrText>
        </w:r>
        <w:r w:rsidR="003B082C">
          <w:rPr>
            <w:webHidden/>
          </w:rPr>
        </w:r>
        <w:r w:rsidR="003B082C">
          <w:rPr>
            <w:webHidden/>
          </w:rPr>
          <w:fldChar w:fldCharType="separate"/>
        </w:r>
        <w:r w:rsidR="003B082C">
          <w:rPr>
            <w:webHidden/>
          </w:rPr>
          <w:t>101</w:t>
        </w:r>
        <w:r w:rsidR="003B082C">
          <w:rPr>
            <w:webHidden/>
          </w:rPr>
          <w:fldChar w:fldCharType="end"/>
        </w:r>
      </w:hyperlink>
    </w:p>
    <w:p w14:paraId="1AE65898" w14:textId="3B173A02" w:rsidR="003B082C" w:rsidRDefault="005C5CD4">
      <w:pPr>
        <w:pStyle w:val="TOC2"/>
        <w:rPr>
          <w:rFonts w:asciiTheme="minorHAnsi" w:eastAsiaTheme="minorEastAsia" w:hAnsiTheme="minorHAnsi" w:cstheme="minorBidi"/>
          <w:szCs w:val="22"/>
          <w:lang w:val="en-CA"/>
        </w:rPr>
      </w:pPr>
      <w:hyperlink w:anchor="_Toc79657988" w:history="1">
        <w:r w:rsidR="003B082C" w:rsidRPr="00BB704C">
          <w:rPr>
            <w:rStyle w:val="Hyperlink"/>
            <w:lang w:val="en-CA"/>
          </w:rPr>
          <w:t>3.5</w:t>
        </w:r>
        <w:r w:rsidR="003B082C">
          <w:rPr>
            <w:rFonts w:asciiTheme="minorHAnsi" w:eastAsiaTheme="minorEastAsia" w:hAnsiTheme="minorHAnsi" w:cstheme="minorBidi"/>
            <w:szCs w:val="22"/>
            <w:lang w:val="en-CA"/>
          </w:rPr>
          <w:tab/>
        </w:r>
        <w:r w:rsidR="003B082C" w:rsidRPr="00BB704C">
          <w:rPr>
            <w:rStyle w:val="Hyperlink"/>
            <w:lang w:val="en-CA"/>
          </w:rPr>
          <w:t>Intentionally Left Blank</w:t>
        </w:r>
        <w:r w:rsidR="003B082C">
          <w:rPr>
            <w:webHidden/>
          </w:rPr>
          <w:tab/>
        </w:r>
        <w:r w:rsidR="003B082C">
          <w:rPr>
            <w:webHidden/>
          </w:rPr>
          <w:fldChar w:fldCharType="begin"/>
        </w:r>
        <w:r w:rsidR="003B082C">
          <w:rPr>
            <w:webHidden/>
          </w:rPr>
          <w:instrText xml:space="preserve"> PAGEREF _Toc79657988 \h </w:instrText>
        </w:r>
        <w:r w:rsidR="003B082C">
          <w:rPr>
            <w:webHidden/>
          </w:rPr>
        </w:r>
        <w:r w:rsidR="003B082C">
          <w:rPr>
            <w:webHidden/>
          </w:rPr>
          <w:fldChar w:fldCharType="separate"/>
        </w:r>
        <w:r w:rsidR="003B082C">
          <w:rPr>
            <w:webHidden/>
          </w:rPr>
          <w:t>102</w:t>
        </w:r>
        <w:r w:rsidR="003B082C">
          <w:rPr>
            <w:webHidden/>
          </w:rPr>
          <w:fldChar w:fldCharType="end"/>
        </w:r>
      </w:hyperlink>
    </w:p>
    <w:p w14:paraId="11E1710D" w14:textId="592C2D51" w:rsidR="003B082C" w:rsidRDefault="005C5CD4">
      <w:pPr>
        <w:pStyle w:val="TOC2"/>
        <w:rPr>
          <w:rFonts w:asciiTheme="minorHAnsi" w:eastAsiaTheme="minorEastAsia" w:hAnsiTheme="minorHAnsi" w:cstheme="minorBidi"/>
          <w:szCs w:val="22"/>
          <w:lang w:val="en-CA"/>
        </w:rPr>
      </w:pPr>
      <w:hyperlink w:anchor="_Toc79657989" w:history="1">
        <w:r w:rsidR="003B082C" w:rsidRPr="00BB704C">
          <w:rPr>
            <w:rStyle w:val="Hyperlink"/>
            <w:lang w:val="en-CA"/>
          </w:rPr>
          <w:t>3.6</w:t>
        </w:r>
        <w:r w:rsidR="003B082C">
          <w:rPr>
            <w:rFonts w:asciiTheme="minorHAnsi" w:eastAsiaTheme="minorEastAsia" w:hAnsiTheme="minorHAnsi" w:cstheme="minorBidi"/>
            <w:szCs w:val="22"/>
            <w:lang w:val="en-CA"/>
          </w:rPr>
          <w:tab/>
        </w:r>
        <w:r w:rsidR="003B082C" w:rsidRPr="00BB704C">
          <w:rPr>
            <w:rStyle w:val="Hyperlink"/>
            <w:lang w:val="en-CA"/>
          </w:rPr>
          <w:t>Intentionally Left Blank</w:t>
        </w:r>
        <w:r w:rsidR="003B082C">
          <w:rPr>
            <w:webHidden/>
          </w:rPr>
          <w:tab/>
        </w:r>
        <w:r w:rsidR="003B082C">
          <w:rPr>
            <w:webHidden/>
          </w:rPr>
          <w:fldChar w:fldCharType="begin"/>
        </w:r>
        <w:r w:rsidR="003B082C">
          <w:rPr>
            <w:webHidden/>
          </w:rPr>
          <w:instrText xml:space="preserve"> PAGEREF _Toc79657989 \h </w:instrText>
        </w:r>
        <w:r w:rsidR="003B082C">
          <w:rPr>
            <w:webHidden/>
          </w:rPr>
        </w:r>
        <w:r w:rsidR="003B082C">
          <w:rPr>
            <w:webHidden/>
          </w:rPr>
          <w:fldChar w:fldCharType="separate"/>
        </w:r>
        <w:r w:rsidR="003B082C">
          <w:rPr>
            <w:webHidden/>
          </w:rPr>
          <w:t>103</w:t>
        </w:r>
        <w:r w:rsidR="003B082C">
          <w:rPr>
            <w:webHidden/>
          </w:rPr>
          <w:fldChar w:fldCharType="end"/>
        </w:r>
      </w:hyperlink>
    </w:p>
    <w:p w14:paraId="10BAAB2F" w14:textId="2EA81876" w:rsidR="003B082C" w:rsidRDefault="005C5CD4">
      <w:pPr>
        <w:pStyle w:val="TOC2"/>
        <w:rPr>
          <w:rFonts w:asciiTheme="minorHAnsi" w:eastAsiaTheme="minorEastAsia" w:hAnsiTheme="minorHAnsi" w:cstheme="minorBidi"/>
          <w:szCs w:val="22"/>
          <w:lang w:val="en-CA"/>
        </w:rPr>
      </w:pPr>
      <w:hyperlink w:anchor="_Toc79657990" w:history="1">
        <w:r w:rsidR="003B082C" w:rsidRPr="00BB704C">
          <w:rPr>
            <w:rStyle w:val="Hyperlink"/>
            <w:lang w:val="en-CA"/>
          </w:rPr>
          <w:t>3.7</w:t>
        </w:r>
        <w:r w:rsidR="003B082C">
          <w:rPr>
            <w:rFonts w:asciiTheme="minorHAnsi" w:eastAsiaTheme="minorEastAsia" w:hAnsiTheme="minorHAnsi" w:cstheme="minorBidi"/>
            <w:szCs w:val="22"/>
            <w:lang w:val="en-CA"/>
          </w:rPr>
          <w:tab/>
        </w:r>
        <w:r w:rsidR="003B082C" w:rsidRPr="00BB704C">
          <w:rPr>
            <w:rStyle w:val="Hyperlink"/>
            <w:lang w:val="en-CA"/>
          </w:rPr>
          <w:t>Intentionally Left Blank</w:t>
        </w:r>
        <w:r w:rsidR="003B082C">
          <w:rPr>
            <w:webHidden/>
          </w:rPr>
          <w:tab/>
        </w:r>
        <w:r w:rsidR="003B082C">
          <w:rPr>
            <w:webHidden/>
          </w:rPr>
          <w:fldChar w:fldCharType="begin"/>
        </w:r>
        <w:r w:rsidR="003B082C">
          <w:rPr>
            <w:webHidden/>
          </w:rPr>
          <w:instrText xml:space="preserve"> PAGEREF _Toc79657990 \h </w:instrText>
        </w:r>
        <w:r w:rsidR="003B082C">
          <w:rPr>
            <w:webHidden/>
          </w:rPr>
        </w:r>
        <w:r w:rsidR="003B082C">
          <w:rPr>
            <w:webHidden/>
          </w:rPr>
          <w:fldChar w:fldCharType="separate"/>
        </w:r>
        <w:r w:rsidR="003B082C">
          <w:rPr>
            <w:webHidden/>
          </w:rPr>
          <w:t>104</w:t>
        </w:r>
        <w:r w:rsidR="003B082C">
          <w:rPr>
            <w:webHidden/>
          </w:rPr>
          <w:fldChar w:fldCharType="end"/>
        </w:r>
      </w:hyperlink>
    </w:p>
    <w:p w14:paraId="6445EB09" w14:textId="48FD9E20" w:rsidR="003B082C" w:rsidRDefault="005C5CD4">
      <w:pPr>
        <w:pStyle w:val="TOC2"/>
        <w:rPr>
          <w:rFonts w:asciiTheme="minorHAnsi" w:eastAsiaTheme="minorEastAsia" w:hAnsiTheme="minorHAnsi" w:cstheme="minorBidi"/>
          <w:szCs w:val="22"/>
          <w:lang w:val="en-CA"/>
        </w:rPr>
      </w:pPr>
      <w:hyperlink w:anchor="_Toc79657991" w:history="1">
        <w:r w:rsidR="003B082C" w:rsidRPr="00BB704C">
          <w:rPr>
            <w:rStyle w:val="Hyperlink"/>
            <w:lang w:val="en-CA"/>
          </w:rPr>
          <w:t>3.8</w:t>
        </w:r>
        <w:r w:rsidR="003B082C">
          <w:rPr>
            <w:rFonts w:asciiTheme="minorHAnsi" w:eastAsiaTheme="minorEastAsia" w:hAnsiTheme="minorHAnsi" w:cstheme="minorBidi"/>
            <w:szCs w:val="22"/>
            <w:lang w:val="en-CA"/>
          </w:rPr>
          <w:tab/>
        </w:r>
        <w:r w:rsidR="003B082C" w:rsidRPr="00BB704C">
          <w:rPr>
            <w:rStyle w:val="Hyperlink"/>
            <w:lang w:val="en-CA"/>
          </w:rPr>
          <w:t>Intentionally Left Blank</w:t>
        </w:r>
        <w:r w:rsidR="003B082C">
          <w:rPr>
            <w:webHidden/>
          </w:rPr>
          <w:tab/>
        </w:r>
        <w:r w:rsidR="003B082C">
          <w:rPr>
            <w:webHidden/>
          </w:rPr>
          <w:fldChar w:fldCharType="begin"/>
        </w:r>
        <w:r w:rsidR="003B082C">
          <w:rPr>
            <w:webHidden/>
          </w:rPr>
          <w:instrText xml:space="preserve"> PAGEREF _Toc79657991 \h </w:instrText>
        </w:r>
        <w:r w:rsidR="003B082C">
          <w:rPr>
            <w:webHidden/>
          </w:rPr>
        </w:r>
        <w:r w:rsidR="003B082C">
          <w:rPr>
            <w:webHidden/>
          </w:rPr>
          <w:fldChar w:fldCharType="separate"/>
        </w:r>
        <w:r w:rsidR="003B082C">
          <w:rPr>
            <w:webHidden/>
          </w:rPr>
          <w:t>105</w:t>
        </w:r>
        <w:r w:rsidR="003B082C">
          <w:rPr>
            <w:webHidden/>
          </w:rPr>
          <w:fldChar w:fldCharType="end"/>
        </w:r>
      </w:hyperlink>
    </w:p>
    <w:p w14:paraId="6956A49D" w14:textId="03C26A5F" w:rsidR="003B082C" w:rsidRDefault="005C5CD4">
      <w:pPr>
        <w:pStyle w:val="TOC2"/>
        <w:rPr>
          <w:rFonts w:asciiTheme="minorHAnsi" w:eastAsiaTheme="minorEastAsia" w:hAnsiTheme="minorHAnsi" w:cstheme="minorBidi"/>
          <w:szCs w:val="22"/>
          <w:lang w:val="en-CA"/>
        </w:rPr>
      </w:pPr>
      <w:hyperlink w:anchor="_Toc79657992" w:history="1">
        <w:r w:rsidR="003B082C" w:rsidRPr="00BB704C">
          <w:rPr>
            <w:rStyle w:val="Hyperlink"/>
            <w:lang w:val="en-CA"/>
          </w:rPr>
          <w:t>3.9</w:t>
        </w:r>
        <w:r w:rsidR="003B082C">
          <w:rPr>
            <w:rFonts w:asciiTheme="minorHAnsi" w:eastAsiaTheme="minorEastAsia" w:hAnsiTheme="minorHAnsi" w:cstheme="minorBidi"/>
            <w:szCs w:val="22"/>
            <w:lang w:val="en-CA"/>
          </w:rPr>
          <w:tab/>
        </w:r>
        <w:r w:rsidR="003B082C" w:rsidRPr="00BB704C">
          <w:rPr>
            <w:rStyle w:val="Hyperlink"/>
            <w:lang w:val="en-CA"/>
          </w:rPr>
          <w:t>Declaration of Designated Consumers</w:t>
        </w:r>
        <w:r w:rsidR="003B082C">
          <w:rPr>
            <w:webHidden/>
          </w:rPr>
          <w:tab/>
        </w:r>
        <w:r w:rsidR="003B082C">
          <w:rPr>
            <w:webHidden/>
          </w:rPr>
          <w:fldChar w:fldCharType="begin"/>
        </w:r>
        <w:r w:rsidR="003B082C">
          <w:rPr>
            <w:webHidden/>
          </w:rPr>
          <w:instrText xml:space="preserve"> PAGEREF _Toc79657992 \h </w:instrText>
        </w:r>
        <w:r w:rsidR="003B082C">
          <w:rPr>
            <w:webHidden/>
          </w:rPr>
        </w:r>
        <w:r w:rsidR="003B082C">
          <w:rPr>
            <w:webHidden/>
          </w:rPr>
          <w:fldChar w:fldCharType="separate"/>
        </w:r>
        <w:r w:rsidR="003B082C">
          <w:rPr>
            <w:webHidden/>
          </w:rPr>
          <w:t>106</w:t>
        </w:r>
        <w:r w:rsidR="003B082C">
          <w:rPr>
            <w:webHidden/>
          </w:rPr>
          <w:fldChar w:fldCharType="end"/>
        </w:r>
      </w:hyperlink>
    </w:p>
    <w:p w14:paraId="3BF60DE7" w14:textId="546CB794" w:rsidR="003B082C" w:rsidRDefault="005C5CD4">
      <w:pPr>
        <w:pStyle w:val="TOC2"/>
        <w:rPr>
          <w:rFonts w:asciiTheme="minorHAnsi" w:eastAsiaTheme="minorEastAsia" w:hAnsiTheme="minorHAnsi" w:cstheme="minorBidi"/>
          <w:szCs w:val="22"/>
          <w:lang w:val="en-CA"/>
        </w:rPr>
      </w:pPr>
      <w:hyperlink w:anchor="_Toc79657993" w:history="1">
        <w:r w:rsidR="003B082C" w:rsidRPr="00BB704C">
          <w:rPr>
            <w:rStyle w:val="Hyperlink"/>
            <w:lang w:val="en-CA"/>
          </w:rPr>
          <w:t>3.10</w:t>
        </w:r>
        <w:r w:rsidR="003B082C">
          <w:rPr>
            <w:rFonts w:asciiTheme="minorHAnsi" w:eastAsiaTheme="minorEastAsia" w:hAnsiTheme="minorHAnsi" w:cstheme="minorBidi"/>
            <w:szCs w:val="22"/>
            <w:lang w:val="en-CA"/>
          </w:rPr>
          <w:tab/>
        </w:r>
        <w:r w:rsidR="003B082C" w:rsidRPr="00BB704C">
          <w:rPr>
            <w:rStyle w:val="Hyperlink"/>
            <w:lang w:val="en-CA"/>
          </w:rPr>
          <w:t>Intentionally Left Blank</w:t>
        </w:r>
        <w:r w:rsidR="003B082C">
          <w:rPr>
            <w:webHidden/>
          </w:rPr>
          <w:tab/>
        </w:r>
        <w:r w:rsidR="003B082C">
          <w:rPr>
            <w:webHidden/>
          </w:rPr>
          <w:fldChar w:fldCharType="begin"/>
        </w:r>
        <w:r w:rsidR="003B082C">
          <w:rPr>
            <w:webHidden/>
          </w:rPr>
          <w:instrText xml:space="preserve"> PAGEREF _Toc79657993 \h </w:instrText>
        </w:r>
        <w:r w:rsidR="003B082C">
          <w:rPr>
            <w:webHidden/>
          </w:rPr>
        </w:r>
        <w:r w:rsidR="003B082C">
          <w:rPr>
            <w:webHidden/>
          </w:rPr>
          <w:fldChar w:fldCharType="separate"/>
        </w:r>
        <w:r w:rsidR="003B082C">
          <w:rPr>
            <w:webHidden/>
          </w:rPr>
          <w:t>107</w:t>
        </w:r>
        <w:r w:rsidR="003B082C">
          <w:rPr>
            <w:webHidden/>
          </w:rPr>
          <w:fldChar w:fldCharType="end"/>
        </w:r>
      </w:hyperlink>
    </w:p>
    <w:p w14:paraId="69801BDA" w14:textId="036969E5" w:rsidR="003B082C" w:rsidRDefault="005C5CD4">
      <w:pPr>
        <w:pStyle w:val="TOC2"/>
        <w:rPr>
          <w:rFonts w:asciiTheme="minorHAnsi" w:eastAsiaTheme="minorEastAsia" w:hAnsiTheme="minorHAnsi" w:cstheme="minorBidi"/>
          <w:szCs w:val="22"/>
          <w:lang w:val="en-CA"/>
        </w:rPr>
      </w:pPr>
      <w:hyperlink w:anchor="_Toc79657994" w:history="1">
        <w:r w:rsidR="003B082C" w:rsidRPr="00BB704C">
          <w:rPr>
            <w:rStyle w:val="Hyperlink"/>
            <w:lang w:val="en-CA"/>
          </w:rPr>
          <w:t>3.11</w:t>
        </w:r>
        <w:r w:rsidR="003B082C">
          <w:rPr>
            <w:rFonts w:asciiTheme="minorHAnsi" w:eastAsiaTheme="minorEastAsia" w:hAnsiTheme="minorHAnsi" w:cstheme="minorBidi"/>
            <w:szCs w:val="22"/>
            <w:lang w:val="en-CA"/>
          </w:rPr>
          <w:tab/>
        </w:r>
        <w:r w:rsidR="003B082C" w:rsidRPr="00BB704C">
          <w:rPr>
            <w:rStyle w:val="Hyperlink"/>
            <w:lang w:val="en-CA"/>
          </w:rPr>
          <w:t>Submitting Transmission Service Charges for Embedded Generation</w:t>
        </w:r>
        <w:r w:rsidR="003B082C">
          <w:rPr>
            <w:webHidden/>
          </w:rPr>
          <w:tab/>
        </w:r>
        <w:r w:rsidR="003B082C">
          <w:rPr>
            <w:webHidden/>
          </w:rPr>
          <w:fldChar w:fldCharType="begin"/>
        </w:r>
        <w:r w:rsidR="003B082C">
          <w:rPr>
            <w:webHidden/>
          </w:rPr>
          <w:instrText xml:space="preserve"> PAGEREF _Toc79657994 \h </w:instrText>
        </w:r>
        <w:r w:rsidR="003B082C">
          <w:rPr>
            <w:webHidden/>
          </w:rPr>
        </w:r>
        <w:r w:rsidR="003B082C">
          <w:rPr>
            <w:webHidden/>
          </w:rPr>
          <w:fldChar w:fldCharType="separate"/>
        </w:r>
        <w:r w:rsidR="003B082C">
          <w:rPr>
            <w:webHidden/>
          </w:rPr>
          <w:t>108</w:t>
        </w:r>
        <w:r w:rsidR="003B082C">
          <w:rPr>
            <w:webHidden/>
          </w:rPr>
          <w:fldChar w:fldCharType="end"/>
        </w:r>
      </w:hyperlink>
    </w:p>
    <w:p w14:paraId="72B9583A" w14:textId="52AA8EAD" w:rsidR="003B082C" w:rsidRDefault="005C5CD4">
      <w:pPr>
        <w:pStyle w:val="TOC2"/>
        <w:rPr>
          <w:rFonts w:asciiTheme="minorHAnsi" w:eastAsiaTheme="minorEastAsia" w:hAnsiTheme="minorHAnsi" w:cstheme="minorBidi"/>
          <w:szCs w:val="22"/>
          <w:lang w:val="en-CA"/>
        </w:rPr>
      </w:pPr>
      <w:hyperlink w:anchor="_Toc79657995" w:history="1">
        <w:r w:rsidR="003B082C" w:rsidRPr="00BB704C">
          <w:rPr>
            <w:rStyle w:val="Hyperlink"/>
          </w:rPr>
          <w:t>3.12</w:t>
        </w:r>
        <w:r w:rsidR="003B082C">
          <w:rPr>
            <w:rFonts w:asciiTheme="minorHAnsi" w:eastAsiaTheme="minorEastAsia" w:hAnsiTheme="minorHAnsi" w:cstheme="minorBidi"/>
            <w:szCs w:val="22"/>
            <w:lang w:val="en-CA"/>
          </w:rPr>
          <w:tab/>
        </w:r>
        <w:r w:rsidR="003B082C" w:rsidRPr="00BB704C">
          <w:rPr>
            <w:rStyle w:val="Hyperlink"/>
          </w:rPr>
          <w:t>Submitting NUG Adjustment Amount Information</w:t>
        </w:r>
        <w:r w:rsidR="003B082C">
          <w:rPr>
            <w:webHidden/>
          </w:rPr>
          <w:tab/>
        </w:r>
        <w:r w:rsidR="003B082C">
          <w:rPr>
            <w:webHidden/>
          </w:rPr>
          <w:fldChar w:fldCharType="begin"/>
        </w:r>
        <w:r w:rsidR="003B082C">
          <w:rPr>
            <w:webHidden/>
          </w:rPr>
          <w:instrText xml:space="preserve"> PAGEREF _Toc79657995 \h </w:instrText>
        </w:r>
        <w:r w:rsidR="003B082C">
          <w:rPr>
            <w:webHidden/>
          </w:rPr>
        </w:r>
        <w:r w:rsidR="003B082C">
          <w:rPr>
            <w:webHidden/>
          </w:rPr>
          <w:fldChar w:fldCharType="separate"/>
        </w:r>
        <w:r w:rsidR="003B082C">
          <w:rPr>
            <w:webHidden/>
          </w:rPr>
          <w:t>110</w:t>
        </w:r>
        <w:r w:rsidR="003B082C">
          <w:rPr>
            <w:webHidden/>
          </w:rPr>
          <w:fldChar w:fldCharType="end"/>
        </w:r>
      </w:hyperlink>
    </w:p>
    <w:p w14:paraId="4B7AA7B3" w14:textId="2890A2BA" w:rsidR="003B082C" w:rsidRDefault="005C5CD4">
      <w:pPr>
        <w:pStyle w:val="TOC2"/>
        <w:rPr>
          <w:rFonts w:asciiTheme="minorHAnsi" w:eastAsiaTheme="minorEastAsia" w:hAnsiTheme="minorHAnsi" w:cstheme="minorBidi"/>
          <w:szCs w:val="22"/>
          <w:lang w:val="en-CA"/>
        </w:rPr>
      </w:pPr>
      <w:hyperlink w:anchor="_Toc79657996" w:history="1">
        <w:r w:rsidR="003B082C" w:rsidRPr="00BB704C">
          <w:rPr>
            <w:rStyle w:val="Hyperlink"/>
          </w:rPr>
          <w:t>3.13</w:t>
        </w:r>
        <w:r w:rsidR="003B082C">
          <w:rPr>
            <w:rFonts w:asciiTheme="minorHAnsi" w:eastAsiaTheme="minorEastAsia" w:hAnsiTheme="minorHAnsi" w:cstheme="minorBidi"/>
            <w:szCs w:val="22"/>
            <w:lang w:val="en-CA"/>
          </w:rPr>
          <w:tab/>
        </w:r>
        <w:r w:rsidR="003B082C" w:rsidRPr="00BB704C">
          <w:rPr>
            <w:rStyle w:val="Hyperlink"/>
          </w:rPr>
          <w:t>Submitting Embedded Generation and Regulated Price Information</w:t>
        </w:r>
        <w:r w:rsidR="003B082C">
          <w:rPr>
            <w:webHidden/>
          </w:rPr>
          <w:tab/>
        </w:r>
        <w:r w:rsidR="003B082C">
          <w:rPr>
            <w:webHidden/>
          </w:rPr>
          <w:fldChar w:fldCharType="begin"/>
        </w:r>
        <w:r w:rsidR="003B082C">
          <w:rPr>
            <w:webHidden/>
          </w:rPr>
          <w:instrText xml:space="preserve"> PAGEREF _Toc79657996 \h </w:instrText>
        </w:r>
        <w:r w:rsidR="003B082C">
          <w:rPr>
            <w:webHidden/>
          </w:rPr>
        </w:r>
        <w:r w:rsidR="003B082C">
          <w:rPr>
            <w:webHidden/>
          </w:rPr>
          <w:fldChar w:fldCharType="separate"/>
        </w:r>
        <w:r w:rsidR="003B082C">
          <w:rPr>
            <w:webHidden/>
          </w:rPr>
          <w:t>111</w:t>
        </w:r>
        <w:r w:rsidR="003B082C">
          <w:rPr>
            <w:webHidden/>
          </w:rPr>
          <w:fldChar w:fldCharType="end"/>
        </w:r>
      </w:hyperlink>
    </w:p>
    <w:p w14:paraId="3B8056F8" w14:textId="559A3E6B" w:rsidR="003B082C" w:rsidRDefault="005C5CD4">
      <w:pPr>
        <w:pStyle w:val="TOC1"/>
        <w:rPr>
          <w:rFonts w:asciiTheme="minorHAnsi" w:eastAsiaTheme="minorEastAsia" w:hAnsiTheme="minorHAnsi" w:cstheme="minorBidi"/>
          <w:sz w:val="22"/>
          <w:szCs w:val="22"/>
        </w:rPr>
      </w:pPr>
      <w:hyperlink w:anchor="_Toc79657997" w:history="1">
        <w:r w:rsidR="003B082C" w:rsidRPr="00BB704C">
          <w:rPr>
            <w:rStyle w:val="Hyperlink"/>
          </w:rPr>
          <w:t>Appendix A: Forms</w:t>
        </w:r>
        <w:r w:rsidR="003B082C">
          <w:rPr>
            <w:webHidden/>
          </w:rPr>
          <w:tab/>
        </w:r>
        <w:r w:rsidR="003B082C">
          <w:rPr>
            <w:webHidden/>
          </w:rPr>
          <w:fldChar w:fldCharType="begin"/>
        </w:r>
        <w:r w:rsidR="003B082C">
          <w:rPr>
            <w:webHidden/>
          </w:rPr>
          <w:instrText xml:space="preserve"> PAGEREF _Toc79657997 \h </w:instrText>
        </w:r>
        <w:r w:rsidR="003B082C">
          <w:rPr>
            <w:webHidden/>
          </w:rPr>
        </w:r>
        <w:r w:rsidR="003B082C">
          <w:rPr>
            <w:webHidden/>
          </w:rPr>
          <w:fldChar w:fldCharType="separate"/>
        </w:r>
        <w:r w:rsidR="003B082C">
          <w:rPr>
            <w:webHidden/>
          </w:rPr>
          <w:t>A–1</w:t>
        </w:r>
        <w:r w:rsidR="003B082C">
          <w:rPr>
            <w:webHidden/>
          </w:rPr>
          <w:fldChar w:fldCharType="end"/>
        </w:r>
      </w:hyperlink>
    </w:p>
    <w:p w14:paraId="459532DF" w14:textId="50E341DC" w:rsidR="003B082C" w:rsidRDefault="005C5CD4">
      <w:pPr>
        <w:pStyle w:val="TOC1"/>
        <w:rPr>
          <w:rFonts w:asciiTheme="minorHAnsi" w:eastAsiaTheme="minorEastAsia" w:hAnsiTheme="minorHAnsi" w:cstheme="minorBidi"/>
          <w:sz w:val="22"/>
          <w:szCs w:val="22"/>
        </w:rPr>
      </w:pPr>
      <w:hyperlink w:anchor="_Toc79657998" w:history="1">
        <w:r w:rsidR="003B082C" w:rsidRPr="00BB704C">
          <w:rPr>
            <w:rStyle w:val="Hyperlink"/>
          </w:rPr>
          <w:t>Appendix B: Online IESO Notice of Disagreement Form</w:t>
        </w:r>
        <w:r w:rsidR="003B082C">
          <w:rPr>
            <w:webHidden/>
          </w:rPr>
          <w:tab/>
        </w:r>
        <w:r w:rsidR="003B082C">
          <w:rPr>
            <w:webHidden/>
          </w:rPr>
          <w:fldChar w:fldCharType="begin"/>
        </w:r>
        <w:r w:rsidR="003B082C">
          <w:rPr>
            <w:webHidden/>
          </w:rPr>
          <w:instrText xml:space="preserve"> PAGEREF _Toc79657998 \h </w:instrText>
        </w:r>
        <w:r w:rsidR="003B082C">
          <w:rPr>
            <w:webHidden/>
          </w:rPr>
        </w:r>
        <w:r w:rsidR="003B082C">
          <w:rPr>
            <w:webHidden/>
          </w:rPr>
          <w:fldChar w:fldCharType="separate"/>
        </w:r>
        <w:r w:rsidR="003B082C">
          <w:rPr>
            <w:webHidden/>
          </w:rPr>
          <w:t>B–1</w:t>
        </w:r>
        <w:r w:rsidR="003B082C">
          <w:rPr>
            <w:webHidden/>
          </w:rPr>
          <w:fldChar w:fldCharType="end"/>
        </w:r>
      </w:hyperlink>
    </w:p>
    <w:p w14:paraId="07CD797F" w14:textId="40D7D7E7" w:rsidR="003B082C" w:rsidRDefault="005C5CD4">
      <w:pPr>
        <w:pStyle w:val="TOC1"/>
        <w:rPr>
          <w:rFonts w:asciiTheme="minorHAnsi" w:eastAsiaTheme="minorEastAsia" w:hAnsiTheme="minorHAnsi" w:cstheme="minorBidi"/>
          <w:sz w:val="22"/>
          <w:szCs w:val="22"/>
        </w:rPr>
      </w:pPr>
      <w:hyperlink w:anchor="_Toc79657999" w:history="1">
        <w:r w:rsidR="003B082C" w:rsidRPr="00BB704C">
          <w:rPr>
            <w:rStyle w:val="Hyperlink"/>
          </w:rPr>
          <w:t>Appendix C: IESO Charge Types Applicable to the Authorized Charge</w:t>
        </w:r>
        <w:r w:rsidR="003B082C">
          <w:rPr>
            <w:webHidden/>
          </w:rPr>
          <w:tab/>
        </w:r>
        <w:r w:rsidR="003B082C">
          <w:rPr>
            <w:webHidden/>
          </w:rPr>
          <w:fldChar w:fldCharType="begin"/>
        </w:r>
        <w:r w:rsidR="003B082C">
          <w:rPr>
            <w:webHidden/>
          </w:rPr>
          <w:instrText xml:space="preserve"> PAGEREF _Toc79657999 \h </w:instrText>
        </w:r>
        <w:r w:rsidR="003B082C">
          <w:rPr>
            <w:webHidden/>
          </w:rPr>
        </w:r>
        <w:r w:rsidR="003B082C">
          <w:rPr>
            <w:webHidden/>
          </w:rPr>
          <w:fldChar w:fldCharType="separate"/>
        </w:r>
        <w:r w:rsidR="003B082C">
          <w:rPr>
            <w:webHidden/>
          </w:rPr>
          <w:t>C–1</w:t>
        </w:r>
        <w:r w:rsidR="003B082C">
          <w:rPr>
            <w:webHidden/>
          </w:rPr>
          <w:fldChar w:fldCharType="end"/>
        </w:r>
      </w:hyperlink>
    </w:p>
    <w:p w14:paraId="70BAA080" w14:textId="520276DB" w:rsidR="003B082C" w:rsidRDefault="005C5CD4">
      <w:pPr>
        <w:pStyle w:val="TOC1"/>
        <w:rPr>
          <w:rFonts w:asciiTheme="minorHAnsi" w:eastAsiaTheme="minorEastAsia" w:hAnsiTheme="minorHAnsi" w:cstheme="minorBidi"/>
          <w:sz w:val="22"/>
          <w:szCs w:val="22"/>
        </w:rPr>
      </w:pPr>
      <w:hyperlink w:anchor="_Toc79658000" w:history="1">
        <w:r w:rsidR="003B082C" w:rsidRPr="00BB704C">
          <w:rPr>
            <w:rStyle w:val="Hyperlink"/>
          </w:rPr>
          <w:t>Appendix D: Price Bias Adjustment Factors Calculation Method for the Real-Time Import and Export Failure Charge</w:t>
        </w:r>
        <w:r w:rsidR="003B082C">
          <w:rPr>
            <w:webHidden/>
          </w:rPr>
          <w:tab/>
        </w:r>
        <w:r w:rsidR="003B082C">
          <w:rPr>
            <w:webHidden/>
          </w:rPr>
          <w:fldChar w:fldCharType="begin"/>
        </w:r>
        <w:r w:rsidR="003B082C">
          <w:rPr>
            <w:webHidden/>
          </w:rPr>
          <w:instrText xml:space="preserve"> PAGEREF _Toc79658000 \h </w:instrText>
        </w:r>
        <w:r w:rsidR="003B082C">
          <w:rPr>
            <w:webHidden/>
          </w:rPr>
        </w:r>
        <w:r w:rsidR="003B082C">
          <w:rPr>
            <w:webHidden/>
          </w:rPr>
          <w:fldChar w:fldCharType="separate"/>
        </w:r>
        <w:r w:rsidR="003B082C">
          <w:rPr>
            <w:webHidden/>
          </w:rPr>
          <w:t>D–1</w:t>
        </w:r>
        <w:r w:rsidR="003B082C">
          <w:rPr>
            <w:webHidden/>
          </w:rPr>
          <w:fldChar w:fldCharType="end"/>
        </w:r>
      </w:hyperlink>
    </w:p>
    <w:p w14:paraId="42AC4483" w14:textId="259169CA" w:rsidR="003B082C" w:rsidRDefault="005C5CD4">
      <w:pPr>
        <w:pStyle w:val="TOC1"/>
        <w:rPr>
          <w:rFonts w:asciiTheme="minorHAnsi" w:eastAsiaTheme="minorEastAsia" w:hAnsiTheme="minorHAnsi" w:cstheme="minorBidi"/>
          <w:sz w:val="22"/>
          <w:szCs w:val="22"/>
        </w:rPr>
      </w:pPr>
      <w:hyperlink w:anchor="_Toc79658001" w:history="1">
        <w:r w:rsidR="003B082C" w:rsidRPr="00BB704C">
          <w:rPr>
            <w:rStyle w:val="Hyperlink"/>
          </w:rPr>
          <w:t>Appendix E: Expired Settlement Calculations Kept for Purposes of Re-Calculation</w:t>
        </w:r>
        <w:r w:rsidR="003B082C">
          <w:rPr>
            <w:webHidden/>
          </w:rPr>
          <w:tab/>
        </w:r>
        <w:r w:rsidR="003B082C">
          <w:rPr>
            <w:webHidden/>
          </w:rPr>
          <w:fldChar w:fldCharType="begin"/>
        </w:r>
        <w:r w:rsidR="003B082C">
          <w:rPr>
            <w:webHidden/>
          </w:rPr>
          <w:instrText xml:space="preserve"> PAGEREF _Toc79658001 \h </w:instrText>
        </w:r>
        <w:r w:rsidR="003B082C">
          <w:rPr>
            <w:webHidden/>
          </w:rPr>
        </w:r>
        <w:r w:rsidR="003B082C">
          <w:rPr>
            <w:webHidden/>
          </w:rPr>
          <w:fldChar w:fldCharType="separate"/>
        </w:r>
        <w:r w:rsidR="003B082C">
          <w:rPr>
            <w:webHidden/>
          </w:rPr>
          <w:t>E–1</w:t>
        </w:r>
        <w:r w:rsidR="003B082C">
          <w:rPr>
            <w:webHidden/>
          </w:rPr>
          <w:fldChar w:fldCharType="end"/>
        </w:r>
      </w:hyperlink>
    </w:p>
    <w:p w14:paraId="65CD32B9" w14:textId="5B2E03EE" w:rsidR="003B082C" w:rsidRDefault="005C5CD4">
      <w:pPr>
        <w:pStyle w:val="TOC1"/>
        <w:rPr>
          <w:rFonts w:asciiTheme="minorHAnsi" w:eastAsiaTheme="minorEastAsia" w:hAnsiTheme="minorHAnsi" w:cstheme="minorBidi"/>
          <w:sz w:val="22"/>
          <w:szCs w:val="22"/>
        </w:rPr>
      </w:pPr>
      <w:hyperlink w:anchor="_Toc79658002" w:history="1">
        <w:r w:rsidR="003B082C" w:rsidRPr="00BB704C">
          <w:rPr>
            <w:rStyle w:val="Hyperlink"/>
          </w:rPr>
          <w:t>Appendix F: OPG Rebate</w:t>
        </w:r>
        <w:r w:rsidR="003B082C">
          <w:rPr>
            <w:webHidden/>
          </w:rPr>
          <w:tab/>
        </w:r>
        <w:r w:rsidR="003B082C">
          <w:rPr>
            <w:webHidden/>
          </w:rPr>
          <w:fldChar w:fldCharType="begin"/>
        </w:r>
        <w:r w:rsidR="003B082C">
          <w:rPr>
            <w:webHidden/>
          </w:rPr>
          <w:instrText xml:space="preserve"> PAGEREF _Toc79658002 \h </w:instrText>
        </w:r>
        <w:r w:rsidR="003B082C">
          <w:rPr>
            <w:webHidden/>
          </w:rPr>
        </w:r>
        <w:r w:rsidR="003B082C">
          <w:rPr>
            <w:webHidden/>
          </w:rPr>
          <w:fldChar w:fldCharType="separate"/>
        </w:r>
        <w:r w:rsidR="003B082C">
          <w:rPr>
            <w:webHidden/>
          </w:rPr>
          <w:t>F–1</w:t>
        </w:r>
        <w:r w:rsidR="003B082C">
          <w:rPr>
            <w:webHidden/>
          </w:rPr>
          <w:fldChar w:fldCharType="end"/>
        </w:r>
      </w:hyperlink>
    </w:p>
    <w:p w14:paraId="0C1FDAF2" w14:textId="25960923" w:rsidR="003B082C" w:rsidRDefault="005C5CD4">
      <w:pPr>
        <w:pStyle w:val="TOC1"/>
        <w:rPr>
          <w:rFonts w:asciiTheme="minorHAnsi" w:eastAsiaTheme="minorEastAsia" w:hAnsiTheme="minorHAnsi" w:cstheme="minorBidi"/>
          <w:sz w:val="22"/>
          <w:szCs w:val="22"/>
        </w:rPr>
      </w:pPr>
      <w:hyperlink w:anchor="_Toc79658003" w:history="1">
        <w:r w:rsidR="003B082C" w:rsidRPr="00BB704C">
          <w:rPr>
            <w:rStyle w:val="Hyperlink"/>
          </w:rPr>
          <w:t>References</w:t>
        </w:r>
        <w:r w:rsidR="003B082C">
          <w:rPr>
            <w:webHidden/>
          </w:rPr>
          <w:tab/>
        </w:r>
        <w:r w:rsidR="003B082C">
          <w:rPr>
            <w:webHidden/>
          </w:rPr>
          <w:fldChar w:fldCharType="begin"/>
        </w:r>
        <w:r w:rsidR="003B082C">
          <w:rPr>
            <w:webHidden/>
          </w:rPr>
          <w:instrText xml:space="preserve"> PAGEREF _Toc79658003 \h </w:instrText>
        </w:r>
        <w:r w:rsidR="003B082C">
          <w:rPr>
            <w:webHidden/>
          </w:rPr>
        </w:r>
        <w:r w:rsidR="003B082C">
          <w:rPr>
            <w:webHidden/>
          </w:rPr>
          <w:fldChar w:fldCharType="separate"/>
        </w:r>
        <w:r w:rsidR="003B082C">
          <w:rPr>
            <w:webHidden/>
          </w:rPr>
          <w:t>1</w:t>
        </w:r>
        <w:r w:rsidR="003B082C">
          <w:rPr>
            <w:webHidden/>
          </w:rPr>
          <w:fldChar w:fldCharType="end"/>
        </w:r>
      </w:hyperlink>
    </w:p>
    <w:p w14:paraId="6B650A4A" w14:textId="7BBB0DE5" w:rsidR="00855CB7" w:rsidRDefault="00117555">
      <w:pPr>
        <w:pStyle w:val="BodyText"/>
        <w:rPr>
          <w:rFonts w:ascii="Arial" w:hAnsi="Arial"/>
          <w:b/>
          <w:sz w:val="24"/>
          <w:lang w:val="en-CA"/>
        </w:rPr>
      </w:pPr>
      <w:r>
        <w:rPr>
          <w:rFonts w:ascii="Arial" w:hAnsi="Arial"/>
          <w:b/>
          <w:sz w:val="24"/>
          <w:lang w:val="en-CA"/>
        </w:rPr>
        <w:fldChar w:fldCharType="end"/>
      </w:r>
    </w:p>
    <w:p w14:paraId="1E489CD7" w14:textId="77777777" w:rsidR="00855CB7" w:rsidRDefault="00855CB7" w:rsidP="00107116">
      <w:pPr>
        <w:pStyle w:val="TableofContents"/>
        <w:pageBreakBefore/>
        <w:rPr>
          <w:lang w:val="en-CA"/>
        </w:rPr>
      </w:pPr>
      <w:bookmarkStart w:id="9" w:name="_Toc32038417"/>
      <w:bookmarkStart w:id="10" w:name="_Toc175383864"/>
      <w:bookmarkStart w:id="11" w:name="_Toc400369484"/>
      <w:bookmarkStart w:id="12" w:name="_Toc35796310"/>
      <w:bookmarkStart w:id="13" w:name="_Toc79657911"/>
      <w:r>
        <w:rPr>
          <w:lang w:val="en-CA"/>
        </w:rPr>
        <w:lastRenderedPageBreak/>
        <w:t>List of Figures</w:t>
      </w:r>
      <w:bookmarkEnd w:id="9"/>
      <w:bookmarkEnd w:id="10"/>
      <w:bookmarkEnd w:id="11"/>
      <w:bookmarkEnd w:id="12"/>
      <w:bookmarkEnd w:id="13"/>
    </w:p>
    <w:p w14:paraId="664F30BF" w14:textId="608092CA" w:rsidR="003B082C" w:rsidRDefault="00117555">
      <w:pPr>
        <w:pStyle w:val="TableofFigures"/>
        <w:tabs>
          <w:tab w:val="right" w:leader="dot" w:pos="8990"/>
        </w:tabs>
        <w:rPr>
          <w:rFonts w:asciiTheme="minorHAnsi" w:eastAsiaTheme="minorEastAsia" w:hAnsiTheme="minorHAnsi" w:cstheme="minorBidi"/>
          <w:noProof/>
          <w:szCs w:val="22"/>
          <w:lang w:val="en-CA"/>
        </w:rPr>
      </w:pPr>
      <w:r>
        <w:rPr>
          <w:lang w:val="en-CA"/>
        </w:rPr>
        <w:fldChar w:fldCharType="begin"/>
      </w:r>
      <w:r>
        <w:rPr>
          <w:lang w:val="en-CA"/>
        </w:rPr>
        <w:instrText xml:space="preserve"> TOC \h \z \t "Figure Caption,1" \c "Figure" </w:instrText>
      </w:r>
      <w:r>
        <w:rPr>
          <w:lang w:val="en-CA"/>
        </w:rPr>
        <w:fldChar w:fldCharType="separate"/>
      </w:r>
      <w:hyperlink w:anchor="_Toc79657875" w:history="1">
        <w:r w:rsidR="003B082C" w:rsidRPr="003C70DB">
          <w:rPr>
            <w:rStyle w:val="Hyperlink"/>
            <w:noProof/>
            <w:lang w:val="en-CA"/>
          </w:rPr>
          <w:t xml:space="preserve">Figure 1–1: </w:t>
        </w:r>
        <w:r w:rsidR="003B082C" w:rsidRPr="003C70DB">
          <w:rPr>
            <w:rStyle w:val="Hyperlink"/>
            <w:i/>
            <w:noProof/>
            <w:lang w:val="en-CA"/>
          </w:rPr>
          <w:t>Preliminary Settlement Statement</w:t>
        </w:r>
        <w:r w:rsidR="003B082C" w:rsidRPr="003C70DB">
          <w:rPr>
            <w:rStyle w:val="Hyperlink"/>
            <w:noProof/>
            <w:lang w:val="en-CA"/>
          </w:rPr>
          <w:t xml:space="preserve"> Timeline</w:t>
        </w:r>
        <w:r w:rsidR="003B082C">
          <w:rPr>
            <w:noProof/>
            <w:webHidden/>
          </w:rPr>
          <w:tab/>
        </w:r>
        <w:r w:rsidR="003B082C">
          <w:rPr>
            <w:noProof/>
            <w:webHidden/>
          </w:rPr>
          <w:fldChar w:fldCharType="begin"/>
        </w:r>
        <w:r w:rsidR="003B082C">
          <w:rPr>
            <w:noProof/>
            <w:webHidden/>
          </w:rPr>
          <w:instrText xml:space="preserve"> PAGEREF _Toc79657875 \h </w:instrText>
        </w:r>
        <w:r w:rsidR="003B082C">
          <w:rPr>
            <w:noProof/>
            <w:webHidden/>
          </w:rPr>
        </w:r>
        <w:r w:rsidR="003B082C">
          <w:rPr>
            <w:noProof/>
            <w:webHidden/>
          </w:rPr>
          <w:fldChar w:fldCharType="separate"/>
        </w:r>
        <w:r w:rsidR="003B082C">
          <w:rPr>
            <w:noProof/>
            <w:webHidden/>
          </w:rPr>
          <w:t>3</w:t>
        </w:r>
        <w:r w:rsidR="003B082C">
          <w:rPr>
            <w:noProof/>
            <w:webHidden/>
          </w:rPr>
          <w:fldChar w:fldCharType="end"/>
        </w:r>
      </w:hyperlink>
    </w:p>
    <w:p w14:paraId="070DF884" w14:textId="5A56E50A" w:rsidR="003B082C" w:rsidRDefault="005C5CD4">
      <w:pPr>
        <w:pStyle w:val="TableofFigures"/>
        <w:tabs>
          <w:tab w:val="right" w:leader="dot" w:pos="8990"/>
        </w:tabs>
        <w:rPr>
          <w:rFonts w:asciiTheme="minorHAnsi" w:eastAsiaTheme="minorEastAsia" w:hAnsiTheme="minorHAnsi" w:cstheme="minorBidi"/>
          <w:noProof/>
          <w:szCs w:val="22"/>
          <w:lang w:val="en-CA"/>
        </w:rPr>
      </w:pPr>
      <w:hyperlink w:anchor="_Toc79657876" w:history="1">
        <w:r w:rsidR="003B082C" w:rsidRPr="003C70DB">
          <w:rPr>
            <w:rStyle w:val="Hyperlink"/>
            <w:noProof/>
            <w:lang w:val="en-CA"/>
          </w:rPr>
          <w:t>Figure 2–1:  Work flow for Preliminary Settlement Statements</w:t>
        </w:r>
        <w:r w:rsidR="003B082C">
          <w:rPr>
            <w:noProof/>
            <w:webHidden/>
          </w:rPr>
          <w:tab/>
        </w:r>
        <w:r w:rsidR="003B082C">
          <w:rPr>
            <w:noProof/>
            <w:webHidden/>
          </w:rPr>
          <w:fldChar w:fldCharType="begin"/>
        </w:r>
        <w:r w:rsidR="003B082C">
          <w:rPr>
            <w:noProof/>
            <w:webHidden/>
          </w:rPr>
          <w:instrText xml:space="preserve"> PAGEREF _Toc79657876 \h </w:instrText>
        </w:r>
        <w:r w:rsidR="003B082C">
          <w:rPr>
            <w:noProof/>
            <w:webHidden/>
          </w:rPr>
        </w:r>
        <w:r w:rsidR="003B082C">
          <w:rPr>
            <w:noProof/>
            <w:webHidden/>
          </w:rPr>
          <w:fldChar w:fldCharType="separate"/>
        </w:r>
        <w:r w:rsidR="003B082C">
          <w:rPr>
            <w:noProof/>
            <w:webHidden/>
          </w:rPr>
          <w:t>71</w:t>
        </w:r>
        <w:r w:rsidR="003B082C">
          <w:rPr>
            <w:noProof/>
            <w:webHidden/>
          </w:rPr>
          <w:fldChar w:fldCharType="end"/>
        </w:r>
      </w:hyperlink>
    </w:p>
    <w:p w14:paraId="3E038D5C" w14:textId="13048DD6" w:rsidR="003B082C" w:rsidRDefault="005C5CD4">
      <w:pPr>
        <w:pStyle w:val="TableofFigures"/>
        <w:tabs>
          <w:tab w:val="right" w:leader="dot" w:pos="8990"/>
        </w:tabs>
        <w:rPr>
          <w:rFonts w:asciiTheme="minorHAnsi" w:eastAsiaTheme="minorEastAsia" w:hAnsiTheme="minorHAnsi" w:cstheme="minorBidi"/>
          <w:noProof/>
          <w:szCs w:val="22"/>
          <w:lang w:val="en-CA"/>
        </w:rPr>
      </w:pPr>
      <w:hyperlink w:anchor="_Toc79657877" w:history="1">
        <w:r w:rsidR="003B082C" w:rsidRPr="003C70DB">
          <w:rPr>
            <w:rStyle w:val="Hyperlink"/>
            <w:noProof/>
            <w:lang w:val="en-CA"/>
          </w:rPr>
          <w:t>Figure 2–1:  Work flow for Preliminary Settlement Statements (continued)</w:t>
        </w:r>
        <w:r w:rsidR="003B082C">
          <w:rPr>
            <w:noProof/>
            <w:webHidden/>
          </w:rPr>
          <w:tab/>
        </w:r>
        <w:r w:rsidR="003B082C">
          <w:rPr>
            <w:noProof/>
            <w:webHidden/>
          </w:rPr>
          <w:fldChar w:fldCharType="begin"/>
        </w:r>
        <w:r w:rsidR="003B082C">
          <w:rPr>
            <w:noProof/>
            <w:webHidden/>
          </w:rPr>
          <w:instrText xml:space="preserve"> PAGEREF _Toc79657877 \h </w:instrText>
        </w:r>
        <w:r w:rsidR="003B082C">
          <w:rPr>
            <w:noProof/>
            <w:webHidden/>
          </w:rPr>
        </w:r>
        <w:r w:rsidR="003B082C">
          <w:rPr>
            <w:noProof/>
            <w:webHidden/>
          </w:rPr>
          <w:fldChar w:fldCharType="separate"/>
        </w:r>
        <w:r w:rsidR="003B082C">
          <w:rPr>
            <w:noProof/>
            <w:webHidden/>
          </w:rPr>
          <w:t>72</w:t>
        </w:r>
        <w:r w:rsidR="003B082C">
          <w:rPr>
            <w:noProof/>
            <w:webHidden/>
          </w:rPr>
          <w:fldChar w:fldCharType="end"/>
        </w:r>
      </w:hyperlink>
    </w:p>
    <w:p w14:paraId="2952DF1C" w14:textId="028DF5FA" w:rsidR="003B082C" w:rsidRDefault="005C5CD4">
      <w:pPr>
        <w:pStyle w:val="TableofFigures"/>
        <w:tabs>
          <w:tab w:val="right" w:leader="dot" w:pos="8990"/>
        </w:tabs>
        <w:rPr>
          <w:rFonts w:asciiTheme="minorHAnsi" w:eastAsiaTheme="minorEastAsia" w:hAnsiTheme="minorHAnsi" w:cstheme="minorBidi"/>
          <w:noProof/>
          <w:szCs w:val="22"/>
          <w:lang w:val="en-CA"/>
        </w:rPr>
      </w:pPr>
      <w:hyperlink w:anchor="_Toc79657878" w:history="1">
        <w:r w:rsidR="003B082C" w:rsidRPr="003C70DB">
          <w:rPr>
            <w:rStyle w:val="Hyperlink"/>
            <w:noProof/>
            <w:lang w:val="en-CA"/>
          </w:rPr>
          <w:t>Figure 2–2:  Work flow for Retrieving Final Settlement Statements</w:t>
        </w:r>
        <w:r w:rsidR="003B082C">
          <w:rPr>
            <w:noProof/>
            <w:webHidden/>
          </w:rPr>
          <w:tab/>
        </w:r>
        <w:r w:rsidR="003B082C">
          <w:rPr>
            <w:noProof/>
            <w:webHidden/>
          </w:rPr>
          <w:fldChar w:fldCharType="begin"/>
        </w:r>
        <w:r w:rsidR="003B082C">
          <w:rPr>
            <w:noProof/>
            <w:webHidden/>
          </w:rPr>
          <w:instrText xml:space="preserve"> PAGEREF _Toc79657878 \h </w:instrText>
        </w:r>
        <w:r w:rsidR="003B082C">
          <w:rPr>
            <w:noProof/>
            <w:webHidden/>
          </w:rPr>
        </w:r>
        <w:r w:rsidR="003B082C">
          <w:rPr>
            <w:noProof/>
            <w:webHidden/>
          </w:rPr>
          <w:fldChar w:fldCharType="separate"/>
        </w:r>
        <w:r w:rsidR="003B082C">
          <w:rPr>
            <w:noProof/>
            <w:webHidden/>
          </w:rPr>
          <w:t>73</w:t>
        </w:r>
        <w:r w:rsidR="003B082C">
          <w:rPr>
            <w:noProof/>
            <w:webHidden/>
          </w:rPr>
          <w:fldChar w:fldCharType="end"/>
        </w:r>
      </w:hyperlink>
    </w:p>
    <w:p w14:paraId="6B460318" w14:textId="5AD07C7C" w:rsidR="003B082C" w:rsidRDefault="005C5CD4">
      <w:pPr>
        <w:pStyle w:val="TableofFigures"/>
        <w:tabs>
          <w:tab w:val="right" w:leader="dot" w:pos="8990"/>
        </w:tabs>
        <w:rPr>
          <w:rFonts w:asciiTheme="minorHAnsi" w:eastAsiaTheme="minorEastAsia" w:hAnsiTheme="minorHAnsi" w:cstheme="minorBidi"/>
          <w:noProof/>
          <w:szCs w:val="22"/>
          <w:lang w:val="en-CA"/>
        </w:rPr>
      </w:pPr>
      <w:hyperlink w:anchor="_Toc79657879" w:history="1">
        <w:r w:rsidR="003B082C" w:rsidRPr="003C70DB">
          <w:rPr>
            <w:rStyle w:val="Hyperlink"/>
            <w:noProof/>
            <w:lang w:val="en-CA"/>
          </w:rPr>
          <w:t>Figure 2–3:  Work flow for Designating Facility for Generation Station Service Rebate</w:t>
        </w:r>
        <w:r w:rsidR="003B082C">
          <w:rPr>
            <w:noProof/>
            <w:webHidden/>
          </w:rPr>
          <w:tab/>
        </w:r>
        <w:r w:rsidR="003B082C">
          <w:rPr>
            <w:noProof/>
            <w:webHidden/>
          </w:rPr>
          <w:fldChar w:fldCharType="begin"/>
        </w:r>
        <w:r w:rsidR="003B082C">
          <w:rPr>
            <w:noProof/>
            <w:webHidden/>
          </w:rPr>
          <w:instrText xml:space="preserve"> PAGEREF _Toc79657879 \h </w:instrText>
        </w:r>
        <w:r w:rsidR="003B082C">
          <w:rPr>
            <w:noProof/>
            <w:webHidden/>
          </w:rPr>
        </w:r>
        <w:r w:rsidR="003B082C">
          <w:rPr>
            <w:noProof/>
            <w:webHidden/>
          </w:rPr>
          <w:fldChar w:fldCharType="separate"/>
        </w:r>
        <w:r w:rsidR="003B082C">
          <w:rPr>
            <w:noProof/>
            <w:webHidden/>
          </w:rPr>
          <w:t>74</w:t>
        </w:r>
        <w:r w:rsidR="003B082C">
          <w:rPr>
            <w:noProof/>
            <w:webHidden/>
          </w:rPr>
          <w:fldChar w:fldCharType="end"/>
        </w:r>
      </w:hyperlink>
    </w:p>
    <w:p w14:paraId="77F1AC52" w14:textId="646E9E85" w:rsidR="003B082C" w:rsidRDefault="005C5CD4">
      <w:pPr>
        <w:pStyle w:val="TableofFigures"/>
        <w:tabs>
          <w:tab w:val="right" w:leader="dot" w:pos="8990"/>
        </w:tabs>
        <w:rPr>
          <w:rFonts w:asciiTheme="minorHAnsi" w:eastAsiaTheme="minorEastAsia" w:hAnsiTheme="minorHAnsi" w:cstheme="minorBidi"/>
          <w:noProof/>
          <w:szCs w:val="22"/>
          <w:lang w:val="en-CA"/>
        </w:rPr>
      </w:pPr>
      <w:hyperlink w:anchor="_Toc79657880" w:history="1">
        <w:r w:rsidR="003B082C" w:rsidRPr="003C70DB">
          <w:rPr>
            <w:rStyle w:val="Hyperlink"/>
            <w:noProof/>
            <w:lang w:val="en-CA"/>
          </w:rPr>
          <w:t>Figure 2–4:  Intentionally Left Blank</w:t>
        </w:r>
        <w:r w:rsidR="003B082C">
          <w:rPr>
            <w:noProof/>
            <w:webHidden/>
          </w:rPr>
          <w:tab/>
        </w:r>
        <w:r w:rsidR="003B082C">
          <w:rPr>
            <w:noProof/>
            <w:webHidden/>
          </w:rPr>
          <w:fldChar w:fldCharType="begin"/>
        </w:r>
        <w:r w:rsidR="003B082C">
          <w:rPr>
            <w:noProof/>
            <w:webHidden/>
          </w:rPr>
          <w:instrText xml:space="preserve"> PAGEREF _Toc79657880 \h </w:instrText>
        </w:r>
        <w:r w:rsidR="003B082C">
          <w:rPr>
            <w:noProof/>
            <w:webHidden/>
          </w:rPr>
        </w:r>
        <w:r w:rsidR="003B082C">
          <w:rPr>
            <w:noProof/>
            <w:webHidden/>
          </w:rPr>
          <w:fldChar w:fldCharType="separate"/>
        </w:r>
        <w:r w:rsidR="003B082C">
          <w:rPr>
            <w:noProof/>
            <w:webHidden/>
          </w:rPr>
          <w:t>75</w:t>
        </w:r>
        <w:r w:rsidR="003B082C">
          <w:rPr>
            <w:noProof/>
            <w:webHidden/>
          </w:rPr>
          <w:fldChar w:fldCharType="end"/>
        </w:r>
      </w:hyperlink>
    </w:p>
    <w:p w14:paraId="0D6CC8B1" w14:textId="68580D81" w:rsidR="003B082C" w:rsidRDefault="005C5CD4">
      <w:pPr>
        <w:pStyle w:val="TableofFigures"/>
        <w:tabs>
          <w:tab w:val="right" w:leader="dot" w:pos="8990"/>
        </w:tabs>
        <w:rPr>
          <w:rFonts w:asciiTheme="minorHAnsi" w:eastAsiaTheme="minorEastAsia" w:hAnsiTheme="minorHAnsi" w:cstheme="minorBidi"/>
          <w:noProof/>
          <w:szCs w:val="22"/>
          <w:lang w:val="en-CA"/>
        </w:rPr>
      </w:pPr>
      <w:hyperlink w:anchor="_Toc79657881" w:history="1">
        <w:r w:rsidR="003B082C" w:rsidRPr="003C70DB">
          <w:rPr>
            <w:rStyle w:val="Hyperlink"/>
            <w:noProof/>
            <w:lang w:val="en-CA"/>
          </w:rPr>
          <w:t>Figure 2–5:  Intentionally Left Blank</w:t>
        </w:r>
        <w:r w:rsidR="003B082C">
          <w:rPr>
            <w:noProof/>
            <w:webHidden/>
          </w:rPr>
          <w:tab/>
        </w:r>
        <w:r w:rsidR="003B082C">
          <w:rPr>
            <w:noProof/>
            <w:webHidden/>
          </w:rPr>
          <w:fldChar w:fldCharType="begin"/>
        </w:r>
        <w:r w:rsidR="003B082C">
          <w:rPr>
            <w:noProof/>
            <w:webHidden/>
          </w:rPr>
          <w:instrText xml:space="preserve"> PAGEREF _Toc79657881 \h </w:instrText>
        </w:r>
        <w:r w:rsidR="003B082C">
          <w:rPr>
            <w:noProof/>
            <w:webHidden/>
          </w:rPr>
        </w:r>
        <w:r w:rsidR="003B082C">
          <w:rPr>
            <w:noProof/>
            <w:webHidden/>
          </w:rPr>
          <w:fldChar w:fldCharType="separate"/>
        </w:r>
        <w:r w:rsidR="003B082C">
          <w:rPr>
            <w:noProof/>
            <w:webHidden/>
          </w:rPr>
          <w:t>76</w:t>
        </w:r>
        <w:r w:rsidR="003B082C">
          <w:rPr>
            <w:noProof/>
            <w:webHidden/>
          </w:rPr>
          <w:fldChar w:fldCharType="end"/>
        </w:r>
      </w:hyperlink>
    </w:p>
    <w:p w14:paraId="215BEE5E" w14:textId="22C20AC6" w:rsidR="003B082C" w:rsidRDefault="005C5CD4">
      <w:pPr>
        <w:pStyle w:val="TableofFigures"/>
        <w:tabs>
          <w:tab w:val="right" w:leader="dot" w:pos="8990"/>
        </w:tabs>
        <w:rPr>
          <w:rFonts w:asciiTheme="minorHAnsi" w:eastAsiaTheme="minorEastAsia" w:hAnsiTheme="minorHAnsi" w:cstheme="minorBidi"/>
          <w:noProof/>
          <w:szCs w:val="22"/>
          <w:lang w:val="en-CA"/>
        </w:rPr>
      </w:pPr>
      <w:hyperlink w:anchor="_Toc79657882" w:history="1">
        <w:r w:rsidR="003B082C" w:rsidRPr="003C70DB">
          <w:rPr>
            <w:rStyle w:val="Hyperlink"/>
            <w:noProof/>
            <w:lang w:val="en-CA"/>
          </w:rPr>
          <w:t>Figure 2–6:  Intentionally Left Blank</w:t>
        </w:r>
        <w:r w:rsidR="003B082C">
          <w:rPr>
            <w:noProof/>
            <w:webHidden/>
          </w:rPr>
          <w:tab/>
        </w:r>
        <w:r w:rsidR="003B082C">
          <w:rPr>
            <w:noProof/>
            <w:webHidden/>
          </w:rPr>
          <w:fldChar w:fldCharType="begin"/>
        </w:r>
        <w:r w:rsidR="003B082C">
          <w:rPr>
            <w:noProof/>
            <w:webHidden/>
          </w:rPr>
          <w:instrText xml:space="preserve"> PAGEREF _Toc79657882 \h </w:instrText>
        </w:r>
        <w:r w:rsidR="003B082C">
          <w:rPr>
            <w:noProof/>
            <w:webHidden/>
          </w:rPr>
        </w:r>
        <w:r w:rsidR="003B082C">
          <w:rPr>
            <w:noProof/>
            <w:webHidden/>
          </w:rPr>
          <w:fldChar w:fldCharType="separate"/>
        </w:r>
        <w:r w:rsidR="003B082C">
          <w:rPr>
            <w:noProof/>
            <w:webHidden/>
          </w:rPr>
          <w:t>77</w:t>
        </w:r>
        <w:r w:rsidR="003B082C">
          <w:rPr>
            <w:noProof/>
            <w:webHidden/>
          </w:rPr>
          <w:fldChar w:fldCharType="end"/>
        </w:r>
      </w:hyperlink>
    </w:p>
    <w:p w14:paraId="5ED44B3D" w14:textId="35C0A3D4" w:rsidR="003B082C" w:rsidRDefault="005C5CD4">
      <w:pPr>
        <w:pStyle w:val="TableofFigures"/>
        <w:tabs>
          <w:tab w:val="right" w:leader="dot" w:pos="8990"/>
        </w:tabs>
        <w:rPr>
          <w:rFonts w:asciiTheme="minorHAnsi" w:eastAsiaTheme="minorEastAsia" w:hAnsiTheme="minorHAnsi" w:cstheme="minorBidi"/>
          <w:noProof/>
          <w:szCs w:val="22"/>
          <w:lang w:val="en-CA"/>
        </w:rPr>
      </w:pPr>
      <w:hyperlink w:anchor="_Toc79657883" w:history="1">
        <w:r w:rsidR="003B082C" w:rsidRPr="003C70DB">
          <w:rPr>
            <w:rStyle w:val="Hyperlink"/>
            <w:noProof/>
            <w:lang w:val="en-CA"/>
          </w:rPr>
          <w:t>Figure 2–7:  Intentionally Left Blank</w:t>
        </w:r>
        <w:r w:rsidR="003B082C">
          <w:rPr>
            <w:noProof/>
            <w:webHidden/>
          </w:rPr>
          <w:tab/>
        </w:r>
        <w:r w:rsidR="003B082C">
          <w:rPr>
            <w:noProof/>
            <w:webHidden/>
          </w:rPr>
          <w:fldChar w:fldCharType="begin"/>
        </w:r>
        <w:r w:rsidR="003B082C">
          <w:rPr>
            <w:noProof/>
            <w:webHidden/>
          </w:rPr>
          <w:instrText xml:space="preserve"> PAGEREF _Toc79657883 \h </w:instrText>
        </w:r>
        <w:r w:rsidR="003B082C">
          <w:rPr>
            <w:noProof/>
            <w:webHidden/>
          </w:rPr>
        </w:r>
        <w:r w:rsidR="003B082C">
          <w:rPr>
            <w:noProof/>
            <w:webHidden/>
          </w:rPr>
          <w:fldChar w:fldCharType="separate"/>
        </w:r>
        <w:r w:rsidR="003B082C">
          <w:rPr>
            <w:noProof/>
            <w:webHidden/>
          </w:rPr>
          <w:t>78</w:t>
        </w:r>
        <w:r w:rsidR="003B082C">
          <w:rPr>
            <w:noProof/>
            <w:webHidden/>
          </w:rPr>
          <w:fldChar w:fldCharType="end"/>
        </w:r>
      </w:hyperlink>
    </w:p>
    <w:p w14:paraId="11573AC1" w14:textId="72B38E14" w:rsidR="003B082C" w:rsidRDefault="005C5CD4">
      <w:pPr>
        <w:pStyle w:val="TableofFigures"/>
        <w:tabs>
          <w:tab w:val="right" w:leader="dot" w:pos="8990"/>
        </w:tabs>
        <w:rPr>
          <w:rFonts w:asciiTheme="minorHAnsi" w:eastAsiaTheme="minorEastAsia" w:hAnsiTheme="minorHAnsi" w:cstheme="minorBidi"/>
          <w:noProof/>
          <w:szCs w:val="22"/>
          <w:lang w:val="en-CA"/>
        </w:rPr>
      </w:pPr>
      <w:hyperlink w:anchor="_Toc79657884" w:history="1">
        <w:r w:rsidR="003B082C" w:rsidRPr="003C70DB">
          <w:rPr>
            <w:rStyle w:val="Hyperlink"/>
            <w:noProof/>
            <w:lang w:val="en-CA"/>
          </w:rPr>
          <w:t>Figure 2–8:  Intentionally Left Blank</w:t>
        </w:r>
        <w:r w:rsidR="003B082C">
          <w:rPr>
            <w:noProof/>
            <w:webHidden/>
          </w:rPr>
          <w:tab/>
        </w:r>
        <w:r w:rsidR="003B082C">
          <w:rPr>
            <w:noProof/>
            <w:webHidden/>
          </w:rPr>
          <w:fldChar w:fldCharType="begin"/>
        </w:r>
        <w:r w:rsidR="003B082C">
          <w:rPr>
            <w:noProof/>
            <w:webHidden/>
          </w:rPr>
          <w:instrText xml:space="preserve"> PAGEREF _Toc79657884 \h </w:instrText>
        </w:r>
        <w:r w:rsidR="003B082C">
          <w:rPr>
            <w:noProof/>
            <w:webHidden/>
          </w:rPr>
        </w:r>
        <w:r w:rsidR="003B082C">
          <w:rPr>
            <w:noProof/>
            <w:webHidden/>
          </w:rPr>
          <w:fldChar w:fldCharType="separate"/>
        </w:r>
        <w:r w:rsidR="003B082C">
          <w:rPr>
            <w:noProof/>
            <w:webHidden/>
          </w:rPr>
          <w:t>79</w:t>
        </w:r>
        <w:r w:rsidR="003B082C">
          <w:rPr>
            <w:noProof/>
            <w:webHidden/>
          </w:rPr>
          <w:fldChar w:fldCharType="end"/>
        </w:r>
      </w:hyperlink>
    </w:p>
    <w:p w14:paraId="5A75BE8D" w14:textId="31570ECC" w:rsidR="003B082C" w:rsidRDefault="005C5CD4">
      <w:pPr>
        <w:pStyle w:val="TableofFigures"/>
        <w:tabs>
          <w:tab w:val="right" w:leader="dot" w:pos="8990"/>
        </w:tabs>
        <w:rPr>
          <w:rFonts w:asciiTheme="minorHAnsi" w:eastAsiaTheme="minorEastAsia" w:hAnsiTheme="minorHAnsi" w:cstheme="minorBidi"/>
          <w:noProof/>
          <w:szCs w:val="22"/>
          <w:lang w:val="en-CA"/>
        </w:rPr>
      </w:pPr>
      <w:hyperlink w:anchor="_Toc79657885" w:history="1">
        <w:r w:rsidR="003B082C" w:rsidRPr="003C70DB">
          <w:rPr>
            <w:rStyle w:val="Hyperlink"/>
            <w:noProof/>
            <w:lang w:val="en-CA"/>
          </w:rPr>
          <w:t>Figure 2–9:  Work flow for Declaration of Designated Consumer</w:t>
        </w:r>
        <w:r w:rsidR="003B082C">
          <w:rPr>
            <w:noProof/>
            <w:webHidden/>
          </w:rPr>
          <w:tab/>
        </w:r>
        <w:r w:rsidR="003B082C">
          <w:rPr>
            <w:noProof/>
            <w:webHidden/>
          </w:rPr>
          <w:fldChar w:fldCharType="begin"/>
        </w:r>
        <w:r w:rsidR="003B082C">
          <w:rPr>
            <w:noProof/>
            <w:webHidden/>
          </w:rPr>
          <w:instrText xml:space="preserve"> PAGEREF _Toc79657885 \h </w:instrText>
        </w:r>
        <w:r w:rsidR="003B082C">
          <w:rPr>
            <w:noProof/>
            <w:webHidden/>
          </w:rPr>
        </w:r>
        <w:r w:rsidR="003B082C">
          <w:rPr>
            <w:noProof/>
            <w:webHidden/>
          </w:rPr>
          <w:fldChar w:fldCharType="separate"/>
        </w:r>
        <w:r w:rsidR="003B082C">
          <w:rPr>
            <w:noProof/>
            <w:webHidden/>
          </w:rPr>
          <w:t>80</w:t>
        </w:r>
        <w:r w:rsidR="003B082C">
          <w:rPr>
            <w:noProof/>
            <w:webHidden/>
          </w:rPr>
          <w:fldChar w:fldCharType="end"/>
        </w:r>
      </w:hyperlink>
    </w:p>
    <w:p w14:paraId="721C0927" w14:textId="69A4572A" w:rsidR="003B082C" w:rsidRDefault="005C5CD4">
      <w:pPr>
        <w:pStyle w:val="TableofFigures"/>
        <w:tabs>
          <w:tab w:val="right" w:leader="dot" w:pos="8990"/>
        </w:tabs>
        <w:rPr>
          <w:rFonts w:asciiTheme="minorHAnsi" w:eastAsiaTheme="minorEastAsia" w:hAnsiTheme="minorHAnsi" w:cstheme="minorBidi"/>
          <w:noProof/>
          <w:szCs w:val="22"/>
          <w:lang w:val="en-CA"/>
        </w:rPr>
      </w:pPr>
      <w:hyperlink w:anchor="_Toc79657886" w:history="1">
        <w:r w:rsidR="003B082C" w:rsidRPr="003C70DB">
          <w:rPr>
            <w:rStyle w:val="Hyperlink"/>
            <w:noProof/>
            <w:lang w:val="en-CA"/>
          </w:rPr>
          <w:t>Figure 2–10: Intentionally Left Blank</w:t>
        </w:r>
        <w:r w:rsidR="003B082C">
          <w:rPr>
            <w:noProof/>
            <w:webHidden/>
          </w:rPr>
          <w:tab/>
        </w:r>
        <w:r w:rsidR="003B082C">
          <w:rPr>
            <w:noProof/>
            <w:webHidden/>
          </w:rPr>
          <w:fldChar w:fldCharType="begin"/>
        </w:r>
        <w:r w:rsidR="003B082C">
          <w:rPr>
            <w:noProof/>
            <w:webHidden/>
          </w:rPr>
          <w:instrText xml:space="preserve"> PAGEREF _Toc79657886 \h </w:instrText>
        </w:r>
        <w:r w:rsidR="003B082C">
          <w:rPr>
            <w:noProof/>
            <w:webHidden/>
          </w:rPr>
        </w:r>
        <w:r w:rsidR="003B082C">
          <w:rPr>
            <w:noProof/>
            <w:webHidden/>
          </w:rPr>
          <w:fldChar w:fldCharType="separate"/>
        </w:r>
        <w:r w:rsidR="003B082C">
          <w:rPr>
            <w:noProof/>
            <w:webHidden/>
          </w:rPr>
          <w:t>81</w:t>
        </w:r>
        <w:r w:rsidR="003B082C">
          <w:rPr>
            <w:noProof/>
            <w:webHidden/>
          </w:rPr>
          <w:fldChar w:fldCharType="end"/>
        </w:r>
      </w:hyperlink>
    </w:p>
    <w:p w14:paraId="38980685" w14:textId="3C2790E1" w:rsidR="003B082C" w:rsidRDefault="005C5CD4">
      <w:pPr>
        <w:pStyle w:val="TableofFigures"/>
        <w:tabs>
          <w:tab w:val="right" w:leader="dot" w:pos="8990"/>
        </w:tabs>
        <w:rPr>
          <w:rFonts w:asciiTheme="minorHAnsi" w:eastAsiaTheme="minorEastAsia" w:hAnsiTheme="minorHAnsi" w:cstheme="minorBidi"/>
          <w:noProof/>
          <w:szCs w:val="22"/>
          <w:lang w:val="en-CA"/>
        </w:rPr>
      </w:pPr>
      <w:hyperlink w:anchor="_Toc79657887" w:history="1">
        <w:r w:rsidR="003B082C" w:rsidRPr="003C70DB">
          <w:rPr>
            <w:rStyle w:val="Hyperlink"/>
            <w:noProof/>
            <w:lang w:val="en-CA"/>
          </w:rPr>
          <w:t xml:space="preserve">Figure 2–11:  Work flow for </w:t>
        </w:r>
        <w:r w:rsidR="003B082C" w:rsidRPr="003C70DB">
          <w:rPr>
            <w:rStyle w:val="Hyperlink"/>
            <w:noProof/>
          </w:rPr>
          <w:t>Submitting</w:t>
        </w:r>
        <w:r w:rsidR="003B082C" w:rsidRPr="003C70DB">
          <w:rPr>
            <w:rStyle w:val="Hyperlink"/>
            <w:noProof/>
            <w:lang w:val="en-CA"/>
          </w:rPr>
          <w:t xml:space="preserve"> of Transmission Service Charges for Embedded Generation</w:t>
        </w:r>
        <w:r w:rsidR="003B082C">
          <w:rPr>
            <w:noProof/>
            <w:webHidden/>
          </w:rPr>
          <w:tab/>
        </w:r>
        <w:r w:rsidR="003B082C">
          <w:rPr>
            <w:noProof/>
            <w:webHidden/>
          </w:rPr>
          <w:fldChar w:fldCharType="begin"/>
        </w:r>
        <w:r w:rsidR="003B082C">
          <w:rPr>
            <w:noProof/>
            <w:webHidden/>
          </w:rPr>
          <w:instrText xml:space="preserve"> PAGEREF _Toc79657887 \h </w:instrText>
        </w:r>
        <w:r w:rsidR="003B082C">
          <w:rPr>
            <w:noProof/>
            <w:webHidden/>
          </w:rPr>
        </w:r>
        <w:r w:rsidR="003B082C">
          <w:rPr>
            <w:noProof/>
            <w:webHidden/>
          </w:rPr>
          <w:fldChar w:fldCharType="separate"/>
        </w:r>
        <w:r w:rsidR="003B082C">
          <w:rPr>
            <w:noProof/>
            <w:webHidden/>
          </w:rPr>
          <w:t>83</w:t>
        </w:r>
        <w:r w:rsidR="003B082C">
          <w:rPr>
            <w:noProof/>
            <w:webHidden/>
          </w:rPr>
          <w:fldChar w:fldCharType="end"/>
        </w:r>
      </w:hyperlink>
    </w:p>
    <w:p w14:paraId="3B3EDEC7" w14:textId="71871839" w:rsidR="003B082C" w:rsidRDefault="005C5CD4">
      <w:pPr>
        <w:pStyle w:val="TableofFigures"/>
        <w:tabs>
          <w:tab w:val="right" w:leader="dot" w:pos="8990"/>
        </w:tabs>
        <w:rPr>
          <w:rFonts w:asciiTheme="minorHAnsi" w:eastAsiaTheme="minorEastAsia" w:hAnsiTheme="minorHAnsi" w:cstheme="minorBidi"/>
          <w:noProof/>
          <w:szCs w:val="22"/>
          <w:lang w:val="en-CA"/>
        </w:rPr>
      </w:pPr>
      <w:hyperlink w:anchor="_Toc79657888" w:history="1">
        <w:r w:rsidR="003B082C" w:rsidRPr="003C70DB">
          <w:rPr>
            <w:rStyle w:val="Hyperlink"/>
            <w:noProof/>
          </w:rPr>
          <w:t>Figure 2</w:t>
        </w:r>
        <w:r w:rsidR="003B082C" w:rsidRPr="003C70DB">
          <w:rPr>
            <w:rStyle w:val="Hyperlink"/>
            <w:noProof/>
            <w:lang w:val="en-CA"/>
          </w:rPr>
          <w:t>–</w:t>
        </w:r>
        <w:r w:rsidR="003B082C" w:rsidRPr="003C70DB">
          <w:rPr>
            <w:rStyle w:val="Hyperlink"/>
            <w:noProof/>
          </w:rPr>
          <w:t>12:  Workflow for Submitting NUG Adjustment Amount Information</w:t>
        </w:r>
        <w:r w:rsidR="003B082C">
          <w:rPr>
            <w:noProof/>
            <w:webHidden/>
          </w:rPr>
          <w:tab/>
        </w:r>
        <w:r w:rsidR="003B082C">
          <w:rPr>
            <w:noProof/>
            <w:webHidden/>
          </w:rPr>
          <w:fldChar w:fldCharType="begin"/>
        </w:r>
        <w:r w:rsidR="003B082C">
          <w:rPr>
            <w:noProof/>
            <w:webHidden/>
          </w:rPr>
          <w:instrText xml:space="preserve"> PAGEREF _Toc79657888 \h </w:instrText>
        </w:r>
        <w:r w:rsidR="003B082C">
          <w:rPr>
            <w:noProof/>
            <w:webHidden/>
          </w:rPr>
        </w:r>
        <w:r w:rsidR="003B082C">
          <w:rPr>
            <w:noProof/>
            <w:webHidden/>
          </w:rPr>
          <w:fldChar w:fldCharType="separate"/>
        </w:r>
        <w:r w:rsidR="003B082C">
          <w:rPr>
            <w:noProof/>
            <w:webHidden/>
          </w:rPr>
          <w:t>84</w:t>
        </w:r>
        <w:r w:rsidR="003B082C">
          <w:rPr>
            <w:noProof/>
            <w:webHidden/>
          </w:rPr>
          <w:fldChar w:fldCharType="end"/>
        </w:r>
      </w:hyperlink>
    </w:p>
    <w:p w14:paraId="75F5568D" w14:textId="16E926D4" w:rsidR="003B082C" w:rsidRDefault="005C5CD4">
      <w:pPr>
        <w:pStyle w:val="TableofFigures"/>
        <w:tabs>
          <w:tab w:val="right" w:leader="dot" w:pos="8990"/>
        </w:tabs>
        <w:rPr>
          <w:rFonts w:asciiTheme="minorHAnsi" w:eastAsiaTheme="minorEastAsia" w:hAnsiTheme="minorHAnsi" w:cstheme="minorBidi"/>
          <w:noProof/>
          <w:szCs w:val="22"/>
          <w:lang w:val="en-CA"/>
        </w:rPr>
      </w:pPr>
      <w:hyperlink w:anchor="_Toc79657889" w:history="1">
        <w:r w:rsidR="003B082C" w:rsidRPr="003C70DB">
          <w:rPr>
            <w:rStyle w:val="Hyperlink"/>
            <w:noProof/>
          </w:rPr>
          <w:t>Figure 2</w:t>
        </w:r>
        <w:r w:rsidR="003B082C" w:rsidRPr="003C70DB">
          <w:rPr>
            <w:rStyle w:val="Hyperlink"/>
            <w:noProof/>
            <w:lang w:val="en-CA"/>
          </w:rPr>
          <w:t>–</w:t>
        </w:r>
        <w:r w:rsidR="003B082C" w:rsidRPr="003C70DB">
          <w:rPr>
            <w:rStyle w:val="Hyperlink"/>
            <w:noProof/>
          </w:rPr>
          <w:t>13:  Workflow for Submitting Embedded Generation and Regulated Price Information</w:t>
        </w:r>
        <w:r w:rsidR="003B082C">
          <w:rPr>
            <w:noProof/>
            <w:webHidden/>
          </w:rPr>
          <w:tab/>
        </w:r>
        <w:r w:rsidR="003B082C">
          <w:rPr>
            <w:noProof/>
            <w:webHidden/>
          </w:rPr>
          <w:fldChar w:fldCharType="begin"/>
        </w:r>
        <w:r w:rsidR="003B082C">
          <w:rPr>
            <w:noProof/>
            <w:webHidden/>
          </w:rPr>
          <w:instrText xml:space="preserve"> PAGEREF _Toc79657889 \h </w:instrText>
        </w:r>
        <w:r w:rsidR="003B082C">
          <w:rPr>
            <w:noProof/>
            <w:webHidden/>
          </w:rPr>
        </w:r>
        <w:r w:rsidR="003B082C">
          <w:rPr>
            <w:noProof/>
            <w:webHidden/>
          </w:rPr>
          <w:fldChar w:fldCharType="separate"/>
        </w:r>
        <w:r w:rsidR="003B082C">
          <w:rPr>
            <w:noProof/>
            <w:webHidden/>
          </w:rPr>
          <w:t>85</w:t>
        </w:r>
        <w:r w:rsidR="003B082C">
          <w:rPr>
            <w:noProof/>
            <w:webHidden/>
          </w:rPr>
          <w:fldChar w:fldCharType="end"/>
        </w:r>
      </w:hyperlink>
    </w:p>
    <w:p w14:paraId="60064C64" w14:textId="0E20AB38" w:rsidR="003B082C" w:rsidRDefault="005C5CD4">
      <w:pPr>
        <w:pStyle w:val="TableofFigures"/>
        <w:tabs>
          <w:tab w:val="right" w:leader="dot" w:pos="8990"/>
        </w:tabs>
        <w:rPr>
          <w:rFonts w:asciiTheme="minorHAnsi" w:eastAsiaTheme="minorEastAsia" w:hAnsiTheme="minorHAnsi" w:cstheme="minorBidi"/>
          <w:noProof/>
          <w:szCs w:val="22"/>
          <w:lang w:val="en-CA"/>
        </w:rPr>
      </w:pPr>
      <w:hyperlink w:anchor="_Toc79657890" w:history="1">
        <w:r w:rsidR="003B082C" w:rsidRPr="003C70DB">
          <w:rPr>
            <w:rStyle w:val="Hyperlink"/>
            <w:noProof/>
            <w:lang w:val="en-CA"/>
          </w:rPr>
          <w:t>Figure B–1:  NOD Detailed Records</w:t>
        </w:r>
        <w:r w:rsidR="003B082C">
          <w:rPr>
            <w:noProof/>
            <w:webHidden/>
          </w:rPr>
          <w:tab/>
        </w:r>
        <w:r w:rsidR="003B082C">
          <w:rPr>
            <w:noProof/>
            <w:webHidden/>
          </w:rPr>
          <w:fldChar w:fldCharType="begin"/>
        </w:r>
        <w:r w:rsidR="003B082C">
          <w:rPr>
            <w:noProof/>
            <w:webHidden/>
          </w:rPr>
          <w:instrText xml:space="preserve"> PAGEREF _Toc79657890 \h </w:instrText>
        </w:r>
        <w:r w:rsidR="003B082C">
          <w:rPr>
            <w:noProof/>
            <w:webHidden/>
          </w:rPr>
        </w:r>
        <w:r w:rsidR="003B082C">
          <w:rPr>
            <w:noProof/>
            <w:webHidden/>
          </w:rPr>
          <w:fldChar w:fldCharType="separate"/>
        </w:r>
        <w:r w:rsidR="003B082C">
          <w:rPr>
            <w:noProof/>
            <w:webHidden/>
          </w:rPr>
          <w:t>B–1</w:t>
        </w:r>
        <w:r w:rsidR="003B082C">
          <w:rPr>
            <w:noProof/>
            <w:webHidden/>
          </w:rPr>
          <w:fldChar w:fldCharType="end"/>
        </w:r>
      </w:hyperlink>
    </w:p>
    <w:p w14:paraId="6CAD8B31" w14:textId="5D6E92A0" w:rsidR="003B082C" w:rsidRDefault="005C5CD4">
      <w:pPr>
        <w:pStyle w:val="TableofFigures"/>
        <w:tabs>
          <w:tab w:val="right" w:leader="dot" w:pos="8990"/>
        </w:tabs>
        <w:rPr>
          <w:rFonts w:asciiTheme="minorHAnsi" w:eastAsiaTheme="minorEastAsia" w:hAnsiTheme="minorHAnsi" w:cstheme="minorBidi"/>
          <w:noProof/>
          <w:szCs w:val="22"/>
          <w:lang w:val="en-CA"/>
        </w:rPr>
      </w:pPr>
      <w:hyperlink w:anchor="_Toc79657891" w:history="1">
        <w:r w:rsidR="003B082C" w:rsidRPr="003C70DB">
          <w:rPr>
            <w:rStyle w:val="Hyperlink"/>
            <w:noProof/>
            <w:lang w:val="en-CA"/>
          </w:rPr>
          <w:t>Figure B–2:  NOD Detail Screen – Select Preliminary Settlement Statement</w:t>
        </w:r>
        <w:r w:rsidR="003B082C">
          <w:rPr>
            <w:noProof/>
            <w:webHidden/>
          </w:rPr>
          <w:tab/>
        </w:r>
        <w:r w:rsidR="003B082C">
          <w:rPr>
            <w:noProof/>
            <w:webHidden/>
          </w:rPr>
          <w:fldChar w:fldCharType="begin"/>
        </w:r>
        <w:r w:rsidR="003B082C">
          <w:rPr>
            <w:noProof/>
            <w:webHidden/>
          </w:rPr>
          <w:instrText xml:space="preserve"> PAGEREF _Toc79657891 \h </w:instrText>
        </w:r>
        <w:r w:rsidR="003B082C">
          <w:rPr>
            <w:noProof/>
            <w:webHidden/>
          </w:rPr>
        </w:r>
        <w:r w:rsidR="003B082C">
          <w:rPr>
            <w:noProof/>
            <w:webHidden/>
          </w:rPr>
          <w:fldChar w:fldCharType="separate"/>
        </w:r>
        <w:r w:rsidR="003B082C">
          <w:rPr>
            <w:noProof/>
            <w:webHidden/>
          </w:rPr>
          <w:t>B–1</w:t>
        </w:r>
        <w:r w:rsidR="003B082C">
          <w:rPr>
            <w:noProof/>
            <w:webHidden/>
          </w:rPr>
          <w:fldChar w:fldCharType="end"/>
        </w:r>
      </w:hyperlink>
    </w:p>
    <w:p w14:paraId="58C1C219" w14:textId="65AB4015" w:rsidR="003B082C" w:rsidRDefault="005C5CD4">
      <w:pPr>
        <w:pStyle w:val="TableofFigures"/>
        <w:tabs>
          <w:tab w:val="right" w:leader="dot" w:pos="8990"/>
        </w:tabs>
        <w:rPr>
          <w:rFonts w:asciiTheme="minorHAnsi" w:eastAsiaTheme="minorEastAsia" w:hAnsiTheme="minorHAnsi" w:cstheme="minorBidi"/>
          <w:noProof/>
          <w:szCs w:val="22"/>
          <w:lang w:val="en-CA"/>
        </w:rPr>
      </w:pPr>
      <w:hyperlink w:anchor="_Toc79657892" w:history="1">
        <w:r w:rsidR="003B082C" w:rsidRPr="003C70DB">
          <w:rPr>
            <w:rStyle w:val="Hyperlink"/>
            <w:noProof/>
            <w:lang w:val="en-CA"/>
          </w:rPr>
          <w:t>Figure B–3:  NOD Detail Screen – Select Preliminary Settlement Statement Line Items</w:t>
        </w:r>
        <w:r w:rsidR="003B082C">
          <w:rPr>
            <w:noProof/>
            <w:webHidden/>
          </w:rPr>
          <w:tab/>
        </w:r>
        <w:r w:rsidR="003B082C">
          <w:rPr>
            <w:noProof/>
            <w:webHidden/>
          </w:rPr>
          <w:fldChar w:fldCharType="begin"/>
        </w:r>
        <w:r w:rsidR="003B082C">
          <w:rPr>
            <w:noProof/>
            <w:webHidden/>
          </w:rPr>
          <w:instrText xml:space="preserve"> PAGEREF _Toc79657892 \h </w:instrText>
        </w:r>
        <w:r w:rsidR="003B082C">
          <w:rPr>
            <w:noProof/>
            <w:webHidden/>
          </w:rPr>
        </w:r>
        <w:r w:rsidR="003B082C">
          <w:rPr>
            <w:noProof/>
            <w:webHidden/>
          </w:rPr>
          <w:fldChar w:fldCharType="separate"/>
        </w:r>
        <w:r w:rsidR="003B082C">
          <w:rPr>
            <w:noProof/>
            <w:webHidden/>
          </w:rPr>
          <w:t>B–2</w:t>
        </w:r>
        <w:r w:rsidR="003B082C">
          <w:rPr>
            <w:noProof/>
            <w:webHidden/>
          </w:rPr>
          <w:fldChar w:fldCharType="end"/>
        </w:r>
      </w:hyperlink>
    </w:p>
    <w:p w14:paraId="1C40171F" w14:textId="51DE790F" w:rsidR="003B082C" w:rsidRDefault="005C5CD4">
      <w:pPr>
        <w:pStyle w:val="TableofFigures"/>
        <w:tabs>
          <w:tab w:val="right" w:leader="dot" w:pos="8990"/>
        </w:tabs>
        <w:rPr>
          <w:rFonts w:asciiTheme="minorHAnsi" w:eastAsiaTheme="minorEastAsia" w:hAnsiTheme="minorHAnsi" w:cstheme="minorBidi"/>
          <w:noProof/>
          <w:szCs w:val="22"/>
          <w:lang w:val="en-CA"/>
        </w:rPr>
      </w:pPr>
      <w:hyperlink w:anchor="_Toc79657893" w:history="1">
        <w:r w:rsidR="003B082C" w:rsidRPr="003C70DB">
          <w:rPr>
            <w:rStyle w:val="Hyperlink"/>
            <w:noProof/>
            <w:lang w:val="en-CA"/>
          </w:rPr>
          <w:t>Figure B–4:  NOD Detail Screen – Add Missing Line Items</w:t>
        </w:r>
        <w:r w:rsidR="003B082C">
          <w:rPr>
            <w:noProof/>
            <w:webHidden/>
          </w:rPr>
          <w:tab/>
        </w:r>
        <w:r w:rsidR="003B082C">
          <w:rPr>
            <w:noProof/>
            <w:webHidden/>
          </w:rPr>
          <w:fldChar w:fldCharType="begin"/>
        </w:r>
        <w:r w:rsidR="003B082C">
          <w:rPr>
            <w:noProof/>
            <w:webHidden/>
          </w:rPr>
          <w:instrText xml:space="preserve"> PAGEREF _Toc79657893 \h </w:instrText>
        </w:r>
        <w:r w:rsidR="003B082C">
          <w:rPr>
            <w:noProof/>
            <w:webHidden/>
          </w:rPr>
        </w:r>
        <w:r w:rsidR="003B082C">
          <w:rPr>
            <w:noProof/>
            <w:webHidden/>
          </w:rPr>
          <w:fldChar w:fldCharType="separate"/>
        </w:r>
        <w:r w:rsidR="003B082C">
          <w:rPr>
            <w:noProof/>
            <w:webHidden/>
          </w:rPr>
          <w:t>B–2</w:t>
        </w:r>
        <w:r w:rsidR="003B082C">
          <w:rPr>
            <w:noProof/>
            <w:webHidden/>
          </w:rPr>
          <w:fldChar w:fldCharType="end"/>
        </w:r>
      </w:hyperlink>
    </w:p>
    <w:p w14:paraId="61C3B22A" w14:textId="43554E37" w:rsidR="003B082C" w:rsidRDefault="005C5CD4">
      <w:pPr>
        <w:pStyle w:val="TableofFigures"/>
        <w:tabs>
          <w:tab w:val="right" w:leader="dot" w:pos="8990"/>
        </w:tabs>
        <w:rPr>
          <w:rFonts w:asciiTheme="minorHAnsi" w:eastAsiaTheme="minorEastAsia" w:hAnsiTheme="minorHAnsi" w:cstheme="minorBidi"/>
          <w:noProof/>
          <w:szCs w:val="22"/>
          <w:lang w:val="en-CA"/>
        </w:rPr>
      </w:pPr>
      <w:hyperlink w:anchor="_Toc79657894" w:history="1">
        <w:r w:rsidR="003B082C" w:rsidRPr="003C70DB">
          <w:rPr>
            <w:rStyle w:val="Hyperlink"/>
            <w:noProof/>
            <w:lang w:val="en-CA"/>
          </w:rPr>
          <w:t>Figure B–5:  NOD Detail Screen – Provide Additional Information</w:t>
        </w:r>
        <w:r w:rsidR="003B082C">
          <w:rPr>
            <w:noProof/>
            <w:webHidden/>
          </w:rPr>
          <w:tab/>
        </w:r>
        <w:r w:rsidR="003B082C">
          <w:rPr>
            <w:noProof/>
            <w:webHidden/>
          </w:rPr>
          <w:fldChar w:fldCharType="begin"/>
        </w:r>
        <w:r w:rsidR="003B082C">
          <w:rPr>
            <w:noProof/>
            <w:webHidden/>
          </w:rPr>
          <w:instrText xml:space="preserve"> PAGEREF _Toc79657894 \h </w:instrText>
        </w:r>
        <w:r w:rsidR="003B082C">
          <w:rPr>
            <w:noProof/>
            <w:webHidden/>
          </w:rPr>
        </w:r>
        <w:r w:rsidR="003B082C">
          <w:rPr>
            <w:noProof/>
            <w:webHidden/>
          </w:rPr>
          <w:fldChar w:fldCharType="separate"/>
        </w:r>
        <w:r w:rsidR="003B082C">
          <w:rPr>
            <w:noProof/>
            <w:webHidden/>
          </w:rPr>
          <w:t>B–3</w:t>
        </w:r>
        <w:r w:rsidR="003B082C">
          <w:rPr>
            <w:noProof/>
            <w:webHidden/>
          </w:rPr>
          <w:fldChar w:fldCharType="end"/>
        </w:r>
      </w:hyperlink>
    </w:p>
    <w:p w14:paraId="2B96CE0D" w14:textId="65453BD0" w:rsidR="003B082C" w:rsidRDefault="005C5CD4">
      <w:pPr>
        <w:pStyle w:val="TableofFigures"/>
        <w:tabs>
          <w:tab w:val="right" w:leader="dot" w:pos="8990"/>
        </w:tabs>
        <w:rPr>
          <w:rFonts w:asciiTheme="minorHAnsi" w:eastAsiaTheme="minorEastAsia" w:hAnsiTheme="minorHAnsi" w:cstheme="minorBidi"/>
          <w:noProof/>
          <w:szCs w:val="22"/>
          <w:lang w:val="en-CA"/>
        </w:rPr>
      </w:pPr>
      <w:hyperlink w:anchor="_Toc79657895" w:history="1">
        <w:r w:rsidR="003B082C" w:rsidRPr="003C70DB">
          <w:rPr>
            <w:rStyle w:val="Hyperlink"/>
            <w:noProof/>
          </w:rPr>
          <w:t>Figure E–1:  RT-GCG Precedes DA Schedule of Record:  No Overlap - No Gap between Events</w:t>
        </w:r>
        <w:r w:rsidR="003B082C">
          <w:rPr>
            <w:noProof/>
            <w:webHidden/>
          </w:rPr>
          <w:tab/>
        </w:r>
        <w:r w:rsidR="003B082C">
          <w:rPr>
            <w:noProof/>
            <w:webHidden/>
          </w:rPr>
          <w:fldChar w:fldCharType="begin"/>
        </w:r>
        <w:r w:rsidR="003B082C">
          <w:rPr>
            <w:noProof/>
            <w:webHidden/>
          </w:rPr>
          <w:instrText xml:space="preserve"> PAGEREF _Toc79657895 \h </w:instrText>
        </w:r>
        <w:r w:rsidR="003B082C">
          <w:rPr>
            <w:noProof/>
            <w:webHidden/>
          </w:rPr>
        </w:r>
        <w:r w:rsidR="003B082C">
          <w:rPr>
            <w:noProof/>
            <w:webHidden/>
          </w:rPr>
          <w:fldChar w:fldCharType="separate"/>
        </w:r>
        <w:r w:rsidR="003B082C">
          <w:rPr>
            <w:noProof/>
            <w:webHidden/>
          </w:rPr>
          <w:t>E–17</w:t>
        </w:r>
        <w:r w:rsidR="003B082C">
          <w:rPr>
            <w:noProof/>
            <w:webHidden/>
          </w:rPr>
          <w:fldChar w:fldCharType="end"/>
        </w:r>
      </w:hyperlink>
    </w:p>
    <w:p w14:paraId="536B8590" w14:textId="50940656" w:rsidR="003B082C" w:rsidRDefault="005C5CD4">
      <w:pPr>
        <w:pStyle w:val="TableofFigures"/>
        <w:tabs>
          <w:tab w:val="right" w:leader="dot" w:pos="8990"/>
        </w:tabs>
        <w:rPr>
          <w:rFonts w:asciiTheme="minorHAnsi" w:eastAsiaTheme="minorEastAsia" w:hAnsiTheme="minorHAnsi" w:cstheme="minorBidi"/>
          <w:noProof/>
          <w:szCs w:val="22"/>
          <w:lang w:val="en-CA"/>
        </w:rPr>
      </w:pPr>
      <w:hyperlink w:anchor="_Toc79657896" w:history="1">
        <w:r w:rsidR="003B082C" w:rsidRPr="003C70DB">
          <w:rPr>
            <w:rStyle w:val="Hyperlink"/>
            <w:noProof/>
          </w:rPr>
          <w:t>Figure E–2:  RT-GCG Precedes DA Schedule of Record:  No Overlap - Gap between Events</w:t>
        </w:r>
        <w:r w:rsidR="003B082C">
          <w:rPr>
            <w:noProof/>
            <w:webHidden/>
          </w:rPr>
          <w:tab/>
        </w:r>
        <w:r w:rsidR="003B082C">
          <w:rPr>
            <w:noProof/>
            <w:webHidden/>
          </w:rPr>
          <w:fldChar w:fldCharType="begin"/>
        </w:r>
        <w:r w:rsidR="003B082C">
          <w:rPr>
            <w:noProof/>
            <w:webHidden/>
          </w:rPr>
          <w:instrText xml:space="preserve"> PAGEREF _Toc79657896 \h </w:instrText>
        </w:r>
        <w:r w:rsidR="003B082C">
          <w:rPr>
            <w:noProof/>
            <w:webHidden/>
          </w:rPr>
        </w:r>
        <w:r w:rsidR="003B082C">
          <w:rPr>
            <w:noProof/>
            <w:webHidden/>
          </w:rPr>
          <w:fldChar w:fldCharType="separate"/>
        </w:r>
        <w:r w:rsidR="003B082C">
          <w:rPr>
            <w:noProof/>
            <w:webHidden/>
          </w:rPr>
          <w:t>E–18</w:t>
        </w:r>
        <w:r w:rsidR="003B082C">
          <w:rPr>
            <w:noProof/>
            <w:webHidden/>
          </w:rPr>
          <w:fldChar w:fldCharType="end"/>
        </w:r>
      </w:hyperlink>
    </w:p>
    <w:p w14:paraId="5EEFD208" w14:textId="3C3334F0" w:rsidR="003B082C" w:rsidRDefault="005C5CD4">
      <w:pPr>
        <w:pStyle w:val="TableofFigures"/>
        <w:tabs>
          <w:tab w:val="right" w:leader="dot" w:pos="8990"/>
        </w:tabs>
        <w:rPr>
          <w:rFonts w:asciiTheme="minorHAnsi" w:eastAsiaTheme="minorEastAsia" w:hAnsiTheme="minorHAnsi" w:cstheme="minorBidi"/>
          <w:noProof/>
          <w:szCs w:val="22"/>
          <w:lang w:val="en-CA"/>
        </w:rPr>
      </w:pPr>
      <w:hyperlink w:anchor="_Toc79657897" w:history="1">
        <w:r w:rsidR="003B082C" w:rsidRPr="003C70DB">
          <w:rPr>
            <w:rStyle w:val="Hyperlink"/>
            <w:noProof/>
          </w:rPr>
          <w:t>Figure E–3:  RT-GCG Precedes DA Schedule of Record:  With Overlap</w:t>
        </w:r>
        <w:r w:rsidR="003B082C">
          <w:rPr>
            <w:noProof/>
            <w:webHidden/>
          </w:rPr>
          <w:tab/>
        </w:r>
        <w:r w:rsidR="003B082C">
          <w:rPr>
            <w:noProof/>
            <w:webHidden/>
          </w:rPr>
          <w:fldChar w:fldCharType="begin"/>
        </w:r>
        <w:r w:rsidR="003B082C">
          <w:rPr>
            <w:noProof/>
            <w:webHidden/>
          </w:rPr>
          <w:instrText xml:space="preserve"> PAGEREF _Toc79657897 \h </w:instrText>
        </w:r>
        <w:r w:rsidR="003B082C">
          <w:rPr>
            <w:noProof/>
            <w:webHidden/>
          </w:rPr>
        </w:r>
        <w:r w:rsidR="003B082C">
          <w:rPr>
            <w:noProof/>
            <w:webHidden/>
          </w:rPr>
          <w:fldChar w:fldCharType="separate"/>
        </w:r>
        <w:r w:rsidR="003B082C">
          <w:rPr>
            <w:noProof/>
            <w:webHidden/>
          </w:rPr>
          <w:t>E–19</w:t>
        </w:r>
        <w:r w:rsidR="003B082C">
          <w:rPr>
            <w:noProof/>
            <w:webHidden/>
          </w:rPr>
          <w:fldChar w:fldCharType="end"/>
        </w:r>
      </w:hyperlink>
    </w:p>
    <w:p w14:paraId="31596C40" w14:textId="24F44329" w:rsidR="003B082C" w:rsidRDefault="005C5CD4">
      <w:pPr>
        <w:pStyle w:val="TableofFigures"/>
        <w:tabs>
          <w:tab w:val="right" w:leader="dot" w:pos="8990"/>
        </w:tabs>
        <w:rPr>
          <w:rFonts w:asciiTheme="minorHAnsi" w:eastAsiaTheme="minorEastAsia" w:hAnsiTheme="minorHAnsi" w:cstheme="minorBidi"/>
          <w:noProof/>
          <w:szCs w:val="22"/>
          <w:lang w:val="en-CA"/>
        </w:rPr>
      </w:pPr>
      <w:hyperlink w:anchor="_Toc79657898" w:history="1">
        <w:r w:rsidR="003B082C" w:rsidRPr="003C70DB">
          <w:rPr>
            <w:rStyle w:val="Hyperlink"/>
            <w:noProof/>
          </w:rPr>
          <w:t>Figure E–4:  Work flow for Submitting Optional Measurement Data Records</w:t>
        </w:r>
        <w:r w:rsidR="003B082C">
          <w:rPr>
            <w:noProof/>
            <w:webHidden/>
          </w:rPr>
          <w:tab/>
        </w:r>
        <w:r w:rsidR="003B082C">
          <w:rPr>
            <w:noProof/>
            <w:webHidden/>
          </w:rPr>
          <w:fldChar w:fldCharType="begin"/>
        </w:r>
        <w:r w:rsidR="003B082C">
          <w:rPr>
            <w:noProof/>
            <w:webHidden/>
          </w:rPr>
          <w:instrText xml:space="preserve"> PAGEREF _Toc79657898 \h </w:instrText>
        </w:r>
        <w:r w:rsidR="003B082C">
          <w:rPr>
            <w:noProof/>
            <w:webHidden/>
          </w:rPr>
        </w:r>
        <w:r w:rsidR="003B082C">
          <w:rPr>
            <w:noProof/>
            <w:webHidden/>
          </w:rPr>
          <w:fldChar w:fldCharType="separate"/>
        </w:r>
        <w:r w:rsidR="003B082C">
          <w:rPr>
            <w:noProof/>
            <w:webHidden/>
          </w:rPr>
          <w:t>E–43</w:t>
        </w:r>
        <w:r w:rsidR="003B082C">
          <w:rPr>
            <w:noProof/>
            <w:webHidden/>
          </w:rPr>
          <w:fldChar w:fldCharType="end"/>
        </w:r>
      </w:hyperlink>
    </w:p>
    <w:p w14:paraId="4E9AA9F1" w14:textId="2B734A2D" w:rsidR="003B082C" w:rsidRDefault="005C5CD4">
      <w:pPr>
        <w:pStyle w:val="TableofFigures"/>
        <w:tabs>
          <w:tab w:val="right" w:leader="dot" w:pos="8990"/>
        </w:tabs>
        <w:rPr>
          <w:rFonts w:asciiTheme="minorHAnsi" w:eastAsiaTheme="minorEastAsia" w:hAnsiTheme="minorHAnsi" w:cstheme="minorBidi"/>
          <w:noProof/>
          <w:szCs w:val="22"/>
          <w:lang w:val="en-CA"/>
        </w:rPr>
      </w:pPr>
      <w:hyperlink w:anchor="_Toc79657899" w:history="1">
        <w:r w:rsidR="003B082C" w:rsidRPr="003C70DB">
          <w:rPr>
            <w:rStyle w:val="Hyperlink"/>
            <w:noProof/>
            <w:lang w:val="en-CA"/>
          </w:rPr>
          <w:t xml:space="preserve">Figure E–5:  Work flow for </w:t>
        </w:r>
        <w:r w:rsidR="003B082C" w:rsidRPr="003C70DB">
          <w:rPr>
            <w:rStyle w:val="Hyperlink"/>
            <w:noProof/>
          </w:rPr>
          <w:t>Submitting</w:t>
        </w:r>
        <w:r w:rsidR="003B082C" w:rsidRPr="003C70DB">
          <w:rPr>
            <w:rStyle w:val="Hyperlink"/>
            <w:noProof/>
            <w:lang w:val="en-CA"/>
          </w:rPr>
          <w:t xml:space="preserve"> DRC Exemption Certificate</w:t>
        </w:r>
        <w:r w:rsidR="003B082C">
          <w:rPr>
            <w:noProof/>
            <w:webHidden/>
          </w:rPr>
          <w:tab/>
        </w:r>
        <w:r w:rsidR="003B082C">
          <w:rPr>
            <w:noProof/>
            <w:webHidden/>
          </w:rPr>
          <w:fldChar w:fldCharType="begin"/>
        </w:r>
        <w:r w:rsidR="003B082C">
          <w:rPr>
            <w:noProof/>
            <w:webHidden/>
          </w:rPr>
          <w:instrText xml:space="preserve"> PAGEREF _Toc79657899 \h </w:instrText>
        </w:r>
        <w:r w:rsidR="003B082C">
          <w:rPr>
            <w:noProof/>
            <w:webHidden/>
          </w:rPr>
        </w:r>
        <w:r w:rsidR="003B082C">
          <w:rPr>
            <w:noProof/>
            <w:webHidden/>
          </w:rPr>
          <w:fldChar w:fldCharType="separate"/>
        </w:r>
        <w:r w:rsidR="003B082C">
          <w:rPr>
            <w:noProof/>
            <w:webHidden/>
          </w:rPr>
          <w:t>E–47</w:t>
        </w:r>
        <w:r w:rsidR="003B082C">
          <w:rPr>
            <w:noProof/>
            <w:webHidden/>
          </w:rPr>
          <w:fldChar w:fldCharType="end"/>
        </w:r>
      </w:hyperlink>
    </w:p>
    <w:p w14:paraId="1E766276" w14:textId="68C958B7" w:rsidR="003B082C" w:rsidRDefault="005C5CD4">
      <w:pPr>
        <w:pStyle w:val="TableofFigures"/>
        <w:tabs>
          <w:tab w:val="right" w:leader="dot" w:pos="8990"/>
        </w:tabs>
        <w:rPr>
          <w:rFonts w:asciiTheme="minorHAnsi" w:eastAsiaTheme="minorEastAsia" w:hAnsiTheme="minorHAnsi" w:cstheme="minorBidi"/>
          <w:noProof/>
          <w:szCs w:val="22"/>
          <w:lang w:val="en-CA"/>
        </w:rPr>
      </w:pPr>
      <w:hyperlink w:anchor="_Toc79657900" w:history="1">
        <w:r w:rsidR="003B082C" w:rsidRPr="003C70DB">
          <w:rPr>
            <w:rStyle w:val="Hyperlink"/>
            <w:noProof/>
            <w:lang w:val="en-CA"/>
          </w:rPr>
          <w:t xml:space="preserve">Figure E–6:  Work flow for </w:t>
        </w:r>
        <w:r w:rsidR="003B082C" w:rsidRPr="003C70DB">
          <w:rPr>
            <w:rStyle w:val="Hyperlink"/>
            <w:noProof/>
          </w:rPr>
          <w:t xml:space="preserve">Submitting </w:t>
        </w:r>
        <w:r w:rsidR="003B082C" w:rsidRPr="003C70DB">
          <w:rPr>
            <w:rStyle w:val="Hyperlink"/>
            <w:noProof/>
            <w:lang w:val="en-CA"/>
          </w:rPr>
          <w:t>Reduced DRC Certification Information</w:t>
        </w:r>
        <w:r w:rsidR="003B082C">
          <w:rPr>
            <w:noProof/>
            <w:webHidden/>
          </w:rPr>
          <w:tab/>
        </w:r>
        <w:r w:rsidR="003B082C">
          <w:rPr>
            <w:noProof/>
            <w:webHidden/>
          </w:rPr>
          <w:fldChar w:fldCharType="begin"/>
        </w:r>
        <w:r w:rsidR="003B082C">
          <w:rPr>
            <w:noProof/>
            <w:webHidden/>
          </w:rPr>
          <w:instrText xml:space="preserve"> PAGEREF _Toc79657900 \h </w:instrText>
        </w:r>
        <w:r w:rsidR="003B082C">
          <w:rPr>
            <w:noProof/>
            <w:webHidden/>
          </w:rPr>
        </w:r>
        <w:r w:rsidR="003B082C">
          <w:rPr>
            <w:noProof/>
            <w:webHidden/>
          </w:rPr>
          <w:fldChar w:fldCharType="separate"/>
        </w:r>
        <w:r w:rsidR="003B082C">
          <w:rPr>
            <w:noProof/>
            <w:webHidden/>
          </w:rPr>
          <w:t>E–48</w:t>
        </w:r>
        <w:r w:rsidR="003B082C">
          <w:rPr>
            <w:noProof/>
            <w:webHidden/>
          </w:rPr>
          <w:fldChar w:fldCharType="end"/>
        </w:r>
      </w:hyperlink>
    </w:p>
    <w:p w14:paraId="51D4EF74" w14:textId="0E03C0E0" w:rsidR="00855CB7" w:rsidRDefault="00117555">
      <w:pPr>
        <w:pStyle w:val="TableofFigures"/>
        <w:rPr>
          <w:lang w:val="en-CA"/>
        </w:rPr>
      </w:pPr>
      <w:r>
        <w:rPr>
          <w:lang w:val="en-CA"/>
        </w:rPr>
        <w:fldChar w:fldCharType="end"/>
      </w:r>
    </w:p>
    <w:p w14:paraId="70F3259C" w14:textId="77777777" w:rsidR="00855CB7" w:rsidRDefault="00855CB7" w:rsidP="00107116">
      <w:pPr>
        <w:pStyle w:val="TableofContents"/>
        <w:pageBreakBefore/>
        <w:rPr>
          <w:lang w:val="en-CA"/>
        </w:rPr>
      </w:pPr>
      <w:bookmarkStart w:id="14" w:name="_Toc493400502"/>
      <w:bookmarkStart w:id="15" w:name="_Toc494078190"/>
      <w:bookmarkStart w:id="16" w:name="_Toc494079624"/>
      <w:bookmarkStart w:id="17" w:name="_Toc32038418"/>
      <w:bookmarkStart w:id="18" w:name="_Toc175383865"/>
      <w:bookmarkStart w:id="19" w:name="_Toc400369485"/>
      <w:bookmarkStart w:id="20" w:name="_Toc35796311"/>
      <w:bookmarkStart w:id="21" w:name="_Toc79657912"/>
      <w:r>
        <w:rPr>
          <w:lang w:val="en-CA"/>
        </w:rPr>
        <w:lastRenderedPageBreak/>
        <w:t>List of Tables</w:t>
      </w:r>
      <w:bookmarkEnd w:id="14"/>
      <w:bookmarkEnd w:id="15"/>
      <w:bookmarkEnd w:id="16"/>
      <w:bookmarkEnd w:id="17"/>
      <w:bookmarkEnd w:id="18"/>
      <w:bookmarkEnd w:id="19"/>
      <w:bookmarkEnd w:id="20"/>
      <w:bookmarkEnd w:id="21"/>
    </w:p>
    <w:p w14:paraId="720FA700" w14:textId="628121D6" w:rsidR="003B082C" w:rsidRDefault="00117555">
      <w:pPr>
        <w:pStyle w:val="TableofFigures"/>
        <w:tabs>
          <w:tab w:val="right" w:leader="dot" w:pos="8990"/>
        </w:tabs>
        <w:rPr>
          <w:rFonts w:asciiTheme="minorHAnsi" w:eastAsiaTheme="minorEastAsia" w:hAnsiTheme="minorHAnsi" w:cstheme="minorBidi"/>
          <w:noProof/>
          <w:szCs w:val="22"/>
          <w:lang w:val="en-CA"/>
        </w:rPr>
      </w:pPr>
      <w:r>
        <w:rPr>
          <w:lang w:val="en-CA"/>
        </w:rPr>
        <w:fldChar w:fldCharType="begin"/>
      </w:r>
      <w:r>
        <w:rPr>
          <w:lang w:val="en-CA"/>
        </w:rPr>
        <w:instrText xml:space="preserve"> TOC \h \z \t "Table Caption,1" \c "Figure" </w:instrText>
      </w:r>
      <w:r>
        <w:rPr>
          <w:lang w:val="en-CA"/>
        </w:rPr>
        <w:fldChar w:fldCharType="separate"/>
      </w:r>
      <w:hyperlink w:anchor="_Toc79657832" w:history="1">
        <w:r w:rsidR="003B082C" w:rsidRPr="00A227AF">
          <w:rPr>
            <w:rStyle w:val="Hyperlink"/>
            <w:noProof/>
            <w:lang w:val="en-CA"/>
          </w:rPr>
          <w:t>Table 1–1:  Data Requirement for Notice of Disagreement Submission</w:t>
        </w:r>
        <w:r w:rsidR="003B082C">
          <w:rPr>
            <w:noProof/>
            <w:webHidden/>
          </w:rPr>
          <w:tab/>
        </w:r>
        <w:r w:rsidR="003B082C">
          <w:rPr>
            <w:noProof/>
            <w:webHidden/>
          </w:rPr>
          <w:fldChar w:fldCharType="begin"/>
        </w:r>
        <w:r w:rsidR="003B082C">
          <w:rPr>
            <w:noProof/>
            <w:webHidden/>
          </w:rPr>
          <w:instrText xml:space="preserve"> PAGEREF _Toc79657832 \h </w:instrText>
        </w:r>
        <w:r w:rsidR="003B082C">
          <w:rPr>
            <w:noProof/>
            <w:webHidden/>
          </w:rPr>
        </w:r>
        <w:r w:rsidR="003B082C">
          <w:rPr>
            <w:noProof/>
            <w:webHidden/>
          </w:rPr>
          <w:fldChar w:fldCharType="separate"/>
        </w:r>
        <w:r w:rsidR="003B082C">
          <w:rPr>
            <w:noProof/>
            <w:webHidden/>
          </w:rPr>
          <w:t>8</w:t>
        </w:r>
        <w:r w:rsidR="003B082C">
          <w:rPr>
            <w:noProof/>
            <w:webHidden/>
          </w:rPr>
          <w:fldChar w:fldCharType="end"/>
        </w:r>
      </w:hyperlink>
    </w:p>
    <w:p w14:paraId="5D86A14F" w14:textId="5A0CCE95" w:rsidR="003B082C" w:rsidRDefault="005C5CD4">
      <w:pPr>
        <w:pStyle w:val="TableofFigures"/>
        <w:tabs>
          <w:tab w:val="right" w:leader="dot" w:pos="8990"/>
        </w:tabs>
        <w:rPr>
          <w:rFonts w:asciiTheme="minorHAnsi" w:eastAsiaTheme="minorEastAsia" w:hAnsiTheme="minorHAnsi" w:cstheme="minorBidi"/>
          <w:noProof/>
          <w:szCs w:val="22"/>
          <w:lang w:val="en-CA"/>
        </w:rPr>
      </w:pPr>
      <w:hyperlink w:anchor="_Toc79657833" w:history="1">
        <w:r w:rsidR="003B082C" w:rsidRPr="00A227AF">
          <w:rPr>
            <w:rStyle w:val="Hyperlink"/>
            <w:noProof/>
          </w:rPr>
          <w:t>Table 1–2:  Global Adjustment Charge Types</w:t>
        </w:r>
        <w:r w:rsidR="003B082C">
          <w:rPr>
            <w:noProof/>
            <w:webHidden/>
          </w:rPr>
          <w:tab/>
        </w:r>
        <w:r w:rsidR="003B082C">
          <w:rPr>
            <w:noProof/>
            <w:webHidden/>
          </w:rPr>
          <w:fldChar w:fldCharType="begin"/>
        </w:r>
        <w:r w:rsidR="003B082C">
          <w:rPr>
            <w:noProof/>
            <w:webHidden/>
          </w:rPr>
          <w:instrText xml:space="preserve"> PAGEREF _Toc79657833 \h </w:instrText>
        </w:r>
        <w:r w:rsidR="003B082C">
          <w:rPr>
            <w:noProof/>
            <w:webHidden/>
          </w:rPr>
        </w:r>
        <w:r w:rsidR="003B082C">
          <w:rPr>
            <w:noProof/>
            <w:webHidden/>
          </w:rPr>
          <w:fldChar w:fldCharType="separate"/>
        </w:r>
        <w:r w:rsidR="003B082C">
          <w:rPr>
            <w:noProof/>
            <w:webHidden/>
          </w:rPr>
          <w:t>22</w:t>
        </w:r>
        <w:r w:rsidR="003B082C">
          <w:rPr>
            <w:noProof/>
            <w:webHidden/>
          </w:rPr>
          <w:fldChar w:fldCharType="end"/>
        </w:r>
      </w:hyperlink>
    </w:p>
    <w:p w14:paraId="10E74CB6" w14:textId="3818F591" w:rsidR="003B082C" w:rsidRDefault="005C5CD4">
      <w:pPr>
        <w:pStyle w:val="TableofFigures"/>
        <w:tabs>
          <w:tab w:val="right" w:leader="dot" w:pos="8990"/>
        </w:tabs>
        <w:rPr>
          <w:rFonts w:asciiTheme="minorHAnsi" w:eastAsiaTheme="minorEastAsia" w:hAnsiTheme="minorHAnsi" w:cstheme="minorBidi"/>
          <w:noProof/>
          <w:szCs w:val="22"/>
          <w:lang w:val="en-CA"/>
        </w:rPr>
      </w:pPr>
      <w:hyperlink w:anchor="_Toc79657834" w:history="1">
        <w:r w:rsidR="003B082C" w:rsidRPr="00A227AF">
          <w:rPr>
            <w:rStyle w:val="Hyperlink"/>
            <w:noProof/>
          </w:rPr>
          <w:t>Table 1–3:  Failure Reason Codes and Settlement Treatment</w:t>
        </w:r>
        <w:r w:rsidR="003B082C">
          <w:rPr>
            <w:noProof/>
            <w:webHidden/>
          </w:rPr>
          <w:tab/>
        </w:r>
        <w:r w:rsidR="003B082C">
          <w:rPr>
            <w:noProof/>
            <w:webHidden/>
          </w:rPr>
          <w:fldChar w:fldCharType="begin"/>
        </w:r>
        <w:r w:rsidR="003B082C">
          <w:rPr>
            <w:noProof/>
            <w:webHidden/>
          </w:rPr>
          <w:instrText xml:space="preserve"> PAGEREF _Toc79657834 \h </w:instrText>
        </w:r>
        <w:r w:rsidR="003B082C">
          <w:rPr>
            <w:noProof/>
            <w:webHidden/>
          </w:rPr>
        </w:r>
        <w:r w:rsidR="003B082C">
          <w:rPr>
            <w:noProof/>
            <w:webHidden/>
          </w:rPr>
          <w:fldChar w:fldCharType="separate"/>
        </w:r>
        <w:r w:rsidR="003B082C">
          <w:rPr>
            <w:noProof/>
            <w:webHidden/>
          </w:rPr>
          <w:t>37</w:t>
        </w:r>
        <w:r w:rsidR="003B082C">
          <w:rPr>
            <w:noProof/>
            <w:webHidden/>
          </w:rPr>
          <w:fldChar w:fldCharType="end"/>
        </w:r>
      </w:hyperlink>
    </w:p>
    <w:p w14:paraId="1476A302" w14:textId="21F2A719" w:rsidR="003B082C" w:rsidRDefault="005C5CD4">
      <w:pPr>
        <w:pStyle w:val="TableofFigures"/>
        <w:tabs>
          <w:tab w:val="right" w:leader="dot" w:pos="8990"/>
        </w:tabs>
        <w:rPr>
          <w:rFonts w:asciiTheme="minorHAnsi" w:eastAsiaTheme="minorEastAsia" w:hAnsiTheme="minorHAnsi" w:cstheme="minorBidi"/>
          <w:noProof/>
          <w:szCs w:val="22"/>
          <w:lang w:val="en-CA"/>
        </w:rPr>
      </w:pPr>
      <w:hyperlink w:anchor="_Toc79657835" w:history="1">
        <w:r w:rsidR="003B082C" w:rsidRPr="00A227AF">
          <w:rPr>
            <w:rStyle w:val="Hyperlink"/>
            <w:noProof/>
          </w:rPr>
          <w:t>Table 1–4:  Scenarios and Adjustments for Exceptions</w:t>
        </w:r>
        <w:r w:rsidR="003B082C">
          <w:rPr>
            <w:noProof/>
            <w:webHidden/>
          </w:rPr>
          <w:tab/>
        </w:r>
        <w:r w:rsidR="003B082C">
          <w:rPr>
            <w:noProof/>
            <w:webHidden/>
          </w:rPr>
          <w:fldChar w:fldCharType="begin"/>
        </w:r>
        <w:r w:rsidR="003B082C">
          <w:rPr>
            <w:noProof/>
            <w:webHidden/>
          </w:rPr>
          <w:instrText xml:space="preserve"> PAGEREF _Toc79657835 \h </w:instrText>
        </w:r>
        <w:r w:rsidR="003B082C">
          <w:rPr>
            <w:noProof/>
            <w:webHidden/>
          </w:rPr>
        </w:r>
        <w:r w:rsidR="003B082C">
          <w:rPr>
            <w:noProof/>
            <w:webHidden/>
          </w:rPr>
          <w:fldChar w:fldCharType="separate"/>
        </w:r>
        <w:r w:rsidR="003B082C">
          <w:rPr>
            <w:noProof/>
            <w:webHidden/>
          </w:rPr>
          <w:t>60</w:t>
        </w:r>
        <w:r w:rsidR="003B082C">
          <w:rPr>
            <w:noProof/>
            <w:webHidden/>
          </w:rPr>
          <w:fldChar w:fldCharType="end"/>
        </w:r>
      </w:hyperlink>
    </w:p>
    <w:p w14:paraId="265842BE" w14:textId="134B1FF8" w:rsidR="003B082C" w:rsidRDefault="005C5CD4">
      <w:pPr>
        <w:pStyle w:val="TableofFigures"/>
        <w:tabs>
          <w:tab w:val="right" w:leader="dot" w:pos="8990"/>
        </w:tabs>
        <w:rPr>
          <w:rFonts w:asciiTheme="minorHAnsi" w:eastAsiaTheme="minorEastAsia" w:hAnsiTheme="minorHAnsi" w:cstheme="minorBidi"/>
          <w:noProof/>
          <w:szCs w:val="22"/>
          <w:lang w:val="en-CA"/>
        </w:rPr>
      </w:pPr>
      <w:hyperlink w:anchor="_Toc79657836" w:history="1">
        <w:r w:rsidR="003B082C" w:rsidRPr="00A227AF">
          <w:rPr>
            <w:rStyle w:val="Hyperlink"/>
            <w:noProof/>
            <w:lang w:val="en-CA"/>
          </w:rPr>
          <w:t>Table 2–1:  Legend for Work Flow Diagrams</w:t>
        </w:r>
        <w:r w:rsidR="003B082C">
          <w:rPr>
            <w:noProof/>
            <w:webHidden/>
          </w:rPr>
          <w:tab/>
        </w:r>
        <w:r w:rsidR="003B082C">
          <w:rPr>
            <w:noProof/>
            <w:webHidden/>
          </w:rPr>
          <w:fldChar w:fldCharType="begin"/>
        </w:r>
        <w:r w:rsidR="003B082C">
          <w:rPr>
            <w:noProof/>
            <w:webHidden/>
          </w:rPr>
          <w:instrText xml:space="preserve"> PAGEREF _Toc79657836 \h </w:instrText>
        </w:r>
        <w:r w:rsidR="003B082C">
          <w:rPr>
            <w:noProof/>
            <w:webHidden/>
          </w:rPr>
        </w:r>
        <w:r w:rsidR="003B082C">
          <w:rPr>
            <w:noProof/>
            <w:webHidden/>
          </w:rPr>
          <w:fldChar w:fldCharType="separate"/>
        </w:r>
        <w:r w:rsidR="003B082C">
          <w:rPr>
            <w:noProof/>
            <w:webHidden/>
          </w:rPr>
          <w:t>70</w:t>
        </w:r>
        <w:r w:rsidR="003B082C">
          <w:rPr>
            <w:noProof/>
            <w:webHidden/>
          </w:rPr>
          <w:fldChar w:fldCharType="end"/>
        </w:r>
      </w:hyperlink>
    </w:p>
    <w:p w14:paraId="230543A6" w14:textId="018F581B" w:rsidR="003B082C" w:rsidRDefault="005C5CD4">
      <w:pPr>
        <w:pStyle w:val="TableofFigures"/>
        <w:tabs>
          <w:tab w:val="right" w:leader="dot" w:pos="8990"/>
        </w:tabs>
        <w:rPr>
          <w:rFonts w:asciiTheme="minorHAnsi" w:eastAsiaTheme="minorEastAsia" w:hAnsiTheme="minorHAnsi" w:cstheme="minorBidi"/>
          <w:noProof/>
          <w:szCs w:val="22"/>
          <w:lang w:val="en-CA"/>
        </w:rPr>
      </w:pPr>
      <w:hyperlink w:anchor="_Toc79657837" w:history="1">
        <w:r w:rsidR="003B082C" w:rsidRPr="00A227AF">
          <w:rPr>
            <w:rStyle w:val="Hyperlink"/>
            <w:noProof/>
            <w:lang w:val="en-CA"/>
          </w:rPr>
          <w:t>Table 3–1:  Procedural Steps for Retrieving Preliminary Settlement Statements</w:t>
        </w:r>
        <w:r w:rsidR="003B082C">
          <w:rPr>
            <w:noProof/>
            <w:webHidden/>
          </w:rPr>
          <w:tab/>
        </w:r>
        <w:r w:rsidR="003B082C">
          <w:rPr>
            <w:noProof/>
            <w:webHidden/>
          </w:rPr>
          <w:fldChar w:fldCharType="begin"/>
        </w:r>
        <w:r w:rsidR="003B082C">
          <w:rPr>
            <w:noProof/>
            <w:webHidden/>
          </w:rPr>
          <w:instrText xml:space="preserve"> PAGEREF _Toc79657837 \h </w:instrText>
        </w:r>
        <w:r w:rsidR="003B082C">
          <w:rPr>
            <w:noProof/>
            <w:webHidden/>
          </w:rPr>
        </w:r>
        <w:r w:rsidR="003B082C">
          <w:rPr>
            <w:noProof/>
            <w:webHidden/>
          </w:rPr>
          <w:fldChar w:fldCharType="separate"/>
        </w:r>
        <w:r w:rsidR="003B082C">
          <w:rPr>
            <w:noProof/>
            <w:webHidden/>
          </w:rPr>
          <w:t>88</w:t>
        </w:r>
        <w:r w:rsidR="003B082C">
          <w:rPr>
            <w:noProof/>
            <w:webHidden/>
          </w:rPr>
          <w:fldChar w:fldCharType="end"/>
        </w:r>
      </w:hyperlink>
    </w:p>
    <w:p w14:paraId="1C00FBDE" w14:textId="4D57F6C0" w:rsidR="003B082C" w:rsidRDefault="005C5CD4">
      <w:pPr>
        <w:pStyle w:val="TableofFigures"/>
        <w:tabs>
          <w:tab w:val="right" w:leader="dot" w:pos="8990"/>
        </w:tabs>
        <w:rPr>
          <w:rFonts w:asciiTheme="minorHAnsi" w:eastAsiaTheme="minorEastAsia" w:hAnsiTheme="minorHAnsi" w:cstheme="minorBidi"/>
          <w:noProof/>
          <w:szCs w:val="22"/>
          <w:lang w:val="en-CA"/>
        </w:rPr>
      </w:pPr>
      <w:hyperlink w:anchor="_Toc79657838" w:history="1">
        <w:r w:rsidR="003B082C" w:rsidRPr="00A227AF">
          <w:rPr>
            <w:rStyle w:val="Hyperlink"/>
            <w:noProof/>
            <w:lang w:val="en-CA"/>
          </w:rPr>
          <w:t>Table 3–2:  Procedural Steps for Retrieving Final Settlement Statements</w:t>
        </w:r>
        <w:r w:rsidR="003B082C">
          <w:rPr>
            <w:noProof/>
            <w:webHidden/>
          </w:rPr>
          <w:tab/>
        </w:r>
        <w:r w:rsidR="003B082C">
          <w:rPr>
            <w:noProof/>
            <w:webHidden/>
          </w:rPr>
          <w:fldChar w:fldCharType="begin"/>
        </w:r>
        <w:r w:rsidR="003B082C">
          <w:rPr>
            <w:noProof/>
            <w:webHidden/>
          </w:rPr>
          <w:instrText xml:space="preserve"> PAGEREF _Toc79657838 \h </w:instrText>
        </w:r>
        <w:r w:rsidR="003B082C">
          <w:rPr>
            <w:noProof/>
            <w:webHidden/>
          </w:rPr>
        </w:r>
        <w:r w:rsidR="003B082C">
          <w:rPr>
            <w:noProof/>
            <w:webHidden/>
          </w:rPr>
          <w:fldChar w:fldCharType="separate"/>
        </w:r>
        <w:r w:rsidR="003B082C">
          <w:rPr>
            <w:noProof/>
            <w:webHidden/>
          </w:rPr>
          <w:t>96</w:t>
        </w:r>
        <w:r w:rsidR="003B082C">
          <w:rPr>
            <w:noProof/>
            <w:webHidden/>
          </w:rPr>
          <w:fldChar w:fldCharType="end"/>
        </w:r>
      </w:hyperlink>
    </w:p>
    <w:p w14:paraId="6CCB2ED7" w14:textId="652DC2CC" w:rsidR="003B082C" w:rsidRDefault="005C5CD4">
      <w:pPr>
        <w:pStyle w:val="TableofFigures"/>
        <w:tabs>
          <w:tab w:val="right" w:leader="dot" w:pos="8990"/>
        </w:tabs>
        <w:rPr>
          <w:rFonts w:asciiTheme="minorHAnsi" w:eastAsiaTheme="minorEastAsia" w:hAnsiTheme="minorHAnsi" w:cstheme="minorBidi"/>
          <w:noProof/>
          <w:szCs w:val="22"/>
          <w:lang w:val="en-CA"/>
        </w:rPr>
      </w:pPr>
      <w:hyperlink w:anchor="_Toc79657839" w:history="1">
        <w:r w:rsidR="003B082C" w:rsidRPr="00A227AF">
          <w:rPr>
            <w:rStyle w:val="Hyperlink"/>
            <w:noProof/>
            <w:lang w:val="en-CA"/>
          </w:rPr>
          <w:t>Table 3–3:  Procedural Steps for Designation of Facility for Generation Station Service Rebate and Electricity Station Service Rebate</w:t>
        </w:r>
        <w:r w:rsidR="003B082C">
          <w:rPr>
            <w:noProof/>
            <w:webHidden/>
          </w:rPr>
          <w:tab/>
        </w:r>
        <w:r w:rsidR="003B082C">
          <w:rPr>
            <w:noProof/>
            <w:webHidden/>
          </w:rPr>
          <w:fldChar w:fldCharType="begin"/>
        </w:r>
        <w:r w:rsidR="003B082C">
          <w:rPr>
            <w:noProof/>
            <w:webHidden/>
          </w:rPr>
          <w:instrText xml:space="preserve"> PAGEREF _Toc79657839 \h </w:instrText>
        </w:r>
        <w:r w:rsidR="003B082C">
          <w:rPr>
            <w:noProof/>
            <w:webHidden/>
          </w:rPr>
        </w:r>
        <w:r w:rsidR="003B082C">
          <w:rPr>
            <w:noProof/>
            <w:webHidden/>
          </w:rPr>
          <w:fldChar w:fldCharType="separate"/>
        </w:r>
        <w:r w:rsidR="003B082C">
          <w:rPr>
            <w:noProof/>
            <w:webHidden/>
          </w:rPr>
          <w:t>99</w:t>
        </w:r>
        <w:r w:rsidR="003B082C">
          <w:rPr>
            <w:noProof/>
            <w:webHidden/>
          </w:rPr>
          <w:fldChar w:fldCharType="end"/>
        </w:r>
      </w:hyperlink>
    </w:p>
    <w:p w14:paraId="49D0DAFA" w14:textId="54F3D85F" w:rsidR="003B082C" w:rsidRDefault="005C5CD4">
      <w:pPr>
        <w:pStyle w:val="TableofFigures"/>
        <w:tabs>
          <w:tab w:val="right" w:leader="dot" w:pos="8990"/>
        </w:tabs>
        <w:rPr>
          <w:rFonts w:asciiTheme="minorHAnsi" w:eastAsiaTheme="minorEastAsia" w:hAnsiTheme="minorHAnsi" w:cstheme="minorBidi"/>
          <w:noProof/>
          <w:szCs w:val="22"/>
          <w:lang w:val="en-CA"/>
        </w:rPr>
      </w:pPr>
      <w:hyperlink w:anchor="_Toc79657840" w:history="1">
        <w:r w:rsidR="003B082C" w:rsidRPr="00A227AF">
          <w:rPr>
            <w:rStyle w:val="Hyperlink"/>
            <w:noProof/>
            <w:lang w:val="en-CA"/>
          </w:rPr>
          <w:t>Table 3–4:  Intentionally Left Blank</w:t>
        </w:r>
        <w:r w:rsidR="003B082C">
          <w:rPr>
            <w:noProof/>
            <w:webHidden/>
          </w:rPr>
          <w:tab/>
        </w:r>
        <w:r w:rsidR="003B082C">
          <w:rPr>
            <w:noProof/>
            <w:webHidden/>
          </w:rPr>
          <w:fldChar w:fldCharType="begin"/>
        </w:r>
        <w:r w:rsidR="003B082C">
          <w:rPr>
            <w:noProof/>
            <w:webHidden/>
          </w:rPr>
          <w:instrText xml:space="preserve"> PAGEREF _Toc79657840 \h </w:instrText>
        </w:r>
        <w:r w:rsidR="003B082C">
          <w:rPr>
            <w:noProof/>
            <w:webHidden/>
          </w:rPr>
        </w:r>
        <w:r w:rsidR="003B082C">
          <w:rPr>
            <w:noProof/>
            <w:webHidden/>
          </w:rPr>
          <w:fldChar w:fldCharType="separate"/>
        </w:r>
        <w:r w:rsidR="003B082C">
          <w:rPr>
            <w:noProof/>
            <w:webHidden/>
          </w:rPr>
          <w:t>101</w:t>
        </w:r>
        <w:r w:rsidR="003B082C">
          <w:rPr>
            <w:noProof/>
            <w:webHidden/>
          </w:rPr>
          <w:fldChar w:fldCharType="end"/>
        </w:r>
      </w:hyperlink>
    </w:p>
    <w:p w14:paraId="6C6D7FCF" w14:textId="29E13E4B" w:rsidR="003B082C" w:rsidRDefault="005C5CD4">
      <w:pPr>
        <w:pStyle w:val="TableofFigures"/>
        <w:tabs>
          <w:tab w:val="right" w:leader="dot" w:pos="8990"/>
        </w:tabs>
        <w:rPr>
          <w:rFonts w:asciiTheme="minorHAnsi" w:eastAsiaTheme="minorEastAsia" w:hAnsiTheme="minorHAnsi" w:cstheme="minorBidi"/>
          <w:noProof/>
          <w:szCs w:val="22"/>
          <w:lang w:val="en-CA"/>
        </w:rPr>
      </w:pPr>
      <w:hyperlink w:anchor="_Toc79657841" w:history="1">
        <w:r w:rsidR="003B082C" w:rsidRPr="00A227AF">
          <w:rPr>
            <w:rStyle w:val="Hyperlink"/>
            <w:noProof/>
            <w:lang w:val="en-CA"/>
          </w:rPr>
          <w:t>Table 3–5:  Intentionally Left Blank</w:t>
        </w:r>
        <w:r w:rsidR="003B082C">
          <w:rPr>
            <w:noProof/>
            <w:webHidden/>
          </w:rPr>
          <w:tab/>
        </w:r>
        <w:r w:rsidR="003B082C">
          <w:rPr>
            <w:noProof/>
            <w:webHidden/>
          </w:rPr>
          <w:fldChar w:fldCharType="begin"/>
        </w:r>
        <w:r w:rsidR="003B082C">
          <w:rPr>
            <w:noProof/>
            <w:webHidden/>
          </w:rPr>
          <w:instrText xml:space="preserve"> PAGEREF _Toc79657841 \h </w:instrText>
        </w:r>
        <w:r w:rsidR="003B082C">
          <w:rPr>
            <w:noProof/>
            <w:webHidden/>
          </w:rPr>
        </w:r>
        <w:r w:rsidR="003B082C">
          <w:rPr>
            <w:noProof/>
            <w:webHidden/>
          </w:rPr>
          <w:fldChar w:fldCharType="separate"/>
        </w:r>
        <w:r w:rsidR="003B082C">
          <w:rPr>
            <w:noProof/>
            <w:webHidden/>
          </w:rPr>
          <w:t>102</w:t>
        </w:r>
        <w:r w:rsidR="003B082C">
          <w:rPr>
            <w:noProof/>
            <w:webHidden/>
          </w:rPr>
          <w:fldChar w:fldCharType="end"/>
        </w:r>
      </w:hyperlink>
    </w:p>
    <w:p w14:paraId="3FCD23FB" w14:textId="6C8E9051" w:rsidR="003B082C" w:rsidRDefault="005C5CD4">
      <w:pPr>
        <w:pStyle w:val="TableofFigures"/>
        <w:tabs>
          <w:tab w:val="right" w:leader="dot" w:pos="8990"/>
        </w:tabs>
        <w:rPr>
          <w:rFonts w:asciiTheme="minorHAnsi" w:eastAsiaTheme="minorEastAsia" w:hAnsiTheme="minorHAnsi" w:cstheme="minorBidi"/>
          <w:noProof/>
          <w:szCs w:val="22"/>
          <w:lang w:val="en-CA"/>
        </w:rPr>
      </w:pPr>
      <w:hyperlink w:anchor="_Toc79657842" w:history="1">
        <w:r w:rsidR="003B082C" w:rsidRPr="00A227AF">
          <w:rPr>
            <w:rStyle w:val="Hyperlink"/>
            <w:noProof/>
            <w:lang w:val="en-CA"/>
          </w:rPr>
          <w:t>Table 3–6:  Intentionally Left Blank</w:t>
        </w:r>
        <w:r w:rsidR="003B082C">
          <w:rPr>
            <w:noProof/>
            <w:webHidden/>
          </w:rPr>
          <w:tab/>
        </w:r>
        <w:r w:rsidR="003B082C">
          <w:rPr>
            <w:noProof/>
            <w:webHidden/>
          </w:rPr>
          <w:fldChar w:fldCharType="begin"/>
        </w:r>
        <w:r w:rsidR="003B082C">
          <w:rPr>
            <w:noProof/>
            <w:webHidden/>
          </w:rPr>
          <w:instrText xml:space="preserve"> PAGEREF _Toc79657842 \h </w:instrText>
        </w:r>
        <w:r w:rsidR="003B082C">
          <w:rPr>
            <w:noProof/>
            <w:webHidden/>
          </w:rPr>
        </w:r>
        <w:r w:rsidR="003B082C">
          <w:rPr>
            <w:noProof/>
            <w:webHidden/>
          </w:rPr>
          <w:fldChar w:fldCharType="separate"/>
        </w:r>
        <w:r w:rsidR="003B082C">
          <w:rPr>
            <w:noProof/>
            <w:webHidden/>
          </w:rPr>
          <w:t>103</w:t>
        </w:r>
        <w:r w:rsidR="003B082C">
          <w:rPr>
            <w:noProof/>
            <w:webHidden/>
          </w:rPr>
          <w:fldChar w:fldCharType="end"/>
        </w:r>
      </w:hyperlink>
    </w:p>
    <w:p w14:paraId="3BEA30B8" w14:textId="196045FE" w:rsidR="003B082C" w:rsidRDefault="005C5CD4">
      <w:pPr>
        <w:pStyle w:val="TableofFigures"/>
        <w:tabs>
          <w:tab w:val="right" w:leader="dot" w:pos="8990"/>
        </w:tabs>
        <w:rPr>
          <w:rFonts w:asciiTheme="minorHAnsi" w:eastAsiaTheme="minorEastAsia" w:hAnsiTheme="minorHAnsi" w:cstheme="minorBidi"/>
          <w:noProof/>
          <w:szCs w:val="22"/>
          <w:lang w:val="en-CA"/>
        </w:rPr>
      </w:pPr>
      <w:hyperlink w:anchor="_Toc79657843" w:history="1">
        <w:r w:rsidR="003B082C" w:rsidRPr="00A227AF">
          <w:rPr>
            <w:rStyle w:val="Hyperlink"/>
            <w:noProof/>
            <w:lang w:val="en-CA"/>
          </w:rPr>
          <w:t>Table 3–7:  Intentionally Left Blank</w:t>
        </w:r>
        <w:r w:rsidR="003B082C">
          <w:rPr>
            <w:noProof/>
            <w:webHidden/>
          </w:rPr>
          <w:tab/>
        </w:r>
        <w:r w:rsidR="003B082C">
          <w:rPr>
            <w:noProof/>
            <w:webHidden/>
          </w:rPr>
          <w:fldChar w:fldCharType="begin"/>
        </w:r>
        <w:r w:rsidR="003B082C">
          <w:rPr>
            <w:noProof/>
            <w:webHidden/>
          </w:rPr>
          <w:instrText xml:space="preserve"> PAGEREF _Toc79657843 \h </w:instrText>
        </w:r>
        <w:r w:rsidR="003B082C">
          <w:rPr>
            <w:noProof/>
            <w:webHidden/>
          </w:rPr>
        </w:r>
        <w:r w:rsidR="003B082C">
          <w:rPr>
            <w:noProof/>
            <w:webHidden/>
          </w:rPr>
          <w:fldChar w:fldCharType="separate"/>
        </w:r>
        <w:r w:rsidR="003B082C">
          <w:rPr>
            <w:noProof/>
            <w:webHidden/>
          </w:rPr>
          <w:t>104</w:t>
        </w:r>
        <w:r w:rsidR="003B082C">
          <w:rPr>
            <w:noProof/>
            <w:webHidden/>
          </w:rPr>
          <w:fldChar w:fldCharType="end"/>
        </w:r>
      </w:hyperlink>
    </w:p>
    <w:p w14:paraId="225BE933" w14:textId="30544D1B" w:rsidR="003B082C" w:rsidRDefault="005C5CD4">
      <w:pPr>
        <w:pStyle w:val="TableofFigures"/>
        <w:tabs>
          <w:tab w:val="right" w:leader="dot" w:pos="8990"/>
        </w:tabs>
        <w:rPr>
          <w:rFonts w:asciiTheme="minorHAnsi" w:eastAsiaTheme="minorEastAsia" w:hAnsiTheme="minorHAnsi" w:cstheme="minorBidi"/>
          <w:noProof/>
          <w:szCs w:val="22"/>
          <w:lang w:val="en-CA"/>
        </w:rPr>
      </w:pPr>
      <w:hyperlink w:anchor="_Toc79657844" w:history="1">
        <w:r w:rsidR="003B082C" w:rsidRPr="00A227AF">
          <w:rPr>
            <w:rStyle w:val="Hyperlink"/>
            <w:noProof/>
            <w:lang w:val="en-CA"/>
          </w:rPr>
          <w:t>Table 3–8:  Intentionally Left Blank</w:t>
        </w:r>
        <w:r w:rsidR="003B082C">
          <w:rPr>
            <w:noProof/>
            <w:webHidden/>
          </w:rPr>
          <w:tab/>
        </w:r>
        <w:r w:rsidR="003B082C">
          <w:rPr>
            <w:noProof/>
            <w:webHidden/>
          </w:rPr>
          <w:fldChar w:fldCharType="begin"/>
        </w:r>
        <w:r w:rsidR="003B082C">
          <w:rPr>
            <w:noProof/>
            <w:webHidden/>
          </w:rPr>
          <w:instrText xml:space="preserve"> PAGEREF _Toc79657844 \h </w:instrText>
        </w:r>
        <w:r w:rsidR="003B082C">
          <w:rPr>
            <w:noProof/>
            <w:webHidden/>
          </w:rPr>
        </w:r>
        <w:r w:rsidR="003B082C">
          <w:rPr>
            <w:noProof/>
            <w:webHidden/>
          </w:rPr>
          <w:fldChar w:fldCharType="separate"/>
        </w:r>
        <w:r w:rsidR="003B082C">
          <w:rPr>
            <w:noProof/>
            <w:webHidden/>
          </w:rPr>
          <w:t>105</w:t>
        </w:r>
        <w:r w:rsidR="003B082C">
          <w:rPr>
            <w:noProof/>
            <w:webHidden/>
          </w:rPr>
          <w:fldChar w:fldCharType="end"/>
        </w:r>
      </w:hyperlink>
    </w:p>
    <w:p w14:paraId="3B0E01A6" w14:textId="6BC3D105" w:rsidR="003B082C" w:rsidRDefault="005C5CD4">
      <w:pPr>
        <w:pStyle w:val="TableofFigures"/>
        <w:tabs>
          <w:tab w:val="right" w:leader="dot" w:pos="8990"/>
        </w:tabs>
        <w:rPr>
          <w:rFonts w:asciiTheme="minorHAnsi" w:eastAsiaTheme="minorEastAsia" w:hAnsiTheme="minorHAnsi" w:cstheme="minorBidi"/>
          <w:noProof/>
          <w:szCs w:val="22"/>
          <w:lang w:val="en-CA"/>
        </w:rPr>
      </w:pPr>
      <w:hyperlink w:anchor="_Toc79657845" w:history="1">
        <w:r w:rsidR="003B082C" w:rsidRPr="00A227AF">
          <w:rPr>
            <w:rStyle w:val="Hyperlink"/>
            <w:noProof/>
            <w:lang w:val="en-CA"/>
          </w:rPr>
          <w:t>Table 3–9:  Procedural Steps for Declaration of Designated Consumers</w:t>
        </w:r>
        <w:r w:rsidR="003B082C">
          <w:rPr>
            <w:noProof/>
            <w:webHidden/>
          </w:rPr>
          <w:tab/>
        </w:r>
        <w:r w:rsidR="003B082C">
          <w:rPr>
            <w:noProof/>
            <w:webHidden/>
          </w:rPr>
          <w:fldChar w:fldCharType="begin"/>
        </w:r>
        <w:r w:rsidR="003B082C">
          <w:rPr>
            <w:noProof/>
            <w:webHidden/>
          </w:rPr>
          <w:instrText xml:space="preserve"> PAGEREF _Toc79657845 \h </w:instrText>
        </w:r>
        <w:r w:rsidR="003B082C">
          <w:rPr>
            <w:noProof/>
            <w:webHidden/>
          </w:rPr>
        </w:r>
        <w:r w:rsidR="003B082C">
          <w:rPr>
            <w:noProof/>
            <w:webHidden/>
          </w:rPr>
          <w:fldChar w:fldCharType="separate"/>
        </w:r>
        <w:r w:rsidR="003B082C">
          <w:rPr>
            <w:noProof/>
            <w:webHidden/>
          </w:rPr>
          <w:t>106</w:t>
        </w:r>
        <w:r w:rsidR="003B082C">
          <w:rPr>
            <w:noProof/>
            <w:webHidden/>
          </w:rPr>
          <w:fldChar w:fldCharType="end"/>
        </w:r>
      </w:hyperlink>
    </w:p>
    <w:p w14:paraId="23621905" w14:textId="6A818913" w:rsidR="003B082C" w:rsidRDefault="005C5CD4">
      <w:pPr>
        <w:pStyle w:val="TableofFigures"/>
        <w:tabs>
          <w:tab w:val="right" w:leader="dot" w:pos="8990"/>
        </w:tabs>
        <w:rPr>
          <w:rFonts w:asciiTheme="minorHAnsi" w:eastAsiaTheme="minorEastAsia" w:hAnsiTheme="minorHAnsi" w:cstheme="minorBidi"/>
          <w:noProof/>
          <w:szCs w:val="22"/>
          <w:lang w:val="en-CA"/>
        </w:rPr>
      </w:pPr>
      <w:hyperlink w:anchor="_Toc79657846" w:history="1">
        <w:r w:rsidR="003B082C" w:rsidRPr="00A227AF">
          <w:rPr>
            <w:rStyle w:val="Hyperlink"/>
            <w:noProof/>
            <w:lang w:val="en-CA"/>
          </w:rPr>
          <w:t>Table 3–10:  Intentionally Left Blank</w:t>
        </w:r>
        <w:r w:rsidR="003B082C">
          <w:rPr>
            <w:noProof/>
            <w:webHidden/>
          </w:rPr>
          <w:tab/>
        </w:r>
        <w:r w:rsidR="003B082C">
          <w:rPr>
            <w:noProof/>
            <w:webHidden/>
          </w:rPr>
          <w:fldChar w:fldCharType="begin"/>
        </w:r>
        <w:r w:rsidR="003B082C">
          <w:rPr>
            <w:noProof/>
            <w:webHidden/>
          </w:rPr>
          <w:instrText xml:space="preserve"> PAGEREF _Toc79657846 \h </w:instrText>
        </w:r>
        <w:r w:rsidR="003B082C">
          <w:rPr>
            <w:noProof/>
            <w:webHidden/>
          </w:rPr>
        </w:r>
        <w:r w:rsidR="003B082C">
          <w:rPr>
            <w:noProof/>
            <w:webHidden/>
          </w:rPr>
          <w:fldChar w:fldCharType="separate"/>
        </w:r>
        <w:r w:rsidR="003B082C">
          <w:rPr>
            <w:noProof/>
            <w:webHidden/>
          </w:rPr>
          <w:t>107</w:t>
        </w:r>
        <w:r w:rsidR="003B082C">
          <w:rPr>
            <w:noProof/>
            <w:webHidden/>
          </w:rPr>
          <w:fldChar w:fldCharType="end"/>
        </w:r>
      </w:hyperlink>
    </w:p>
    <w:p w14:paraId="056694E2" w14:textId="267FE487" w:rsidR="003B082C" w:rsidRDefault="005C5CD4">
      <w:pPr>
        <w:pStyle w:val="TableofFigures"/>
        <w:tabs>
          <w:tab w:val="right" w:leader="dot" w:pos="8990"/>
        </w:tabs>
        <w:rPr>
          <w:rFonts w:asciiTheme="minorHAnsi" w:eastAsiaTheme="minorEastAsia" w:hAnsiTheme="minorHAnsi" w:cstheme="minorBidi"/>
          <w:noProof/>
          <w:szCs w:val="22"/>
          <w:lang w:val="en-CA"/>
        </w:rPr>
      </w:pPr>
      <w:hyperlink w:anchor="_Toc79657847" w:history="1">
        <w:r w:rsidR="003B082C" w:rsidRPr="00A227AF">
          <w:rPr>
            <w:rStyle w:val="Hyperlink"/>
            <w:noProof/>
            <w:lang w:val="en-CA"/>
          </w:rPr>
          <w:t>Table 3–11:  Procedural Steps for Submission of Transmission Service Charges for Embedded Generation</w:t>
        </w:r>
        <w:r w:rsidR="003B082C">
          <w:rPr>
            <w:noProof/>
            <w:webHidden/>
          </w:rPr>
          <w:tab/>
        </w:r>
        <w:r w:rsidR="003B082C">
          <w:rPr>
            <w:noProof/>
            <w:webHidden/>
          </w:rPr>
          <w:fldChar w:fldCharType="begin"/>
        </w:r>
        <w:r w:rsidR="003B082C">
          <w:rPr>
            <w:noProof/>
            <w:webHidden/>
          </w:rPr>
          <w:instrText xml:space="preserve"> PAGEREF _Toc79657847 \h </w:instrText>
        </w:r>
        <w:r w:rsidR="003B082C">
          <w:rPr>
            <w:noProof/>
            <w:webHidden/>
          </w:rPr>
        </w:r>
        <w:r w:rsidR="003B082C">
          <w:rPr>
            <w:noProof/>
            <w:webHidden/>
          </w:rPr>
          <w:fldChar w:fldCharType="separate"/>
        </w:r>
        <w:r w:rsidR="003B082C">
          <w:rPr>
            <w:noProof/>
            <w:webHidden/>
          </w:rPr>
          <w:t>108</w:t>
        </w:r>
        <w:r w:rsidR="003B082C">
          <w:rPr>
            <w:noProof/>
            <w:webHidden/>
          </w:rPr>
          <w:fldChar w:fldCharType="end"/>
        </w:r>
      </w:hyperlink>
    </w:p>
    <w:p w14:paraId="4B6A6131" w14:textId="76F5F344" w:rsidR="003B082C" w:rsidRDefault="005C5CD4">
      <w:pPr>
        <w:pStyle w:val="TableofFigures"/>
        <w:tabs>
          <w:tab w:val="right" w:leader="dot" w:pos="8990"/>
        </w:tabs>
        <w:rPr>
          <w:rFonts w:asciiTheme="minorHAnsi" w:eastAsiaTheme="minorEastAsia" w:hAnsiTheme="minorHAnsi" w:cstheme="minorBidi"/>
          <w:noProof/>
          <w:szCs w:val="22"/>
          <w:lang w:val="en-CA"/>
        </w:rPr>
      </w:pPr>
      <w:hyperlink w:anchor="_Toc79657848" w:history="1">
        <w:r w:rsidR="003B082C" w:rsidRPr="00A227AF">
          <w:rPr>
            <w:rStyle w:val="Hyperlink"/>
            <w:noProof/>
          </w:rPr>
          <w:t>Table 3–12:  Submission of NUG Adjustment Amount Information</w:t>
        </w:r>
        <w:r w:rsidR="003B082C">
          <w:rPr>
            <w:noProof/>
            <w:webHidden/>
          </w:rPr>
          <w:tab/>
        </w:r>
        <w:r w:rsidR="003B082C">
          <w:rPr>
            <w:noProof/>
            <w:webHidden/>
          </w:rPr>
          <w:fldChar w:fldCharType="begin"/>
        </w:r>
        <w:r w:rsidR="003B082C">
          <w:rPr>
            <w:noProof/>
            <w:webHidden/>
          </w:rPr>
          <w:instrText xml:space="preserve"> PAGEREF _Toc79657848 \h </w:instrText>
        </w:r>
        <w:r w:rsidR="003B082C">
          <w:rPr>
            <w:noProof/>
            <w:webHidden/>
          </w:rPr>
        </w:r>
        <w:r w:rsidR="003B082C">
          <w:rPr>
            <w:noProof/>
            <w:webHidden/>
          </w:rPr>
          <w:fldChar w:fldCharType="separate"/>
        </w:r>
        <w:r w:rsidR="003B082C">
          <w:rPr>
            <w:noProof/>
            <w:webHidden/>
          </w:rPr>
          <w:t>110</w:t>
        </w:r>
        <w:r w:rsidR="003B082C">
          <w:rPr>
            <w:noProof/>
            <w:webHidden/>
          </w:rPr>
          <w:fldChar w:fldCharType="end"/>
        </w:r>
      </w:hyperlink>
    </w:p>
    <w:p w14:paraId="4B1F6C64" w14:textId="59A2EB43" w:rsidR="003B082C" w:rsidRDefault="005C5CD4">
      <w:pPr>
        <w:pStyle w:val="TableofFigures"/>
        <w:tabs>
          <w:tab w:val="right" w:leader="dot" w:pos="8990"/>
        </w:tabs>
        <w:rPr>
          <w:rFonts w:asciiTheme="minorHAnsi" w:eastAsiaTheme="minorEastAsia" w:hAnsiTheme="minorHAnsi" w:cstheme="minorBidi"/>
          <w:noProof/>
          <w:szCs w:val="22"/>
          <w:lang w:val="en-CA"/>
        </w:rPr>
      </w:pPr>
      <w:hyperlink w:anchor="_Toc79657849" w:history="1">
        <w:r w:rsidR="003B082C" w:rsidRPr="00A227AF">
          <w:rPr>
            <w:rStyle w:val="Hyperlink"/>
            <w:noProof/>
          </w:rPr>
          <w:t>Table 3–13:  Procedural Steps for Submission of Embedded Generation and Regulated Price Information</w:t>
        </w:r>
        <w:r w:rsidR="003B082C">
          <w:rPr>
            <w:noProof/>
            <w:webHidden/>
          </w:rPr>
          <w:tab/>
        </w:r>
        <w:r w:rsidR="003B082C">
          <w:rPr>
            <w:noProof/>
            <w:webHidden/>
          </w:rPr>
          <w:fldChar w:fldCharType="begin"/>
        </w:r>
        <w:r w:rsidR="003B082C">
          <w:rPr>
            <w:noProof/>
            <w:webHidden/>
          </w:rPr>
          <w:instrText xml:space="preserve"> PAGEREF _Toc79657849 \h </w:instrText>
        </w:r>
        <w:r w:rsidR="003B082C">
          <w:rPr>
            <w:noProof/>
            <w:webHidden/>
          </w:rPr>
        </w:r>
        <w:r w:rsidR="003B082C">
          <w:rPr>
            <w:noProof/>
            <w:webHidden/>
          </w:rPr>
          <w:fldChar w:fldCharType="separate"/>
        </w:r>
        <w:r w:rsidR="003B082C">
          <w:rPr>
            <w:noProof/>
            <w:webHidden/>
          </w:rPr>
          <w:t>111</w:t>
        </w:r>
        <w:r w:rsidR="003B082C">
          <w:rPr>
            <w:noProof/>
            <w:webHidden/>
          </w:rPr>
          <w:fldChar w:fldCharType="end"/>
        </w:r>
      </w:hyperlink>
    </w:p>
    <w:p w14:paraId="0F8E1F22" w14:textId="1918D2A0" w:rsidR="003B082C" w:rsidRDefault="005C5CD4">
      <w:pPr>
        <w:pStyle w:val="TableofFigures"/>
        <w:tabs>
          <w:tab w:val="right" w:leader="dot" w:pos="8990"/>
        </w:tabs>
        <w:rPr>
          <w:rFonts w:asciiTheme="minorHAnsi" w:eastAsiaTheme="minorEastAsia" w:hAnsiTheme="minorHAnsi" w:cstheme="minorBidi"/>
          <w:noProof/>
          <w:szCs w:val="22"/>
          <w:lang w:val="en-CA"/>
        </w:rPr>
      </w:pPr>
      <w:hyperlink w:anchor="_Toc79657850" w:history="1">
        <w:r w:rsidR="003B082C" w:rsidRPr="00A227AF">
          <w:rPr>
            <w:rStyle w:val="Hyperlink"/>
            <w:noProof/>
            <w:snapToGrid w:val="0"/>
            <w:lang w:val="en-CA"/>
          </w:rPr>
          <w:t>Table C–1:  IESO Charge Types Included in the 0.62 Monthly Calculation</w:t>
        </w:r>
        <w:r w:rsidR="003B082C">
          <w:rPr>
            <w:noProof/>
            <w:webHidden/>
          </w:rPr>
          <w:tab/>
        </w:r>
        <w:r w:rsidR="003B082C">
          <w:rPr>
            <w:noProof/>
            <w:webHidden/>
          </w:rPr>
          <w:fldChar w:fldCharType="begin"/>
        </w:r>
        <w:r w:rsidR="003B082C">
          <w:rPr>
            <w:noProof/>
            <w:webHidden/>
          </w:rPr>
          <w:instrText xml:space="preserve"> PAGEREF _Toc79657850 \h </w:instrText>
        </w:r>
        <w:r w:rsidR="003B082C">
          <w:rPr>
            <w:noProof/>
            <w:webHidden/>
          </w:rPr>
        </w:r>
        <w:r w:rsidR="003B082C">
          <w:rPr>
            <w:noProof/>
            <w:webHidden/>
          </w:rPr>
          <w:fldChar w:fldCharType="separate"/>
        </w:r>
        <w:r w:rsidR="003B082C">
          <w:rPr>
            <w:noProof/>
            <w:webHidden/>
          </w:rPr>
          <w:t>C–1</w:t>
        </w:r>
        <w:r w:rsidR="003B082C">
          <w:rPr>
            <w:noProof/>
            <w:webHidden/>
          </w:rPr>
          <w:fldChar w:fldCharType="end"/>
        </w:r>
      </w:hyperlink>
    </w:p>
    <w:p w14:paraId="5A4D16EB" w14:textId="688948DD" w:rsidR="003B082C" w:rsidRDefault="005C5CD4">
      <w:pPr>
        <w:pStyle w:val="TableofFigures"/>
        <w:tabs>
          <w:tab w:val="right" w:leader="dot" w:pos="8990"/>
        </w:tabs>
        <w:rPr>
          <w:rFonts w:asciiTheme="minorHAnsi" w:eastAsiaTheme="minorEastAsia" w:hAnsiTheme="minorHAnsi" w:cstheme="minorBidi"/>
          <w:noProof/>
          <w:szCs w:val="22"/>
          <w:lang w:val="en-CA"/>
        </w:rPr>
      </w:pPr>
      <w:hyperlink w:anchor="_Toc79657851" w:history="1">
        <w:r w:rsidR="003B082C" w:rsidRPr="00A227AF">
          <w:rPr>
            <w:rStyle w:val="Hyperlink"/>
            <w:noProof/>
          </w:rPr>
          <w:t>Table E–1:  Example of Weekly Data File</w:t>
        </w:r>
        <w:r w:rsidR="003B082C">
          <w:rPr>
            <w:noProof/>
            <w:webHidden/>
          </w:rPr>
          <w:tab/>
        </w:r>
        <w:r w:rsidR="003B082C">
          <w:rPr>
            <w:noProof/>
            <w:webHidden/>
          </w:rPr>
          <w:fldChar w:fldCharType="begin"/>
        </w:r>
        <w:r w:rsidR="003B082C">
          <w:rPr>
            <w:noProof/>
            <w:webHidden/>
          </w:rPr>
          <w:instrText xml:space="preserve"> PAGEREF _Toc79657851 \h </w:instrText>
        </w:r>
        <w:r w:rsidR="003B082C">
          <w:rPr>
            <w:noProof/>
            <w:webHidden/>
          </w:rPr>
        </w:r>
        <w:r w:rsidR="003B082C">
          <w:rPr>
            <w:noProof/>
            <w:webHidden/>
          </w:rPr>
          <w:fldChar w:fldCharType="separate"/>
        </w:r>
        <w:r w:rsidR="003B082C">
          <w:rPr>
            <w:noProof/>
            <w:webHidden/>
          </w:rPr>
          <w:t>E–31</w:t>
        </w:r>
        <w:r w:rsidR="003B082C">
          <w:rPr>
            <w:noProof/>
            <w:webHidden/>
          </w:rPr>
          <w:fldChar w:fldCharType="end"/>
        </w:r>
      </w:hyperlink>
    </w:p>
    <w:p w14:paraId="5A751EB8" w14:textId="106EC4C4" w:rsidR="003B082C" w:rsidRDefault="005C5CD4">
      <w:pPr>
        <w:pStyle w:val="TableofFigures"/>
        <w:tabs>
          <w:tab w:val="right" w:leader="dot" w:pos="8990"/>
        </w:tabs>
        <w:rPr>
          <w:rFonts w:asciiTheme="minorHAnsi" w:eastAsiaTheme="minorEastAsia" w:hAnsiTheme="minorHAnsi" w:cstheme="minorBidi"/>
          <w:noProof/>
          <w:szCs w:val="22"/>
          <w:lang w:val="en-CA"/>
        </w:rPr>
      </w:pPr>
      <w:hyperlink w:anchor="_Toc79657852" w:history="1">
        <w:r w:rsidR="003B082C" w:rsidRPr="00A227AF">
          <w:rPr>
            <w:rStyle w:val="Hyperlink"/>
            <w:noProof/>
          </w:rPr>
          <w:t>Table E–2:  Performance Set-Off Factors</w:t>
        </w:r>
        <w:r w:rsidR="003B082C">
          <w:rPr>
            <w:noProof/>
            <w:webHidden/>
          </w:rPr>
          <w:tab/>
        </w:r>
        <w:r w:rsidR="003B082C">
          <w:rPr>
            <w:noProof/>
            <w:webHidden/>
          </w:rPr>
          <w:fldChar w:fldCharType="begin"/>
        </w:r>
        <w:r w:rsidR="003B082C">
          <w:rPr>
            <w:noProof/>
            <w:webHidden/>
          </w:rPr>
          <w:instrText xml:space="preserve"> PAGEREF _Toc79657852 \h </w:instrText>
        </w:r>
        <w:r w:rsidR="003B082C">
          <w:rPr>
            <w:noProof/>
            <w:webHidden/>
          </w:rPr>
        </w:r>
        <w:r w:rsidR="003B082C">
          <w:rPr>
            <w:noProof/>
            <w:webHidden/>
          </w:rPr>
          <w:fldChar w:fldCharType="separate"/>
        </w:r>
        <w:r w:rsidR="003B082C">
          <w:rPr>
            <w:noProof/>
            <w:webHidden/>
          </w:rPr>
          <w:t>E–35</w:t>
        </w:r>
        <w:r w:rsidR="003B082C">
          <w:rPr>
            <w:noProof/>
            <w:webHidden/>
          </w:rPr>
          <w:fldChar w:fldCharType="end"/>
        </w:r>
      </w:hyperlink>
    </w:p>
    <w:p w14:paraId="5A286184" w14:textId="1610C1FC" w:rsidR="003B082C" w:rsidRDefault="005C5CD4">
      <w:pPr>
        <w:pStyle w:val="TableofFigures"/>
        <w:tabs>
          <w:tab w:val="right" w:leader="dot" w:pos="8990"/>
        </w:tabs>
        <w:rPr>
          <w:rFonts w:asciiTheme="minorHAnsi" w:eastAsiaTheme="minorEastAsia" w:hAnsiTheme="minorHAnsi" w:cstheme="minorBidi"/>
          <w:noProof/>
          <w:szCs w:val="22"/>
          <w:lang w:val="en-CA"/>
        </w:rPr>
      </w:pPr>
      <w:hyperlink w:anchor="_Toc79657853" w:history="1">
        <w:r w:rsidR="003B082C" w:rsidRPr="00A227AF">
          <w:rPr>
            <w:rStyle w:val="Hyperlink"/>
            <w:noProof/>
          </w:rPr>
          <w:t>Table E–3:  Buy-Down Rate Calculation</w:t>
        </w:r>
        <w:r w:rsidR="003B082C">
          <w:rPr>
            <w:noProof/>
            <w:webHidden/>
          </w:rPr>
          <w:tab/>
        </w:r>
        <w:r w:rsidR="003B082C">
          <w:rPr>
            <w:noProof/>
            <w:webHidden/>
          </w:rPr>
          <w:fldChar w:fldCharType="begin"/>
        </w:r>
        <w:r w:rsidR="003B082C">
          <w:rPr>
            <w:noProof/>
            <w:webHidden/>
          </w:rPr>
          <w:instrText xml:space="preserve"> PAGEREF _Toc79657853 \h </w:instrText>
        </w:r>
        <w:r w:rsidR="003B082C">
          <w:rPr>
            <w:noProof/>
            <w:webHidden/>
          </w:rPr>
        </w:r>
        <w:r w:rsidR="003B082C">
          <w:rPr>
            <w:noProof/>
            <w:webHidden/>
          </w:rPr>
          <w:fldChar w:fldCharType="separate"/>
        </w:r>
        <w:r w:rsidR="003B082C">
          <w:rPr>
            <w:noProof/>
            <w:webHidden/>
          </w:rPr>
          <w:t>E–40</w:t>
        </w:r>
        <w:r w:rsidR="003B082C">
          <w:rPr>
            <w:noProof/>
            <w:webHidden/>
          </w:rPr>
          <w:fldChar w:fldCharType="end"/>
        </w:r>
      </w:hyperlink>
    </w:p>
    <w:p w14:paraId="5A31FBA3" w14:textId="3DB5E854" w:rsidR="003B082C" w:rsidRDefault="005C5CD4">
      <w:pPr>
        <w:pStyle w:val="TableofFigures"/>
        <w:tabs>
          <w:tab w:val="right" w:leader="dot" w:pos="8990"/>
        </w:tabs>
        <w:rPr>
          <w:rFonts w:asciiTheme="minorHAnsi" w:eastAsiaTheme="minorEastAsia" w:hAnsiTheme="minorHAnsi" w:cstheme="minorBidi"/>
          <w:noProof/>
          <w:szCs w:val="22"/>
          <w:lang w:val="en-CA"/>
        </w:rPr>
      </w:pPr>
      <w:hyperlink w:anchor="_Toc79657854" w:history="1">
        <w:r w:rsidR="003B082C" w:rsidRPr="00A227AF">
          <w:rPr>
            <w:rStyle w:val="Hyperlink"/>
            <w:noProof/>
            <w:lang w:val="en-CA"/>
          </w:rPr>
          <w:t>Table E</w:t>
        </w:r>
        <w:r w:rsidR="003B082C" w:rsidRPr="00A227AF">
          <w:rPr>
            <w:rStyle w:val="Hyperlink"/>
            <w:noProof/>
          </w:rPr>
          <w:t>–4</w:t>
        </w:r>
        <w:r w:rsidR="003B082C" w:rsidRPr="00A227AF">
          <w:rPr>
            <w:rStyle w:val="Hyperlink"/>
            <w:noProof/>
            <w:lang w:val="en-CA"/>
          </w:rPr>
          <w:t>:  Procedural Steps for Submission of Optional Measurement Data Records</w:t>
        </w:r>
        <w:r w:rsidR="003B082C">
          <w:rPr>
            <w:noProof/>
            <w:webHidden/>
          </w:rPr>
          <w:tab/>
        </w:r>
        <w:r w:rsidR="003B082C">
          <w:rPr>
            <w:noProof/>
            <w:webHidden/>
          </w:rPr>
          <w:fldChar w:fldCharType="begin"/>
        </w:r>
        <w:r w:rsidR="003B082C">
          <w:rPr>
            <w:noProof/>
            <w:webHidden/>
          </w:rPr>
          <w:instrText xml:space="preserve"> PAGEREF _Toc79657854 \h </w:instrText>
        </w:r>
        <w:r w:rsidR="003B082C">
          <w:rPr>
            <w:noProof/>
            <w:webHidden/>
          </w:rPr>
        </w:r>
        <w:r w:rsidR="003B082C">
          <w:rPr>
            <w:noProof/>
            <w:webHidden/>
          </w:rPr>
          <w:fldChar w:fldCharType="separate"/>
        </w:r>
        <w:r w:rsidR="003B082C">
          <w:rPr>
            <w:noProof/>
            <w:webHidden/>
          </w:rPr>
          <w:t>E–44</w:t>
        </w:r>
        <w:r w:rsidR="003B082C">
          <w:rPr>
            <w:noProof/>
            <w:webHidden/>
          </w:rPr>
          <w:fldChar w:fldCharType="end"/>
        </w:r>
      </w:hyperlink>
    </w:p>
    <w:p w14:paraId="4A8F91A1" w14:textId="31C65154" w:rsidR="003B082C" w:rsidRDefault="005C5CD4">
      <w:pPr>
        <w:pStyle w:val="TableofFigures"/>
        <w:tabs>
          <w:tab w:val="right" w:leader="dot" w:pos="8990"/>
        </w:tabs>
        <w:rPr>
          <w:rFonts w:asciiTheme="minorHAnsi" w:eastAsiaTheme="minorEastAsia" w:hAnsiTheme="minorHAnsi" w:cstheme="minorBidi"/>
          <w:noProof/>
          <w:szCs w:val="22"/>
          <w:lang w:val="en-CA"/>
        </w:rPr>
      </w:pPr>
      <w:hyperlink w:anchor="_Toc79657855" w:history="1">
        <w:r w:rsidR="003B082C" w:rsidRPr="00A227AF">
          <w:rPr>
            <w:rStyle w:val="Hyperlink"/>
            <w:noProof/>
            <w:lang w:val="en-CA"/>
          </w:rPr>
          <w:t>Table E–5:  Procedural Steps for Submission of DRC Exemption Certificate</w:t>
        </w:r>
        <w:r w:rsidR="003B082C">
          <w:rPr>
            <w:noProof/>
            <w:webHidden/>
          </w:rPr>
          <w:tab/>
        </w:r>
        <w:r w:rsidR="003B082C">
          <w:rPr>
            <w:noProof/>
            <w:webHidden/>
          </w:rPr>
          <w:fldChar w:fldCharType="begin"/>
        </w:r>
        <w:r w:rsidR="003B082C">
          <w:rPr>
            <w:noProof/>
            <w:webHidden/>
          </w:rPr>
          <w:instrText xml:space="preserve"> PAGEREF _Toc79657855 \h </w:instrText>
        </w:r>
        <w:r w:rsidR="003B082C">
          <w:rPr>
            <w:noProof/>
            <w:webHidden/>
          </w:rPr>
        </w:r>
        <w:r w:rsidR="003B082C">
          <w:rPr>
            <w:noProof/>
            <w:webHidden/>
          </w:rPr>
          <w:fldChar w:fldCharType="separate"/>
        </w:r>
        <w:r w:rsidR="003B082C">
          <w:rPr>
            <w:noProof/>
            <w:webHidden/>
          </w:rPr>
          <w:t>E–48</w:t>
        </w:r>
        <w:r w:rsidR="003B082C">
          <w:rPr>
            <w:noProof/>
            <w:webHidden/>
          </w:rPr>
          <w:fldChar w:fldCharType="end"/>
        </w:r>
      </w:hyperlink>
    </w:p>
    <w:p w14:paraId="00D2992C" w14:textId="48C97DDB" w:rsidR="003B082C" w:rsidRDefault="005C5CD4">
      <w:pPr>
        <w:pStyle w:val="TableofFigures"/>
        <w:tabs>
          <w:tab w:val="right" w:leader="dot" w:pos="8990"/>
        </w:tabs>
        <w:rPr>
          <w:rFonts w:asciiTheme="minorHAnsi" w:eastAsiaTheme="minorEastAsia" w:hAnsiTheme="minorHAnsi" w:cstheme="minorBidi"/>
          <w:noProof/>
          <w:szCs w:val="22"/>
          <w:lang w:val="en-CA"/>
        </w:rPr>
      </w:pPr>
      <w:hyperlink w:anchor="_Toc79657856" w:history="1">
        <w:r w:rsidR="003B082C" w:rsidRPr="00A227AF">
          <w:rPr>
            <w:rStyle w:val="Hyperlink"/>
            <w:noProof/>
            <w:lang w:val="en-CA"/>
          </w:rPr>
          <w:t>Table E–6:  Procedural Steps for Submission of Reduced DRC Certification Information</w:t>
        </w:r>
        <w:r w:rsidR="003B082C">
          <w:rPr>
            <w:noProof/>
            <w:webHidden/>
          </w:rPr>
          <w:tab/>
        </w:r>
        <w:r w:rsidR="003B082C">
          <w:rPr>
            <w:noProof/>
            <w:webHidden/>
          </w:rPr>
          <w:fldChar w:fldCharType="begin"/>
        </w:r>
        <w:r w:rsidR="003B082C">
          <w:rPr>
            <w:noProof/>
            <w:webHidden/>
          </w:rPr>
          <w:instrText xml:space="preserve"> PAGEREF _Toc79657856 \h </w:instrText>
        </w:r>
        <w:r w:rsidR="003B082C">
          <w:rPr>
            <w:noProof/>
            <w:webHidden/>
          </w:rPr>
        </w:r>
        <w:r w:rsidR="003B082C">
          <w:rPr>
            <w:noProof/>
            <w:webHidden/>
          </w:rPr>
          <w:fldChar w:fldCharType="separate"/>
        </w:r>
        <w:r w:rsidR="003B082C">
          <w:rPr>
            <w:noProof/>
            <w:webHidden/>
          </w:rPr>
          <w:t>E–49</w:t>
        </w:r>
        <w:r w:rsidR="003B082C">
          <w:rPr>
            <w:noProof/>
            <w:webHidden/>
          </w:rPr>
          <w:fldChar w:fldCharType="end"/>
        </w:r>
      </w:hyperlink>
    </w:p>
    <w:p w14:paraId="2A4ACBA2" w14:textId="6349B769" w:rsidR="003B082C" w:rsidRDefault="005C5CD4">
      <w:pPr>
        <w:pStyle w:val="TableofFigures"/>
        <w:tabs>
          <w:tab w:val="right" w:leader="dot" w:pos="8990"/>
        </w:tabs>
        <w:rPr>
          <w:rFonts w:asciiTheme="minorHAnsi" w:eastAsiaTheme="minorEastAsia" w:hAnsiTheme="minorHAnsi" w:cstheme="minorBidi"/>
          <w:noProof/>
          <w:szCs w:val="22"/>
          <w:lang w:val="en-CA"/>
        </w:rPr>
      </w:pPr>
      <w:hyperlink w:anchor="_Toc79657857" w:history="1">
        <w:r w:rsidR="003B082C" w:rsidRPr="00A227AF">
          <w:rPr>
            <w:rStyle w:val="Hyperlink"/>
            <w:noProof/>
            <w:lang w:val="en-CA"/>
          </w:rPr>
          <w:t>Table F</w:t>
        </w:r>
        <w:r w:rsidR="003B082C" w:rsidRPr="00A227AF">
          <w:rPr>
            <w:rStyle w:val="Hyperlink"/>
            <w:noProof/>
            <w:snapToGrid w:val="0"/>
            <w:lang w:val="en-CA"/>
          </w:rPr>
          <w:t>–</w:t>
        </w:r>
        <w:r w:rsidR="003B082C" w:rsidRPr="00A227AF">
          <w:rPr>
            <w:rStyle w:val="Hyperlink"/>
            <w:noProof/>
            <w:lang w:val="en-CA"/>
          </w:rPr>
          <w:t>1:  Summary of Deadlines</w:t>
        </w:r>
        <w:r w:rsidR="003B082C">
          <w:rPr>
            <w:noProof/>
            <w:webHidden/>
          </w:rPr>
          <w:tab/>
        </w:r>
        <w:r w:rsidR="003B082C">
          <w:rPr>
            <w:noProof/>
            <w:webHidden/>
          </w:rPr>
          <w:fldChar w:fldCharType="begin"/>
        </w:r>
        <w:r w:rsidR="003B082C">
          <w:rPr>
            <w:noProof/>
            <w:webHidden/>
          </w:rPr>
          <w:instrText xml:space="preserve"> PAGEREF _Toc79657857 \h </w:instrText>
        </w:r>
        <w:r w:rsidR="003B082C">
          <w:rPr>
            <w:noProof/>
            <w:webHidden/>
          </w:rPr>
        </w:r>
        <w:r w:rsidR="003B082C">
          <w:rPr>
            <w:noProof/>
            <w:webHidden/>
          </w:rPr>
          <w:fldChar w:fldCharType="separate"/>
        </w:r>
        <w:r w:rsidR="003B082C">
          <w:rPr>
            <w:noProof/>
            <w:webHidden/>
          </w:rPr>
          <w:t>F–4</w:t>
        </w:r>
        <w:r w:rsidR="003B082C">
          <w:rPr>
            <w:noProof/>
            <w:webHidden/>
          </w:rPr>
          <w:fldChar w:fldCharType="end"/>
        </w:r>
      </w:hyperlink>
    </w:p>
    <w:p w14:paraId="3A582B1E" w14:textId="377AFB8C" w:rsidR="00855CB7" w:rsidRDefault="00117555">
      <w:pPr>
        <w:pStyle w:val="TableofFigures"/>
        <w:rPr>
          <w:lang w:val="en-CA"/>
        </w:rPr>
      </w:pPr>
      <w:r>
        <w:rPr>
          <w:lang w:val="en-CA"/>
        </w:rPr>
        <w:fldChar w:fldCharType="end"/>
      </w:r>
    </w:p>
    <w:p w14:paraId="637AF5B6" w14:textId="71B8F6F9" w:rsidR="00855CB7" w:rsidRPr="009201D7" w:rsidRDefault="00925B69" w:rsidP="00107116">
      <w:pPr>
        <w:pStyle w:val="TableofContents"/>
        <w:pageBreakBefore/>
        <w:rPr>
          <w:sz w:val="48"/>
          <w:lang w:val="en-CA"/>
        </w:rPr>
      </w:pPr>
      <w:bookmarkStart w:id="22" w:name="_Toc488830123"/>
      <w:bookmarkStart w:id="23" w:name="_Toc32038419"/>
      <w:bookmarkStart w:id="24" w:name="_Toc175383866"/>
      <w:bookmarkStart w:id="25" w:name="_Toc400369486"/>
      <w:bookmarkStart w:id="26" w:name="_Toc35796312"/>
      <w:bookmarkStart w:id="27" w:name="_Toc79657913"/>
      <w:r w:rsidRPr="00925B69">
        <w:rPr>
          <w:sz w:val="48"/>
          <w:lang w:val="en-CA"/>
        </w:rPr>
        <w:lastRenderedPageBreak/>
        <w:t>Table of Changes</w:t>
      </w:r>
      <w:bookmarkEnd w:id="22"/>
      <w:bookmarkEnd w:id="23"/>
      <w:bookmarkEnd w:id="24"/>
      <w:bookmarkEnd w:id="25"/>
      <w:bookmarkEnd w:id="26"/>
      <w:bookmarkEnd w:id="27"/>
    </w:p>
    <w:tbl>
      <w:tblPr>
        <w:tblW w:w="90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90"/>
        <w:gridCol w:w="7110"/>
      </w:tblGrid>
      <w:tr w:rsidR="007578A1" w14:paraId="0CDA44F8" w14:textId="77777777" w:rsidTr="005F4390">
        <w:tc>
          <w:tcPr>
            <w:tcW w:w="1890" w:type="dxa"/>
            <w:shd w:val="clear" w:color="auto" w:fill="D9D9D9" w:themeFill="background1" w:themeFillShade="D9"/>
          </w:tcPr>
          <w:p w14:paraId="7F3142D2" w14:textId="77777777" w:rsidR="007578A1" w:rsidRDefault="007578A1" w:rsidP="009D4610">
            <w:pPr>
              <w:pStyle w:val="TableHead"/>
            </w:pPr>
            <w:r>
              <w:t>Reference (Section and Paragraph)</w:t>
            </w:r>
          </w:p>
        </w:tc>
        <w:tc>
          <w:tcPr>
            <w:tcW w:w="7110" w:type="dxa"/>
            <w:shd w:val="clear" w:color="auto" w:fill="D9D9D9" w:themeFill="background1" w:themeFillShade="D9"/>
            <w:vAlign w:val="center"/>
          </w:tcPr>
          <w:p w14:paraId="1FDD6E39" w14:textId="77777777" w:rsidR="007578A1" w:rsidRDefault="007578A1" w:rsidP="00775911">
            <w:pPr>
              <w:pStyle w:val="TableHead"/>
            </w:pPr>
            <w:r>
              <w:t>Description of Change</w:t>
            </w:r>
          </w:p>
        </w:tc>
      </w:tr>
      <w:tr w:rsidR="004A7BF5" w14:paraId="3CCDDB43" w14:textId="77777777" w:rsidTr="00791D45">
        <w:tc>
          <w:tcPr>
            <w:tcW w:w="1890" w:type="dxa"/>
            <w:tcBorders>
              <w:top w:val="single" w:sz="4" w:space="0" w:color="auto"/>
              <w:left w:val="single" w:sz="4" w:space="0" w:color="auto"/>
              <w:bottom w:val="single" w:sz="4" w:space="0" w:color="auto"/>
              <w:right w:val="single" w:sz="4" w:space="0" w:color="auto"/>
            </w:tcBorders>
            <w:vAlign w:val="center"/>
          </w:tcPr>
          <w:p w14:paraId="7743CA2C" w14:textId="1A6C482F" w:rsidR="004A7BF5" w:rsidRDefault="004A7BF5" w:rsidP="004A7BF5">
            <w:pPr>
              <w:pStyle w:val="TableText"/>
              <w:rPr>
                <w:noProof/>
              </w:rPr>
            </w:pPr>
            <w:bookmarkStart w:id="28" w:name="_Toc479138111"/>
            <w:bookmarkStart w:id="29" w:name="_Toc483275403"/>
            <w:bookmarkStart w:id="30" w:name="_Toc32038420"/>
            <w:bookmarkStart w:id="31" w:name="_Toc175383867"/>
            <w:bookmarkStart w:id="32" w:name="_Toc400369487"/>
            <w:r>
              <w:rPr>
                <w:noProof/>
              </w:rPr>
              <w:t>1.6.7</w:t>
            </w:r>
          </w:p>
        </w:tc>
        <w:tc>
          <w:tcPr>
            <w:tcW w:w="7110" w:type="dxa"/>
            <w:tcBorders>
              <w:top w:val="single" w:sz="4" w:space="0" w:color="auto"/>
              <w:left w:val="single" w:sz="4" w:space="0" w:color="auto"/>
              <w:bottom w:val="single" w:sz="4" w:space="0" w:color="auto"/>
              <w:right w:val="single" w:sz="4" w:space="0" w:color="auto"/>
            </w:tcBorders>
          </w:tcPr>
          <w:p w14:paraId="7EAFE414" w14:textId="471A0412" w:rsidR="004A7BF5" w:rsidRPr="004A7BF5" w:rsidRDefault="004A7BF5" w:rsidP="004A7BF5">
            <w:pPr>
              <w:pStyle w:val="BodyText"/>
              <w:spacing w:before="0"/>
              <w:rPr>
                <w:rFonts w:ascii="Arial" w:hAnsi="Arial"/>
                <w:b/>
                <w:bCs/>
                <w:sz w:val="24"/>
              </w:rPr>
            </w:pPr>
            <w:r>
              <w:t>Replaced “</w:t>
            </w:r>
            <w:r>
              <w:rPr>
                <w:i/>
              </w:rPr>
              <w:t xml:space="preserve">IESO </w:t>
            </w:r>
            <w:r>
              <w:t>Portal” with “</w:t>
            </w:r>
            <w:r>
              <w:rPr>
                <w:i/>
              </w:rPr>
              <w:t xml:space="preserve">IESO </w:t>
            </w:r>
            <w:r>
              <w:t>Gateway” under section “</w:t>
            </w:r>
            <w:r w:rsidRPr="004A7BF5">
              <w:t>Declaration Required for Designated Consumers”</w:t>
            </w:r>
            <w:r>
              <w:t>.</w:t>
            </w:r>
          </w:p>
        </w:tc>
      </w:tr>
      <w:tr w:rsidR="004A7BF5" w14:paraId="1842CACC" w14:textId="77777777" w:rsidTr="00791D45">
        <w:tc>
          <w:tcPr>
            <w:tcW w:w="1890" w:type="dxa"/>
            <w:tcBorders>
              <w:top w:val="single" w:sz="4" w:space="0" w:color="auto"/>
              <w:left w:val="single" w:sz="4" w:space="0" w:color="auto"/>
              <w:bottom w:val="single" w:sz="4" w:space="0" w:color="auto"/>
              <w:right w:val="single" w:sz="4" w:space="0" w:color="auto"/>
            </w:tcBorders>
            <w:vAlign w:val="center"/>
          </w:tcPr>
          <w:p w14:paraId="59E316A1" w14:textId="4C1B0DF1" w:rsidR="004A7BF5" w:rsidRPr="00C005AC" w:rsidDel="006150B4" w:rsidRDefault="0091043F" w:rsidP="004A7BF5">
            <w:pPr>
              <w:pStyle w:val="TableText"/>
              <w:rPr>
                <w:noProof/>
              </w:rPr>
            </w:pPr>
            <w:r>
              <w:rPr>
                <w:noProof/>
              </w:rPr>
              <w:t>1.6.26.3.5</w:t>
            </w:r>
          </w:p>
        </w:tc>
        <w:tc>
          <w:tcPr>
            <w:tcW w:w="7110" w:type="dxa"/>
            <w:tcBorders>
              <w:top w:val="single" w:sz="4" w:space="0" w:color="auto"/>
              <w:left w:val="single" w:sz="4" w:space="0" w:color="auto"/>
              <w:bottom w:val="single" w:sz="4" w:space="0" w:color="auto"/>
              <w:right w:val="single" w:sz="4" w:space="0" w:color="auto"/>
            </w:tcBorders>
          </w:tcPr>
          <w:p w14:paraId="77E7F22E" w14:textId="44F2A381" w:rsidR="004A7BF5" w:rsidRPr="00C005AC" w:rsidDel="006150B4" w:rsidRDefault="003E0FEB" w:rsidP="00F56054">
            <w:pPr>
              <w:pStyle w:val="TableText"/>
              <w:ind w:right="188"/>
            </w:pPr>
            <w:r>
              <w:t xml:space="preserve">Clarify </w:t>
            </w:r>
            <w:r>
              <w:rPr>
                <w:i/>
              </w:rPr>
              <w:t>capacity charge</w:t>
            </w:r>
            <w:r>
              <w:t xml:space="preserve"> </w:t>
            </w:r>
            <w:r w:rsidR="00F56054">
              <w:t>applicability during</w:t>
            </w:r>
            <w:r>
              <w:t xml:space="preserve"> test activations. </w:t>
            </w:r>
          </w:p>
        </w:tc>
      </w:tr>
      <w:tr w:rsidR="004A7BF5" w14:paraId="55B9D4E4" w14:textId="77777777" w:rsidTr="00791D45">
        <w:tc>
          <w:tcPr>
            <w:tcW w:w="1890" w:type="dxa"/>
            <w:tcBorders>
              <w:top w:val="single" w:sz="4" w:space="0" w:color="auto"/>
              <w:left w:val="single" w:sz="4" w:space="0" w:color="auto"/>
              <w:bottom w:val="single" w:sz="4" w:space="0" w:color="auto"/>
              <w:right w:val="single" w:sz="4" w:space="0" w:color="auto"/>
            </w:tcBorders>
            <w:vAlign w:val="center"/>
          </w:tcPr>
          <w:p w14:paraId="35E22697" w14:textId="2B77543F" w:rsidR="004A7BF5" w:rsidRPr="00C005AC" w:rsidRDefault="004A7BF5" w:rsidP="005C4183">
            <w:pPr>
              <w:pStyle w:val="TableText"/>
              <w:rPr>
                <w:noProof/>
              </w:rPr>
            </w:pPr>
            <w:r>
              <w:rPr>
                <w:noProof/>
              </w:rPr>
              <w:t>Appendix E</w:t>
            </w:r>
            <w:r w:rsidR="003B082C">
              <w:rPr>
                <w:noProof/>
              </w:rPr>
              <w:t xml:space="preserve"> </w:t>
            </w:r>
            <w:r w:rsidR="005C4183">
              <w:rPr>
                <w:noProof/>
              </w:rPr>
              <w:t>&amp;</w:t>
            </w:r>
            <w:r w:rsidR="003B082C">
              <w:rPr>
                <w:noProof/>
              </w:rPr>
              <w:t xml:space="preserve"> F</w:t>
            </w:r>
          </w:p>
        </w:tc>
        <w:tc>
          <w:tcPr>
            <w:tcW w:w="7110" w:type="dxa"/>
            <w:tcBorders>
              <w:top w:val="single" w:sz="4" w:space="0" w:color="auto"/>
              <w:left w:val="single" w:sz="4" w:space="0" w:color="auto"/>
              <w:bottom w:val="single" w:sz="4" w:space="0" w:color="auto"/>
              <w:right w:val="single" w:sz="4" w:space="0" w:color="auto"/>
            </w:tcBorders>
          </w:tcPr>
          <w:p w14:paraId="3FEF2DB8" w14:textId="23DEEAAE" w:rsidR="004A7BF5" w:rsidRPr="00C005AC" w:rsidRDefault="004A7BF5" w:rsidP="004A7BF5">
            <w:pPr>
              <w:pStyle w:val="TableText"/>
              <w:ind w:right="188"/>
            </w:pPr>
            <w:r>
              <w:t>Replaced “</w:t>
            </w:r>
            <w:r>
              <w:rPr>
                <w:i/>
              </w:rPr>
              <w:t xml:space="preserve">IESO </w:t>
            </w:r>
            <w:r>
              <w:t>Portal” with “</w:t>
            </w:r>
            <w:r>
              <w:rPr>
                <w:i/>
              </w:rPr>
              <w:t xml:space="preserve">IESO </w:t>
            </w:r>
            <w:r>
              <w:t xml:space="preserve">Gateway” where applicable. </w:t>
            </w:r>
          </w:p>
        </w:tc>
      </w:tr>
      <w:tr w:rsidR="004A7BF5" w14:paraId="79FB2363" w14:textId="77777777" w:rsidTr="00791D45">
        <w:tc>
          <w:tcPr>
            <w:tcW w:w="1890" w:type="dxa"/>
            <w:tcBorders>
              <w:top w:val="single" w:sz="4" w:space="0" w:color="auto"/>
              <w:left w:val="single" w:sz="4" w:space="0" w:color="auto"/>
              <w:bottom w:val="single" w:sz="4" w:space="0" w:color="auto"/>
              <w:right w:val="single" w:sz="4" w:space="0" w:color="auto"/>
            </w:tcBorders>
            <w:vAlign w:val="center"/>
          </w:tcPr>
          <w:p w14:paraId="68E72D5A" w14:textId="39DDD8DF" w:rsidR="004A7BF5" w:rsidRPr="00C005AC" w:rsidRDefault="008942BA" w:rsidP="004A7BF5">
            <w:pPr>
              <w:pStyle w:val="TableText"/>
              <w:rPr>
                <w:noProof/>
              </w:rPr>
            </w:pPr>
            <w:r>
              <w:rPr>
                <w:noProof/>
              </w:rPr>
              <w:t>References</w:t>
            </w:r>
          </w:p>
        </w:tc>
        <w:tc>
          <w:tcPr>
            <w:tcW w:w="7110" w:type="dxa"/>
            <w:tcBorders>
              <w:top w:val="single" w:sz="4" w:space="0" w:color="auto"/>
              <w:left w:val="single" w:sz="4" w:space="0" w:color="auto"/>
              <w:bottom w:val="single" w:sz="4" w:space="0" w:color="auto"/>
              <w:right w:val="single" w:sz="4" w:space="0" w:color="auto"/>
            </w:tcBorders>
          </w:tcPr>
          <w:p w14:paraId="07C3B4C8" w14:textId="0ED5BDAE" w:rsidR="004A7BF5" w:rsidRPr="00C005AC" w:rsidRDefault="008942BA" w:rsidP="008942BA">
            <w:pPr>
              <w:pStyle w:val="TableText"/>
              <w:ind w:right="188"/>
            </w:pPr>
            <w:r>
              <w:t xml:space="preserve">Remove “Guide to the </w:t>
            </w:r>
            <w:r>
              <w:rPr>
                <w:i/>
              </w:rPr>
              <w:t xml:space="preserve">IESO </w:t>
            </w:r>
            <w:r>
              <w:t>Portal”.</w:t>
            </w:r>
          </w:p>
        </w:tc>
      </w:tr>
    </w:tbl>
    <w:p w14:paraId="2A293744" w14:textId="77777777" w:rsidR="00755864" w:rsidRDefault="00755864" w:rsidP="004B3116">
      <w:pPr>
        <w:rPr>
          <w:lang w:val="en-CA"/>
        </w:rPr>
      </w:pPr>
    </w:p>
    <w:p w14:paraId="0A39F62F" w14:textId="77777777" w:rsidR="00991148" w:rsidRDefault="00991148" w:rsidP="004B3116">
      <w:pPr>
        <w:rPr>
          <w:lang w:val="en-CA"/>
        </w:rPr>
      </w:pPr>
    </w:p>
    <w:p w14:paraId="3ECCBA6D" w14:textId="24C1B816" w:rsidR="00624475" w:rsidRDefault="00624475" w:rsidP="004B3116">
      <w:r>
        <w:br w:type="page"/>
      </w:r>
    </w:p>
    <w:p w14:paraId="36BFF032" w14:textId="77777777" w:rsidR="004B3116" w:rsidRDefault="004B3116" w:rsidP="004B3116">
      <w:pPr>
        <w:sectPr w:rsidR="004B3116" w:rsidSect="00755864">
          <w:headerReference w:type="even" r:id="rId22"/>
          <w:headerReference w:type="default" r:id="rId23"/>
          <w:footerReference w:type="even" r:id="rId24"/>
          <w:footerReference w:type="default" r:id="rId25"/>
          <w:pgSz w:w="12240" w:h="15840" w:code="1"/>
          <w:pgMar w:top="1440" w:right="1440" w:bottom="1440" w:left="1800" w:header="720" w:footer="720" w:gutter="0"/>
          <w:pgNumType w:fmt="lowerRoman" w:start="1" w:chapSep="enDash"/>
          <w:cols w:space="720"/>
        </w:sectPr>
      </w:pPr>
    </w:p>
    <w:p w14:paraId="4F18B5BF" w14:textId="77777777" w:rsidR="00855CB7" w:rsidRDefault="00855CB7" w:rsidP="00FA22C9">
      <w:pPr>
        <w:pStyle w:val="Head1NoNum"/>
        <w:rPr>
          <w:lang w:val="en-CA"/>
        </w:rPr>
      </w:pPr>
      <w:bookmarkStart w:id="33" w:name="_Toc35796313"/>
      <w:bookmarkStart w:id="34" w:name="_Toc79657914"/>
      <w:r>
        <w:rPr>
          <w:lang w:val="en-CA"/>
        </w:rPr>
        <w:lastRenderedPageBreak/>
        <w:t>Market Manuals</w:t>
      </w:r>
      <w:bookmarkEnd w:id="28"/>
      <w:bookmarkEnd w:id="29"/>
      <w:bookmarkEnd w:id="30"/>
      <w:bookmarkEnd w:id="31"/>
      <w:bookmarkEnd w:id="32"/>
      <w:bookmarkEnd w:id="33"/>
      <w:bookmarkEnd w:id="34"/>
    </w:p>
    <w:p w14:paraId="02014B8A" w14:textId="77777777" w:rsidR="00855CB7" w:rsidRDefault="00855CB7">
      <w:pPr>
        <w:pStyle w:val="BodyText"/>
        <w:rPr>
          <w:lang w:val="en-CA"/>
        </w:rPr>
      </w:pPr>
      <w:r>
        <w:rPr>
          <w:snapToGrid w:val="0"/>
          <w:lang w:val="en-CA"/>
        </w:rPr>
        <w:t xml:space="preserve">The </w:t>
      </w:r>
      <w:r>
        <w:rPr>
          <w:i/>
          <w:snapToGrid w:val="0"/>
          <w:lang w:val="en-CA"/>
        </w:rPr>
        <w:t>market manuals</w:t>
      </w:r>
      <w:r>
        <w:rPr>
          <w:snapToGrid w:val="0"/>
          <w:lang w:val="en-CA"/>
        </w:rPr>
        <w:t xml:space="preserve"> consolidate the market procedures and associated forms, standards, and policies that define certain elements relating to the operation of the </w:t>
      </w:r>
      <w:r>
        <w:rPr>
          <w:i/>
          <w:snapToGrid w:val="0"/>
          <w:lang w:val="en-CA"/>
        </w:rPr>
        <w:t>IESO-administered markets</w:t>
      </w:r>
      <w:r>
        <w:rPr>
          <w:snapToGrid w:val="0"/>
          <w:lang w:val="en-CA"/>
        </w:rPr>
        <w:t xml:space="preserve">. </w:t>
      </w:r>
      <w:r w:rsidR="00396FD1">
        <w:rPr>
          <w:snapToGrid w:val="0"/>
          <w:lang w:val="en-CA"/>
        </w:rPr>
        <w:t xml:space="preserve"> </w:t>
      </w:r>
      <w:r>
        <w:rPr>
          <w:snapToGrid w:val="0"/>
          <w:lang w:val="en-CA"/>
        </w:rPr>
        <w:t>Market procedures provide more detailed descriptions of the requirements for various activities than is specified in the</w:t>
      </w:r>
      <w:r>
        <w:rPr>
          <w:lang w:val="en-CA"/>
        </w:rPr>
        <w:t xml:space="preserve"> </w:t>
      </w:r>
      <w:r w:rsidR="00752CC8" w:rsidRPr="00752CC8">
        <w:rPr>
          <w:i/>
          <w:lang w:val="en-CA"/>
        </w:rPr>
        <w:t>market rules</w:t>
      </w:r>
      <w:r>
        <w:rPr>
          <w:snapToGrid w:val="0"/>
          <w:lang w:val="en-CA"/>
        </w:rPr>
        <w:t xml:space="preserve">.  Where there is a discrepancy between the requirements in a document within a </w:t>
      </w:r>
      <w:r>
        <w:rPr>
          <w:i/>
          <w:snapToGrid w:val="0"/>
          <w:lang w:val="en-CA"/>
        </w:rPr>
        <w:t>market manual</w:t>
      </w:r>
      <w:r>
        <w:rPr>
          <w:snapToGrid w:val="0"/>
          <w:lang w:val="en-CA"/>
        </w:rPr>
        <w:t xml:space="preserve"> and the </w:t>
      </w:r>
      <w:r>
        <w:rPr>
          <w:i/>
          <w:snapToGrid w:val="0"/>
          <w:lang w:val="en-CA"/>
        </w:rPr>
        <w:t>market rules</w:t>
      </w:r>
      <w:r>
        <w:rPr>
          <w:snapToGrid w:val="0"/>
          <w:lang w:val="en-CA"/>
        </w:rPr>
        <w:t xml:space="preserve">, the </w:t>
      </w:r>
      <w:r>
        <w:rPr>
          <w:i/>
          <w:snapToGrid w:val="0"/>
          <w:lang w:val="en-CA"/>
        </w:rPr>
        <w:t>market rules</w:t>
      </w:r>
      <w:r>
        <w:rPr>
          <w:snapToGrid w:val="0"/>
          <w:lang w:val="en-CA"/>
        </w:rPr>
        <w:t xml:space="preserve"> shall prevail.  Standards and policies appended to, or referenced in, these procedures provide a supporting framework.</w:t>
      </w:r>
    </w:p>
    <w:p w14:paraId="06BB96DF" w14:textId="77777777" w:rsidR="00855CB7" w:rsidRDefault="00855CB7">
      <w:pPr>
        <w:pStyle w:val="Head1NoNum"/>
        <w:rPr>
          <w:lang w:val="en-CA"/>
        </w:rPr>
      </w:pPr>
      <w:bookmarkStart w:id="35" w:name="_Toc483275404"/>
      <w:bookmarkStart w:id="36" w:name="_Toc32038421"/>
      <w:bookmarkStart w:id="37" w:name="_Toc175383868"/>
      <w:bookmarkStart w:id="38" w:name="_Toc400369488"/>
      <w:bookmarkStart w:id="39" w:name="_Toc35796314"/>
      <w:bookmarkStart w:id="40" w:name="_Toc79657915"/>
      <w:r>
        <w:rPr>
          <w:lang w:val="en-CA"/>
        </w:rPr>
        <w:t>Market Procedures</w:t>
      </w:r>
      <w:bookmarkEnd w:id="35"/>
      <w:bookmarkEnd w:id="36"/>
      <w:bookmarkEnd w:id="37"/>
      <w:bookmarkEnd w:id="38"/>
      <w:bookmarkEnd w:id="39"/>
      <w:bookmarkEnd w:id="40"/>
    </w:p>
    <w:p w14:paraId="6597A328" w14:textId="77777777" w:rsidR="00855CB7" w:rsidRDefault="00855CB7">
      <w:pPr>
        <w:pStyle w:val="BodyText"/>
        <w:rPr>
          <w:lang w:val="en-CA"/>
        </w:rPr>
      </w:pPr>
      <w:r>
        <w:rPr>
          <w:snapToGrid w:val="0"/>
          <w:lang w:val="en-CA"/>
        </w:rPr>
        <w:t xml:space="preserve">The </w:t>
      </w:r>
      <w:r>
        <w:rPr>
          <w:lang w:val="en-CA"/>
        </w:rPr>
        <w:t>“</w:t>
      </w:r>
      <w:r>
        <w:rPr>
          <w:snapToGrid w:val="0"/>
          <w:lang w:val="en-CA"/>
        </w:rPr>
        <w:t>Settlements Manual”</w:t>
      </w:r>
      <w:r>
        <w:rPr>
          <w:i/>
          <w:snapToGrid w:val="0"/>
          <w:lang w:val="en-CA"/>
        </w:rPr>
        <w:t xml:space="preserve"> </w:t>
      </w:r>
      <w:r>
        <w:rPr>
          <w:snapToGrid w:val="0"/>
          <w:lang w:val="en-CA"/>
        </w:rPr>
        <w:t xml:space="preserve">is Volume 5 of the </w:t>
      </w:r>
      <w:r>
        <w:rPr>
          <w:i/>
          <w:snapToGrid w:val="0"/>
          <w:lang w:val="en-CA"/>
        </w:rPr>
        <w:t>market manuals</w:t>
      </w:r>
      <w:r>
        <w:rPr>
          <w:snapToGrid w:val="0"/>
          <w:lang w:val="en-CA"/>
        </w:rPr>
        <w:t xml:space="preserve">, where this document forms </w:t>
      </w:r>
      <w:r>
        <w:rPr>
          <w:lang w:val="en-CA"/>
        </w:rPr>
        <w:t>“</w:t>
      </w:r>
      <w:r>
        <w:rPr>
          <w:snapToGrid w:val="0"/>
          <w:lang w:val="en-CA"/>
        </w:rPr>
        <w:t>Part 5.5: Physical Markets Settlement Statements”</w:t>
      </w:r>
      <w:r w:rsidR="00560972">
        <w:rPr>
          <w:snapToGrid w:val="0"/>
          <w:lang w:val="en-CA"/>
        </w:rPr>
        <w:t>.</w:t>
      </w:r>
    </w:p>
    <w:p w14:paraId="055B2492" w14:textId="77777777" w:rsidR="00855CB7" w:rsidRDefault="00855CB7">
      <w:pPr>
        <w:pStyle w:val="BodyText"/>
        <w:rPr>
          <w:lang w:val="en-CA"/>
        </w:rPr>
      </w:pPr>
      <w:r>
        <w:rPr>
          <w:lang w:val="en-CA"/>
        </w:rPr>
        <w:t>A list of the other component parts of the “Settlements Manual” is provided in “Part 5.0: Settlements Overview”, in Section 2, “About This Manual”.</w:t>
      </w:r>
    </w:p>
    <w:p w14:paraId="1496A093" w14:textId="77777777" w:rsidR="00855CB7" w:rsidRDefault="00855CB7">
      <w:pPr>
        <w:pStyle w:val="Head2NoNum"/>
        <w:keepNext/>
        <w:rPr>
          <w:noProof w:val="0"/>
        </w:rPr>
      </w:pPr>
      <w:r>
        <w:rPr>
          <w:noProof w:val="0"/>
        </w:rPr>
        <w:t>Structure of Market Procedures</w:t>
      </w:r>
    </w:p>
    <w:p w14:paraId="719AEF55" w14:textId="77777777" w:rsidR="007160CA" w:rsidRDefault="00855CB7">
      <w:pPr>
        <w:pStyle w:val="BodyText"/>
        <w:rPr>
          <w:lang w:val="en-CA"/>
        </w:rPr>
      </w:pPr>
      <w:r>
        <w:rPr>
          <w:lang w:val="en-CA"/>
        </w:rPr>
        <w:t>Each market procedure is composed of the following sections:</w:t>
      </w:r>
    </w:p>
    <w:p w14:paraId="5FDC781A" w14:textId="77777777" w:rsidR="00855CB7" w:rsidRDefault="00855CB7">
      <w:pPr>
        <w:pStyle w:val="ListNumber"/>
        <w:tabs>
          <w:tab w:val="clear" w:pos="1224"/>
        </w:tabs>
        <w:rPr>
          <w:lang w:val="en-CA"/>
        </w:rPr>
      </w:pPr>
      <w:r>
        <w:rPr>
          <w:b/>
          <w:lang w:val="en-CA"/>
        </w:rPr>
        <w:t>“Introduction”</w:t>
      </w:r>
      <w:r>
        <w:rPr>
          <w:lang w:val="en-CA"/>
        </w:rPr>
        <w:t>, which contains general information about the procedure, including an overview, a description of the purpose and scope of the procedure, and information about roles and responsibilities of the parties involved in the procedure.</w:t>
      </w:r>
    </w:p>
    <w:p w14:paraId="27F870C3" w14:textId="77777777" w:rsidR="00855CB7" w:rsidRDefault="00855CB7">
      <w:pPr>
        <w:pStyle w:val="ListNumber"/>
        <w:tabs>
          <w:tab w:val="clear" w:pos="1224"/>
        </w:tabs>
        <w:rPr>
          <w:lang w:val="en-CA"/>
        </w:rPr>
      </w:pPr>
      <w:r>
        <w:rPr>
          <w:b/>
          <w:lang w:val="en-CA"/>
        </w:rPr>
        <w:t>“Procedural Work Flow”</w:t>
      </w:r>
      <w:r>
        <w:rPr>
          <w:lang w:val="en-CA"/>
        </w:rPr>
        <w:t>, which contains a graphical representation of the steps and flow of information within the procedure.</w:t>
      </w:r>
    </w:p>
    <w:p w14:paraId="010AB13A" w14:textId="77777777" w:rsidR="00855CB7" w:rsidRDefault="00855CB7">
      <w:pPr>
        <w:pStyle w:val="ListNumber"/>
        <w:tabs>
          <w:tab w:val="clear" w:pos="1224"/>
        </w:tabs>
        <w:rPr>
          <w:lang w:val="en-CA"/>
        </w:rPr>
      </w:pPr>
      <w:r>
        <w:rPr>
          <w:b/>
          <w:lang w:val="en-CA"/>
        </w:rPr>
        <w:t>“Procedural Steps”</w:t>
      </w:r>
      <w:r>
        <w:rPr>
          <w:lang w:val="en-CA"/>
        </w:rPr>
        <w:t>, which contains a table that describes each step and provides other detail related to each step.</w:t>
      </w:r>
    </w:p>
    <w:p w14:paraId="123D9D05" w14:textId="77777777" w:rsidR="00855CB7" w:rsidRDefault="00855CB7">
      <w:pPr>
        <w:pStyle w:val="ListNumber"/>
        <w:tabs>
          <w:tab w:val="clear" w:pos="1224"/>
        </w:tabs>
        <w:rPr>
          <w:lang w:val="en-CA"/>
        </w:rPr>
      </w:pPr>
      <w:r>
        <w:rPr>
          <w:b/>
          <w:lang w:val="en-CA"/>
        </w:rPr>
        <w:t>“Appendices”</w:t>
      </w:r>
      <w:r>
        <w:rPr>
          <w:lang w:val="en-CA"/>
        </w:rPr>
        <w:t>, which may include such items as lists of forms, standards, policies, and agreements.</w:t>
      </w:r>
    </w:p>
    <w:p w14:paraId="60BD7CF7" w14:textId="77777777" w:rsidR="00855CB7" w:rsidRDefault="00855CB7">
      <w:pPr>
        <w:pStyle w:val="Head2NoNum"/>
        <w:rPr>
          <w:noProof w:val="0"/>
        </w:rPr>
      </w:pPr>
      <w:r>
        <w:rPr>
          <w:noProof w:val="0"/>
        </w:rPr>
        <w:t>Conventions</w:t>
      </w:r>
    </w:p>
    <w:p w14:paraId="60700541" w14:textId="77777777" w:rsidR="00855CB7" w:rsidRDefault="00855CB7">
      <w:pPr>
        <w:pStyle w:val="BodyText"/>
        <w:rPr>
          <w:lang w:val="en-CA"/>
        </w:rPr>
      </w:pPr>
      <w:r>
        <w:rPr>
          <w:lang w:val="en-CA"/>
        </w:rPr>
        <w:t xml:space="preserve">The </w:t>
      </w:r>
      <w:r>
        <w:rPr>
          <w:i/>
          <w:lang w:val="en-CA"/>
        </w:rPr>
        <w:t>market manual</w:t>
      </w:r>
      <w:r>
        <w:rPr>
          <w:lang w:val="en-CA"/>
        </w:rPr>
        <w:t xml:space="preserve"> standard conventions are defined in the "Market Manual Overview" document.</w:t>
      </w:r>
    </w:p>
    <w:p w14:paraId="448677F6" w14:textId="77777777" w:rsidR="00986CD4" w:rsidRDefault="00986CD4">
      <w:pPr>
        <w:pStyle w:val="BodyText"/>
        <w:rPr>
          <w:lang w:val="en-CA"/>
        </w:rPr>
      </w:pPr>
      <w:r>
        <w:rPr>
          <w:lang w:val="en-CA"/>
        </w:rPr>
        <w:t xml:space="preserve">In this document, “we” and “us” refers to the </w:t>
      </w:r>
      <w:r w:rsidRPr="00986CD4">
        <w:rPr>
          <w:i/>
          <w:lang w:val="en-CA"/>
        </w:rPr>
        <w:t>IESO</w:t>
      </w:r>
      <w:r>
        <w:rPr>
          <w:lang w:val="en-CA"/>
        </w:rPr>
        <w:t xml:space="preserve">; “you” refers to </w:t>
      </w:r>
      <w:r w:rsidRPr="00986CD4">
        <w:rPr>
          <w:i/>
          <w:lang w:val="en-CA"/>
        </w:rPr>
        <w:t>market participants</w:t>
      </w:r>
      <w:r w:rsidR="00AF4601">
        <w:rPr>
          <w:lang w:val="en-CA"/>
        </w:rPr>
        <w:t xml:space="preserve"> unless specifically identified otherwise</w:t>
      </w:r>
      <w:r>
        <w:rPr>
          <w:lang w:val="en-CA"/>
        </w:rPr>
        <w:t>.</w:t>
      </w:r>
    </w:p>
    <w:p w14:paraId="75B5010A" w14:textId="77777777" w:rsidR="00BA1FAB" w:rsidRDefault="00BA1FAB">
      <w:pPr>
        <w:pStyle w:val="BodyText"/>
        <w:rPr>
          <w:lang w:val="en-CA"/>
        </w:rPr>
      </w:pPr>
    </w:p>
    <w:p w14:paraId="3BF5D352" w14:textId="77777777" w:rsidR="00143CC3" w:rsidRDefault="00143CC3">
      <w:pPr>
        <w:pStyle w:val="BodyText"/>
        <w:rPr>
          <w:lang w:val="en-CA"/>
        </w:rPr>
      </w:pPr>
    </w:p>
    <w:p w14:paraId="60B8BFD6" w14:textId="77777777" w:rsidR="00800BF6" w:rsidRDefault="00855CB7" w:rsidP="00E95ECB">
      <w:pPr>
        <w:pStyle w:val="EndofText"/>
        <w:spacing w:before="0" w:after="0"/>
        <w:rPr>
          <w:noProof w:val="0"/>
        </w:rPr>
      </w:pPr>
      <w:r>
        <w:rPr>
          <w:noProof w:val="0"/>
        </w:rPr>
        <w:t>– End of Section –</w:t>
      </w:r>
      <w:bookmarkStart w:id="41" w:name="_Toc479138113"/>
      <w:bookmarkStart w:id="42" w:name="_Toc483275405"/>
    </w:p>
    <w:p w14:paraId="2AA466C9" w14:textId="77777777" w:rsidR="00855CB7" w:rsidRDefault="00855CB7" w:rsidP="00E95ECB">
      <w:pPr>
        <w:pStyle w:val="EndofText"/>
        <w:spacing w:before="0" w:after="0"/>
      </w:pPr>
    </w:p>
    <w:p w14:paraId="0007F208" w14:textId="77777777" w:rsidR="00800BF6" w:rsidRPr="00800BF6" w:rsidRDefault="00800BF6" w:rsidP="00800BF6">
      <w:pPr>
        <w:sectPr w:rsidR="00800BF6" w:rsidRPr="00800BF6" w:rsidSect="00D3686B">
          <w:headerReference w:type="default" r:id="rId26"/>
          <w:pgSz w:w="12240" w:h="15840" w:code="1"/>
          <w:pgMar w:top="1440" w:right="1440" w:bottom="1440" w:left="1800" w:header="720" w:footer="720" w:gutter="0"/>
          <w:pgNumType w:start="1" w:chapSep="enDash"/>
          <w:cols w:space="720"/>
        </w:sectPr>
      </w:pPr>
    </w:p>
    <w:p w14:paraId="4BDCDB8C" w14:textId="77777777" w:rsidR="00855CB7" w:rsidRDefault="00855CB7">
      <w:pPr>
        <w:pStyle w:val="Heading1"/>
        <w:rPr>
          <w:lang w:val="en-CA"/>
        </w:rPr>
      </w:pPr>
      <w:bookmarkStart w:id="43" w:name="_Toc32038422"/>
      <w:bookmarkStart w:id="44" w:name="_Toc175383869"/>
      <w:bookmarkStart w:id="45" w:name="_Toc400369489"/>
      <w:bookmarkStart w:id="46" w:name="_Toc35796315"/>
      <w:bookmarkStart w:id="47" w:name="_Toc79657916"/>
      <w:r>
        <w:rPr>
          <w:lang w:val="en-CA"/>
        </w:rPr>
        <w:lastRenderedPageBreak/>
        <w:t>Introduction</w:t>
      </w:r>
      <w:bookmarkEnd w:id="41"/>
      <w:bookmarkEnd w:id="42"/>
      <w:bookmarkEnd w:id="43"/>
      <w:bookmarkEnd w:id="44"/>
      <w:bookmarkEnd w:id="45"/>
      <w:bookmarkEnd w:id="46"/>
      <w:bookmarkEnd w:id="47"/>
    </w:p>
    <w:p w14:paraId="72DF5E01" w14:textId="77777777" w:rsidR="00855CB7" w:rsidRDefault="00855CB7">
      <w:pPr>
        <w:pStyle w:val="Heading2"/>
        <w:rPr>
          <w:lang w:val="en-CA"/>
        </w:rPr>
      </w:pPr>
      <w:bookmarkStart w:id="48" w:name="_Toc479138114"/>
      <w:bookmarkStart w:id="49" w:name="_Toc483275406"/>
      <w:bookmarkStart w:id="50" w:name="_Toc32038423"/>
      <w:bookmarkStart w:id="51" w:name="_Toc175383870"/>
      <w:bookmarkStart w:id="52" w:name="_Toc400369490"/>
      <w:bookmarkStart w:id="53" w:name="_Toc35796316"/>
      <w:bookmarkStart w:id="54" w:name="_Toc79657917"/>
      <w:r>
        <w:rPr>
          <w:lang w:val="en-CA"/>
        </w:rPr>
        <w:t>Purpose</w:t>
      </w:r>
      <w:bookmarkEnd w:id="48"/>
      <w:bookmarkEnd w:id="49"/>
      <w:bookmarkEnd w:id="50"/>
      <w:bookmarkEnd w:id="51"/>
      <w:bookmarkEnd w:id="52"/>
      <w:bookmarkEnd w:id="53"/>
      <w:bookmarkEnd w:id="54"/>
    </w:p>
    <w:p w14:paraId="7E263329" w14:textId="77777777" w:rsidR="00855CB7" w:rsidRPr="00F50E76" w:rsidRDefault="00B6273E">
      <w:pPr>
        <w:pStyle w:val="BodyText"/>
        <w:rPr>
          <w:snapToGrid w:val="0"/>
          <w:lang w:val="en-CA"/>
        </w:rPr>
      </w:pPr>
      <w:r>
        <w:rPr>
          <w:snapToGrid w:val="0"/>
          <w:lang w:val="en-CA"/>
        </w:rPr>
        <w:t>In this procedure</w:t>
      </w:r>
      <w:r w:rsidR="00E12F16">
        <w:rPr>
          <w:snapToGrid w:val="0"/>
          <w:lang w:val="en-CA"/>
        </w:rPr>
        <w:t xml:space="preserve"> we describe</w:t>
      </w:r>
      <w:r w:rsidR="00855CB7">
        <w:rPr>
          <w:snapToGrid w:val="0"/>
          <w:lang w:val="en-CA"/>
        </w:rPr>
        <w:t xml:space="preserve"> the process </w:t>
      </w:r>
      <w:r w:rsidR="00E12F16">
        <w:rPr>
          <w:snapToGrid w:val="0"/>
          <w:lang w:val="en-CA"/>
        </w:rPr>
        <w:t xml:space="preserve">to create and issue </w:t>
      </w:r>
      <w:r w:rsidR="00855CB7">
        <w:rPr>
          <w:i/>
          <w:snapToGrid w:val="0"/>
          <w:lang w:val="en-CA"/>
        </w:rPr>
        <w:t>preliminary</w:t>
      </w:r>
      <w:r w:rsidR="00855CB7">
        <w:rPr>
          <w:snapToGrid w:val="0"/>
          <w:lang w:val="en-CA"/>
        </w:rPr>
        <w:t xml:space="preserve"> and </w:t>
      </w:r>
      <w:r w:rsidR="00855CB7">
        <w:rPr>
          <w:i/>
          <w:snapToGrid w:val="0"/>
          <w:lang w:val="en-CA"/>
        </w:rPr>
        <w:t>final settlement statements</w:t>
      </w:r>
      <w:r w:rsidR="00855CB7">
        <w:rPr>
          <w:snapToGrid w:val="0"/>
          <w:lang w:val="en-CA"/>
        </w:rPr>
        <w:t xml:space="preserve"> for the </w:t>
      </w:r>
      <w:r w:rsidR="00855CB7">
        <w:rPr>
          <w:i/>
          <w:snapToGrid w:val="0"/>
          <w:lang w:val="en-CA"/>
        </w:rPr>
        <w:t>physical markets</w:t>
      </w:r>
      <w:r w:rsidR="00855CB7">
        <w:rPr>
          <w:snapToGrid w:val="0"/>
          <w:lang w:val="en-CA"/>
        </w:rPr>
        <w:t>.</w:t>
      </w:r>
      <w:r w:rsidR="00F50E76">
        <w:rPr>
          <w:snapToGrid w:val="0"/>
          <w:lang w:val="en-CA"/>
        </w:rPr>
        <w:t xml:space="preserve">  </w:t>
      </w:r>
      <w:r w:rsidR="00E12F16">
        <w:rPr>
          <w:lang w:val="en-CA"/>
        </w:rPr>
        <w:t>When we refer</w:t>
      </w:r>
      <w:r w:rsidR="00855CB7">
        <w:rPr>
          <w:lang w:val="en-CA"/>
        </w:rPr>
        <w:t xml:space="preserve"> to </w:t>
      </w:r>
      <w:r w:rsidR="00855CB7">
        <w:rPr>
          <w:i/>
          <w:lang w:val="en-CA"/>
        </w:rPr>
        <w:t xml:space="preserve">physical markets </w:t>
      </w:r>
      <w:r w:rsidR="00E12F16">
        <w:rPr>
          <w:lang w:val="en-CA"/>
        </w:rPr>
        <w:t xml:space="preserve">in this procedure, we are </w:t>
      </w:r>
      <w:r>
        <w:rPr>
          <w:lang w:val="en-CA"/>
        </w:rPr>
        <w:t>describing</w:t>
      </w:r>
      <w:r w:rsidR="00855CB7">
        <w:rPr>
          <w:lang w:val="en-CA"/>
        </w:rPr>
        <w:t>:</w:t>
      </w:r>
    </w:p>
    <w:p w14:paraId="1A85B431" w14:textId="77777777" w:rsidR="00855CB7" w:rsidRDefault="00C971B3">
      <w:pPr>
        <w:pStyle w:val="ListBullet"/>
        <w:rPr>
          <w:lang w:val="en-CA"/>
        </w:rPr>
      </w:pPr>
      <w:r>
        <w:rPr>
          <w:lang w:val="en-CA"/>
        </w:rPr>
        <w:t xml:space="preserve">the </w:t>
      </w:r>
      <w:r w:rsidR="00855CB7">
        <w:rPr>
          <w:i/>
          <w:lang w:val="en-CA"/>
        </w:rPr>
        <w:t>real-time market</w:t>
      </w:r>
      <w:r w:rsidR="00855CB7">
        <w:rPr>
          <w:lang w:val="en-CA"/>
        </w:rPr>
        <w:t xml:space="preserve"> for </w:t>
      </w:r>
      <w:r w:rsidR="00855CB7">
        <w:rPr>
          <w:i/>
          <w:lang w:val="en-CA"/>
        </w:rPr>
        <w:t>energy</w:t>
      </w:r>
      <w:r w:rsidR="00855CB7">
        <w:rPr>
          <w:lang w:val="en-CA"/>
        </w:rPr>
        <w:t xml:space="preserve"> (RTE), which consists of:</w:t>
      </w:r>
    </w:p>
    <w:p w14:paraId="165E7EDD" w14:textId="77777777" w:rsidR="00855CB7" w:rsidRDefault="00C971B3" w:rsidP="006B5440">
      <w:pPr>
        <w:pStyle w:val="ListBullet"/>
        <w:numPr>
          <w:ilvl w:val="0"/>
          <w:numId w:val="122"/>
        </w:numPr>
        <w:tabs>
          <w:tab w:val="num" w:pos="1224"/>
        </w:tabs>
        <w:rPr>
          <w:lang w:val="en-CA"/>
        </w:rPr>
      </w:pPr>
      <w:r>
        <w:rPr>
          <w:lang w:val="en-CA"/>
        </w:rPr>
        <w:t xml:space="preserve">a </w:t>
      </w:r>
      <w:r w:rsidR="00855CB7">
        <w:rPr>
          <w:lang w:val="en-CA"/>
        </w:rPr>
        <w:t xml:space="preserve">market for </w:t>
      </w:r>
      <w:r w:rsidR="00855CB7">
        <w:rPr>
          <w:i/>
          <w:lang w:val="en-CA"/>
        </w:rPr>
        <w:t>energy</w:t>
      </w:r>
      <w:r w:rsidR="00855CB7">
        <w:rPr>
          <w:lang w:val="en-CA"/>
        </w:rPr>
        <w:t>; and</w:t>
      </w:r>
    </w:p>
    <w:p w14:paraId="4235AD91" w14:textId="77777777" w:rsidR="00855CB7" w:rsidRDefault="00C971B3" w:rsidP="006B5440">
      <w:pPr>
        <w:pStyle w:val="ListBullet"/>
        <w:numPr>
          <w:ilvl w:val="0"/>
          <w:numId w:val="122"/>
        </w:numPr>
        <w:tabs>
          <w:tab w:val="num" w:pos="1224"/>
        </w:tabs>
        <w:rPr>
          <w:lang w:val="en-CA"/>
        </w:rPr>
      </w:pPr>
      <w:r>
        <w:rPr>
          <w:lang w:val="en-CA"/>
        </w:rPr>
        <w:t xml:space="preserve">a </w:t>
      </w:r>
      <w:r w:rsidR="00855CB7">
        <w:rPr>
          <w:lang w:val="en-CA"/>
        </w:rPr>
        <w:t xml:space="preserve">market for several classes of </w:t>
      </w:r>
      <w:r w:rsidR="00855CB7">
        <w:rPr>
          <w:i/>
          <w:lang w:val="en-CA"/>
        </w:rPr>
        <w:t>operating reserve</w:t>
      </w:r>
      <w:r w:rsidR="00855CB7">
        <w:rPr>
          <w:lang w:val="en-CA"/>
        </w:rPr>
        <w:t>;</w:t>
      </w:r>
    </w:p>
    <w:p w14:paraId="20505FE1" w14:textId="77777777" w:rsidR="00855CB7" w:rsidRDefault="00C971B3">
      <w:pPr>
        <w:pStyle w:val="ListBullet"/>
        <w:rPr>
          <w:lang w:val="en-CA"/>
        </w:rPr>
      </w:pPr>
      <w:r>
        <w:rPr>
          <w:i/>
          <w:lang w:val="en-CA"/>
        </w:rPr>
        <w:t xml:space="preserve">procurement </w:t>
      </w:r>
      <w:r w:rsidR="00855CB7">
        <w:rPr>
          <w:i/>
          <w:lang w:val="en-CA"/>
        </w:rPr>
        <w:t>markets</w:t>
      </w:r>
      <w:r w:rsidR="00855CB7">
        <w:rPr>
          <w:lang w:val="en-CA"/>
        </w:rPr>
        <w:t>, which consists of:</w:t>
      </w:r>
    </w:p>
    <w:p w14:paraId="467B0A2A" w14:textId="77777777" w:rsidR="00855CB7" w:rsidRDefault="00C971B3" w:rsidP="006B5440">
      <w:pPr>
        <w:pStyle w:val="ListBullet"/>
        <w:numPr>
          <w:ilvl w:val="0"/>
          <w:numId w:val="123"/>
        </w:numPr>
        <w:tabs>
          <w:tab w:val="num" w:pos="1224"/>
        </w:tabs>
        <w:rPr>
          <w:lang w:val="en-CA"/>
        </w:rPr>
      </w:pPr>
      <w:r>
        <w:rPr>
          <w:lang w:val="en-CA"/>
        </w:rPr>
        <w:t xml:space="preserve">markets </w:t>
      </w:r>
      <w:r w:rsidR="00855CB7">
        <w:rPr>
          <w:lang w:val="en-CA"/>
        </w:rPr>
        <w:t xml:space="preserve">for </w:t>
      </w:r>
      <w:r w:rsidR="00855CB7">
        <w:rPr>
          <w:i/>
          <w:lang w:val="en-CA"/>
        </w:rPr>
        <w:t>contracted ancillary services</w:t>
      </w:r>
      <w:r w:rsidR="00855CB7">
        <w:rPr>
          <w:lang w:val="en-CA"/>
        </w:rPr>
        <w:t xml:space="preserve">, including: </w:t>
      </w:r>
      <w:r w:rsidR="00855CB7">
        <w:rPr>
          <w:i/>
          <w:lang w:val="en-CA"/>
        </w:rPr>
        <w:t>reactive support</w:t>
      </w:r>
      <w:r w:rsidR="00855CB7">
        <w:rPr>
          <w:lang w:val="en-CA"/>
        </w:rPr>
        <w:t xml:space="preserve"> and </w:t>
      </w:r>
      <w:r w:rsidR="00DA3379" w:rsidRPr="00DA3379">
        <w:rPr>
          <w:i/>
          <w:lang w:val="en-CA"/>
        </w:rPr>
        <w:t>voltage control</w:t>
      </w:r>
      <w:r w:rsidR="00855CB7">
        <w:rPr>
          <w:lang w:val="en-CA"/>
        </w:rPr>
        <w:t xml:space="preserve">, </w:t>
      </w:r>
      <w:r w:rsidR="00DA3379" w:rsidRPr="00DA3379">
        <w:rPr>
          <w:i/>
          <w:lang w:val="en-CA"/>
        </w:rPr>
        <w:t>regulation</w:t>
      </w:r>
      <w:r w:rsidR="00855CB7" w:rsidRPr="007136F0">
        <w:rPr>
          <w:lang w:val="en-CA"/>
        </w:rPr>
        <w:t xml:space="preserve"> service</w:t>
      </w:r>
      <w:r w:rsidR="00855CB7">
        <w:rPr>
          <w:lang w:val="en-CA"/>
        </w:rPr>
        <w:t xml:space="preserve"> and </w:t>
      </w:r>
      <w:r w:rsidR="00855CB7">
        <w:rPr>
          <w:i/>
          <w:lang w:val="en-CA"/>
        </w:rPr>
        <w:t>black start capability</w:t>
      </w:r>
      <w:r w:rsidR="00855CB7">
        <w:rPr>
          <w:lang w:val="en-CA"/>
        </w:rPr>
        <w:t>;</w:t>
      </w:r>
    </w:p>
    <w:p w14:paraId="7941B569" w14:textId="77777777" w:rsidR="00855CB7" w:rsidRDefault="00C971B3" w:rsidP="006B5440">
      <w:pPr>
        <w:pStyle w:val="ListBullet"/>
        <w:numPr>
          <w:ilvl w:val="0"/>
          <w:numId w:val="123"/>
        </w:numPr>
        <w:tabs>
          <w:tab w:val="num" w:pos="1224"/>
        </w:tabs>
        <w:rPr>
          <w:lang w:val="en-CA"/>
        </w:rPr>
      </w:pPr>
      <w:r>
        <w:rPr>
          <w:lang w:val="en-CA"/>
        </w:rPr>
        <w:t xml:space="preserve">a </w:t>
      </w:r>
      <w:r w:rsidR="00855CB7">
        <w:rPr>
          <w:lang w:val="en-CA"/>
        </w:rPr>
        <w:t xml:space="preserve">market for </w:t>
      </w:r>
      <w:r w:rsidR="00855CB7">
        <w:rPr>
          <w:i/>
          <w:lang w:val="en-CA"/>
        </w:rPr>
        <w:t>reliability must-run contracts</w:t>
      </w:r>
      <w:r w:rsidR="00855CB7">
        <w:rPr>
          <w:lang w:val="en-CA"/>
        </w:rPr>
        <w:t>;</w:t>
      </w:r>
      <w:r w:rsidR="006F3596">
        <w:rPr>
          <w:lang w:val="en-CA"/>
        </w:rPr>
        <w:t xml:space="preserve"> and</w:t>
      </w:r>
    </w:p>
    <w:p w14:paraId="68D97A46" w14:textId="77777777" w:rsidR="00855CB7" w:rsidRDefault="00C971B3">
      <w:pPr>
        <w:pStyle w:val="ListBullet"/>
        <w:rPr>
          <w:lang w:val="en-CA"/>
        </w:rPr>
      </w:pPr>
      <w:r>
        <w:rPr>
          <w:lang w:val="en-CA"/>
        </w:rPr>
        <w:t xml:space="preserve">the </w:t>
      </w:r>
      <w:r w:rsidR="00855CB7">
        <w:rPr>
          <w:i/>
          <w:lang w:val="en-CA"/>
        </w:rPr>
        <w:t>transmission rights</w:t>
      </w:r>
      <w:r w:rsidR="00855CB7">
        <w:rPr>
          <w:lang w:val="en-CA"/>
        </w:rPr>
        <w:t xml:space="preserve"> (</w:t>
      </w:r>
      <w:r w:rsidR="00855CB7">
        <w:rPr>
          <w:i/>
          <w:lang w:val="en-CA"/>
        </w:rPr>
        <w:t>TR</w:t>
      </w:r>
      <w:r w:rsidR="00855CB7">
        <w:rPr>
          <w:lang w:val="en-CA"/>
        </w:rPr>
        <w:t>) market, except</w:t>
      </w:r>
      <w:r w:rsidR="00B6273E">
        <w:rPr>
          <w:lang w:val="en-CA"/>
        </w:rPr>
        <w:t xml:space="preserve"> for</w:t>
      </w:r>
      <w:r w:rsidR="00855CB7">
        <w:rPr>
          <w:lang w:val="en-CA"/>
        </w:rPr>
        <w:t xml:space="preserve"> </w:t>
      </w:r>
      <w:r w:rsidR="00855CB7">
        <w:rPr>
          <w:i/>
          <w:lang w:val="en-CA"/>
        </w:rPr>
        <w:t>settlement amounts</w:t>
      </w:r>
      <w:r w:rsidR="00855CB7">
        <w:rPr>
          <w:lang w:val="en-CA"/>
        </w:rPr>
        <w:t xml:space="preserve"> </w:t>
      </w:r>
      <w:r w:rsidR="00B6273E">
        <w:rPr>
          <w:lang w:val="en-CA"/>
        </w:rPr>
        <w:t xml:space="preserve">relating to </w:t>
      </w:r>
      <w:r w:rsidR="00855CB7">
        <w:rPr>
          <w:lang w:val="en-CA"/>
        </w:rPr>
        <w:t xml:space="preserve">the purchase or sale of a </w:t>
      </w:r>
      <w:r w:rsidR="00855CB7">
        <w:rPr>
          <w:i/>
          <w:lang w:val="en-CA"/>
        </w:rPr>
        <w:t>transmission right</w:t>
      </w:r>
      <w:r w:rsidR="00855CB7">
        <w:rPr>
          <w:lang w:val="en-CA"/>
        </w:rPr>
        <w:t xml:space="preserve"> in any round of a </w:t>
      </w:r>
      <w:r w:rsidR="00855CB7">
        <w:rPr>
          <w:i/>
          <w:lang w:val="en-CA"/>
        </w:rPr>
        <w:t>TR auction</w:t>
      </w:r>
      <w:r w:rsidR="00855CB7">
        <w:rPr>
          <w:rStyle w:val="FootnoteReference"/>
          <w:lang w:val="en-CA"/>
        </w:rPr>
        <w:footnoteReference w:id="2"/>
      </w:r>
      <w:r w:rsidR="00855CB7">
        <w:rPr>
          <w:lang w:val="en-CA"/>
        </w:rPr>
        <w:t>.</w:t>
      </w:r>
    </w:p>
    <w:p w14:paraId="7A34B674" w14:textId="77777777" w:rsidR="00855CB7" w:rsidRDefault="00DF11E7">
      <w:pPr>
        <w:pStyle w:val="BodyText"/>
        <w:rPr>
          <w:snapToGrid w:val="0"/>
          <w:lang w:val="en-CA"/>
        </w:rPr>
      </w:pPr>
      <w:r>
        <w:rPr>
          <w:snapToGrid w:val="0"/>
          <w:lang w:val="en-CA"/>
        </w:rPr>
        <w:t>In this</w:t>
      </w:r>
      <w:r w:rsidR="00855CB7">
        <w:rPr>
          <w:snapToGrid w:val="0"/>
          <w:lang w:val="en-CA"/>
        </w:rPr>
        <w:t xml:space="preserve"> procedure </w:t>
      </w:r>
      <w:r>
        <w:rPr>
          <w:snapToGrid w:val="0"/>
          <w:lang w:val="en-CA"/>
        </w:rPr>
        <w:t xml:space="preserve">we also describe </w:t>
      </w:r>
      <w:r w:rsidR="00855CB7">
        <w:rPr>
          <w:snapToGrid w:val="0"/>
          <w:lang w:val="en-CA"/>
        </w:rPr>
        <w:t xml:space="preserve">the process </w:t>
      </w:r>
      <w:r w:rsidR="00F50E76">
        <w:rPr>
          <w:snapToGrid w:val="0"/>
          <w:lang w:val="en-CA"/>
        </w:rPr>
        <w:t xml:space="preserve">to follow if you disagree with your </w:t>
      </w:r>
      <w:r w:rsidR="00855CB7">
        <w:rPr>
          <w:i/>
          <w:snapToGrid w:val="0"/>
          <w:lang w:val="en-CA"/>
        </w:rPr>
        <w:t>preliminary settlement statement</w:t>
      </w:r>
      <w:r w:rsidR="00E855E9">
        <w:rPr>
          <w:snapToGrid w:val="0"/>
          <w:lang w:val="en-CA"/>
        </w:rPr>
        <w:t xml:space="preserve"> – </w:t>
      </w:r>
      <w:r w:rsidR="006B0B4D">
        <w:rPr>
          <w:snapToGrid w:val="0"/>
          <w:lang w:val="en-CA"/>
        </w:rPr>
        <w:t xml:space="preserve">we will apply </w:t>
      </w:r>
      <w:r w:rsidR="00E855E9">
        <w:rPr>
          <w:snapToGrid w:val="0"/>
          <w:lang w:val="en-CA"/>
        </w:rPr>
        <w:t xml:space="preserve">any amendments </w:t>
      </w:r>
      <w:r w:rsidR="006B0B4D">
        <w:rPr>
          <w:snapToGrid w:val="0"/>
          <w:lang w:val="en-CA"/>
        </w:rPr>
        <w:t xml:space="preserve">necessary </w:t>
      </w:r>
      <w:r w:rsidR="00E855E9">
        <w:rPr>
          <w:snapToGrid w:val="0"/>
          <w:lang w:val="en-CA"/>
        </w:rPr>
        <w:t>to your</w:t>
      </w:r>
      <w:r w:rsidR="00F50E76">
        <w:rPr>
          <w:snapToGrid w:val="0"/>
          <w:lang w:val="en-CA"/>
        </w:rPr>
        <w:t xml:space="preserve"> </w:t>
      </w:r>
      <w:r w:rsidR="00855CB7">
        <w:rPr>
          <w:i/>
          <w:snapToGrid w:val="0"/>
          <w:lang w:val="en-CA"/>
        </w:rPr>
        <w:t>final settlement statement</w:t>
      </w:r>
      <w:bookmarkStart w:id="55" w:name="_Toc479138115"/>
      <w:r w:rsidR="00855CB7">
        <w:rPr>
          <w:snapToGrid w:val="0"/>
          <w:lang w:val="en-CA"/>
        </w:rPr>
        <w:t>.</w:t>
      </w:r>
    </w:p>
    <w:p w14:paraId="534876FA" w14:textId="77777777" w:rsidR="00855CB7" w:rsidRDefault="00855CB7">
      <w:pPr>
        <w:pStyle w:val="Heading2"/>
        <w:rPr>
          <w:lang w:val="en-CA"/>
        </w:rPr>
      </w:pPr>
      <w:bookmarkStart w:id="56" w:name="_Toc483275407"/>
      <w:bookmarkStart w:id="57" w:name="_Toc32038424"/>
      <w:bookmarkStart w:id="58" w:name="_Toc175383871"/>
      <w:bookmarkStart w:id="59" w:name="_Toc400369491"/>
      <w:bookmarkStart w:id="60" w:name="_Toc35796317"/>
      <w:bookmarkStart w:id="61" w:name="_Toc79657918"/>
      <w:r>
        <w:rPr>
          <w:lang w:val="en-CA"/>
        </w:rPr>
        <w:t>Scope</w:t>
      </w:r>
      <w:bookmarkEnd w:id="55"/>
      <w:bookmarkEnd w:id="56"/>
      <w:bookmarkEnd w:id="57"/>
      <w:bookmarkEnd w:id="58"/>
      <w:bookmarkEnd w:id="59"/>
      <w:bookmarkEnd w:id="60"/>
      <w:bookmarkEnd w:id="61"/>
    </w:p>
    <w:p w14:paraId="1E0931F5" w14:textId="77777777" w:rsidR="00855CB7" w:rsidRDefault="004F3FE2">
      <w:pPr>
        <w:pStyle w:val="BodyText"/>
        <w:rPr>
          <w:lang w:val="en-CA"/>
        </w:rPr>
      </w:pPr>
      <w:r>
        <w:rPr>
          <w:lang w:val="en-CA"/>
        </w:rPr>
        <w:t>This document</w:t>
      </w:r>
      <w:r w:rsidR="00F77418">
        <w:rPr>
          <w:lang w:val="en-CA"/>
        </w:rPr>
        <w:t xml:space="preserve"> provide</w:t>
      </w:r>
      <w:r>
        <w:rPr>
          <w:lang w:val="en-CA"/>
        </w:rPr>
        <w:t>s</w:t>
      </w:r>
      <w:r w:rsidR="00F77418">
        <w:rPr>
          <w:lang w:val="en-CA"/>
        </w:rPr>
        <w:t xml:space="preserve"> </w:t>
      </w:r>
      <w:r w:rsidR="00855CB7">
        <w:rPr>
          <w:lang w:val="en-CA"/>
        </w:rPr>
        <w:t xml:space="preserve">a summary of the </w:t>
      </w:r>
      <w:r w:rsidR="00F77418">
        <w:rPr>
          <w:lang w:val="en-CA"/>
        </w:rPr>
        <w:t xml:space="preserve">interfaces between parties and the </w:t>
      </w:r>
      <w:r w:rsidR="00855CB7">
        <w:rPr>
          <w:lang w:val="en-CA"/>
        </w:rPr>
        <w:t xml:space="preserve">steps involved in </w:t>
      </w:r>
      <w:r w:rsidR="00855CB7">
        <w:rPr>
          <w:snapToGrid w:val="0"/>
          <w:lang w:val="en-CA"/>
        </w:rPr>
        <w:t xml:space="preserve">issuing </w:t>
      </w:r>
      <w:r w:rsidR="00855CB7">
        <w:rPr>
          <w:i/>
          <w:snapToGrid w:val="0"/>
          <w:lang w:val="en-CA"/>
        </w:rPr>
        <w:t xml:space="preserve">preliminary </w:t>
      </w:r>
      <w:r w:rsidR="00855CB7">
        <w:rPr>
          <w:snapToGrid w:val="0"/>
          <w:lang w:val="en-CA"/>
        </w:rPr>
        <w:t xml:space="preserve">and </w:t>
      </w:r>
      <w:r w:rsidR="00855CB7">
        <w:rPr>
          <w:i/>
          <w:snapToGrid w:val="0"/>
          <w:lang w:val="en-CA"/>
        </w:rPr>
        <w:t>final settlement statements</w:t>
      </w:r>
      <w:r w:rsidR="00855CB7">
        <w:rPr>
          <w:snapToGrid w:val="0"/>
          <w:lang w:val="en-CA"/>
        </w:rPr>
        <w:t xml:space="preserve"> for the </w:t>
      </w:r>
      <w:r w:rsidR="00855CB7">
        <w:rPr>
          <w:i/>
          <w:snapToGrid w:val="0"/>
          <w:lang w:val="en-CA"/>
        </w:rPr>
        <w:t>physical markets</w:t>
      </w:r>
      <w:r w:rsidR="00855CB7">
        <w:rPr>
          <w:lang w:val="en-CA"/>
        </w:rPr>
        <w:t xml:space="preserve">. </w:t>
      </w:r>
      <w:r w:rsidR="00C53981">
        <w:rPr>
          <w:lang w:val="en-CA"/>
        </w:rPr>
        <w:t xml:space="preserve"> </w:t>
      </w:r>
      <w:r w:rsidR="00855CB7">
        <w:rPr>
          <w:lang w:val="en-CA"/>
        </w:rPr>
        <w:t xml:space="preserve">The procedural work flows and steps serve as a roadmap and reflect the requirements set out in the </w:t>
      </w:r>
      <w:r w:rsidR="00855CB7">
        <w:rPr>
          <w:i/>
          <w:lang w:val="en-CA"/>
        </w:rPr>
        <w:t>market rules</w:t>
      </w:r>
      <w:r w:rsidR="00855CB7">
        <w:rPr>
          <w:lang w:val="en-CA"/>
        </w:rPr>
        <w:t xml:space="preserve"> and </w:t>
      </w:r>
      <w:r w:rsidR="00855CB7">
        <w:rPr>
          <w:i/>
          <w:lang w:val="en-CA"/>
        </w:rPr>
        <w:t>IESO</w:t>
      </w:r>
      <w:r w:rsidR="00855CB7">
        <w:rPr>
          <w:lang w:val="en-CA"/>
        </w:rPr>
        <w:t xml:space="preserve"> policies and standards.</w:t>
      </w:r>
    </w:p>
    <w:p w14:paraId="61CE5560" w14:textId="77777777" w:rsidR="0070207D" w:rsidRDefault="0070207D">
      <w:pPr>
        <w:pStyle w:val="BodyText"/>
        <w:rPr>
          <w:lang w:val="en-CA"/>
        </w:rPr>
      </w:pPr>
      <w:r>
        <w:rPr>
          <w:lang w:val="en-CA"/>
        </w:rPr>
        <w:t>This procedure contains three parts:</w:t>
      </w:r>
    </w:p>
    <w:p w14:paraId="43AE27C1" w14:textId="77777777" w:rsidR="0070207D" w:rsidRDefault="00855CB7" w:rsidP="003853C6">
      <w:pPr>
        <w:pStyle w:val="BodyText"/>
        <w:numPr>
          <w:ilvl w:val="0"/>
          <w:numId w:val="34"/>
        </w:numPr>
        <w:rPr>
          <w:lang w:val="en-CA"/>
        </w:rPr>
      </w:pPr>
      <w:r>
        <w:rPr>
          <w:lang w:val="en-CA"/>
        </w:rPr>
        <w:t>Section</w:t>
      </w:r>
      <w:r w:rsidR="006D5E50">
        <w:rPr>
          <w:lang w:val="en-CA"/>
        </w:rPr>
        <w:t xml:space="preserve"> 1 contains a summary of </w:t>
      </w:r>
      <w:r w:rsidR="006D5E50" w:rsidRPr="006D5E50">
        <w:rPr>
          <w:i/>
          <w:lang w:val="en-CA"/>
        </w:rPr>
        <w:t>settlement statements</w:t>
      </w:r>
      <w:r w:rsidR="0070207D">
        <w:rPr>
          <w:lang w:val="en-CA"/>
        </w:rPr>
        <w:t>;</w:t>
      </w:r>
    </w:p>
    <w:p w14:paraId="0B37F5D4" w14:textId="77777777" w:rsidR="0070207D" w:rsidRDefault="00494BD0" w:rsidP="003853C6">
      <w:pPr>
        <w:pStyle w:val="BodyText"/>
        <w:numPr>
          <w:ilvl w:val="0"/>
          <w:numId w:val="34"/>
        </w:numPr>
        <w:rPr>
          <w:lang w:val="en-CA"/>
        </w:rPr>
      </w:pPr>
      <w:r>
        <w:rPr>
          <w:lang w:val="en-CA"/>
        </w:rPr>
        <w:t xml:space="preserve">Section 2 describes the </w:t>
      </w:r>
      <w:r w:rsidR="0070207D">
        <w:rPr>
          <w:lang w:val="en-CA"/>
        </w:rPr>
        <w:t>main actions of the procedure in the procedural work flow; and</w:t>
      </w:r>
    </w:p>
    <w:p w14:paraId="7CDE69E7" w14:textId="77777777" w:rsidR="0070207D" w:rsidRDefault="00494BD0" w:rsidP="003853C6">
      <w:pPr>
        <w:pStyle w:val="BodyText"/>
        <w:numPr>
          <w:ilvl w:val="0"/>
          <w:numId w:val="34"/>
        </w:numPr>
        <w:rPr>
          <w:lang w:val="en-CA"/>
        </w:rPr>
      </w:pPr>
      <w:r>
        <w:rPr>
          <w:lang w:val="en-CA"/>
        </w:rPr>
        <w:t xml:space="preserve">Section 3 presents the </w:t>
      </w:r>
      <w:r w:rsidR="0070207D">
        <w:rPr>
          <w:lang w:val="en-CA"/>
        </w:rPr>
        <w:t>procedural steps.</w:t>
      </w:r>
    </w:p>
    <w:p w14:paraId="7B91C357" w14:textId="77777777" w:rsidR="00855CB7" w:rsidRDefault="00855CB7">
      <w:pPr>
        <w:pStyle w:val="BodyText"/>
        <w:rPr>
          <w:b/>
          <w:i/>
          <w:lang w:val="en-CA"/>
        </w:rPr>
      </w:pPr>
      <w:r>
        <w:rPr>
          <w:lang w:val="en-CA"/>
        </w:rPr>
        <w:t>Th</w:t>
      </w:r>
      <w:r w:rsidR="00841612">
        <w:rPr>
          <w:lang w:val="en-CA"/>
        </w:rPr>
        <w:t>is procedure applies</w:t>
      </w:r>
      <w:r>
        <w:rPr>
          <w:lang w:val="en-CA"/>
        </w:rPr>
        <w:t xml:space="preserve"> only to the </w:t>
      </w:r>
      <w:r>
        <w:rPr>
          <w:i/>
          <w:lang w:val="en-CA"/>
        </w:rPr>
        <w:t>IESO’</w:t>
      </w:r>
      <w:r w:rsidRPr="00841612">
        <w:rPr>
          <w:lang w:val="en-CA"/>
        </w:rPr>
        <w:t>s</w:t>
      </w:r>
      <w:r>
        <w:rPr>
          <w:i/>
          <w:lang w:val="en-CA"/>
        </w:rPr>
        <w:t xml:space="preserve"> physical markets</w:t>
      </w:r>
      <w:r>
        <w:rPr>
          <w:lang w:val="en-CA"/>
        </w:rPr>
        <w:t xml:space="preserve">.  The procedures for </w:t>
      </w:r>
      <w:r w:rsidR="00DA3379" w:rsidRPr="00DA3379">
        <w:rPr>
          <w:i/>
          <w:lang w:val="en-CA"/>
        </w:rPr>
        <w:t>IESO</w:t>
      </w:r>
      <w:r>
        <w:rPr>
          <w:lang w:val="en-CA"/>
        </w:rPr>
        <w:t xml:space="preserve"> financial market</w:t>
      </w:r>
      <w:r w:rsidR="00841612">
        <w:rPr>
          <w:lang w:val="en-CA"/>
        </w:rPr>
        <w:t xml:space="preserve"> </w:t>
      </w:r>
      <w:r w:rsidR="00841612">
        <w:rPr>
          <w:i/>
          <w:lang w:val="en-CA"/>
        </w:rPr>
        <w:t xml:space="preserve">settlement </w:t>
      </w:r>
      <w:r w:rsidR="00DA3379" w:rsidRPr="00DA3379">
        <w:rPr>
          <w:i/>
          <w:lang w:val="en-CA"/>
        </w:rPr>
        <w:t>statements</w:t>
      </w:r>
      <w:r>
        <w:rPr>
          <w:lang w:val="en-CA"/>
        </w:rPr>
        <w:t xml:space="preserve"> are provided in “</w:t>
      </w:r>
      <w:r w:rsidR="00F97B47">
        <w:rPr>
          <w:lang w:val="en-CA"/>
        </w:rPr>
        <w:t xml:space="preserve">Market Manual 5: Settlements, </w:t>
      </w:r>
      <w:r>
        <w:rPr>
          <w:lang w:val="en-CA"/>
        </w:rPr>
        <w:t>Part 5.7: Financial Market</w:t>
      </w:r>
      <w:r w:rsidR="00F97B47">
        <w:rPr>
          <w:lang w:val="en-CA"/>
        </w:rPr>
        <w:t>s</w:t>
      </w:r>
      <w:r>
        <w:rPr>
          <w:lang w:val="en-CA"/>
        </w:rPr>
        <w:t xml:space="preserve"> Settlement Statements”.</w:t>
      </w:r>
    </w:p>
    <w:p w14:paraId="21FFEDB3" w14:textId="77777777" w:rsidR="00054139" w:rsidRDefault="00054139">
      <w:pPr>
        <w:spacing w:after="0"/>
        <w:rPr>
          <w:rFonts w:ascii="Arial" w:hAnsi="Arial"/>
          <w:b/>
          <w:sz w:val="32"/>
          <w:lang w:val="en-CA"/>
        </w:rPr>
      </w:pPr>
      <w:bookmarkStart w:id="62" w:name="_Toc479138116"/>
      <w:bookmarkStart w:id="63" w:name="_Toc483275408"/>
      <w:bookmarkStart w:id="64" w:name="_Toc32038425"/>
      <w:bookmarkStart w:id="65" w:name="_Toc175383872"/>
      <w:bookmarkStart w:id="66" w:name="_Toc400369492"/>
      <w:r>
        <w:rPr>
          <w:lang w:val="en-CA"/>
        </w:rPr>
        <w:br w:type="page"/>
      </w:r>
    </w:p>
    <w:p w14:paraId="724EA0B3" w14:textId="77777777" w:rsidR="00274BEB" w:rsidRDefault="00855CB7">
      <w:pPr>
        <w:pStyle w:val="Heading2"/>
        <w:spacing w:before="360"/>
        <w:rPr>
          <w:lang w:val="en-CA"/>
        </w:rPr>
      </w:pPr>
      <w:bookmarkStart w:id="67" w:name="_Toc35796318"/>
      <w:bookmarkStart w:id="68" w:name="_Toc79657919"/>
      <w:r>
        <w:rPr>
          <w:lang w:val="en-CA"/>
        </w:rPr>
        <w:lastRenderedPageBreak/>
        <w:t xml:space="preserve">Overview of the </w:t>
      </w:r>
      <w:r w:rsidRPr="009E501B">
        <w:rPr>
          <w:i/>
          <w:lang w:val="en-CA"/>
        </w:rPr>
        <w:t>Settlement Statement</w:t>
      </w:r>
      <w:r>
        <w:rPr>
          <w:lang w:val="en-CA"/>
        </w:rPr>
        <w:t xml:space="preserve"> Process</w:t>
      </w:r>
      <w:bookmarkEnd w:id="62"/>
      <w:bookmarkEnd w:id="63"/>
      <w:bookmarkEnd w:id="64"/>
      <w:bookmarkEnd w:id="65"/>
      <w:bookmarkEnd w:id="66"/>
      <w:bookmarkEnd w:id="67"/>
      <w:bookmarkEnd w:id="68"/>
    </w:p>
    <w:p w14:paraId="4D77E777" w14:textId="77777777" w:rsidR="00855CB7" w:rsidRDefault="00054BFB">
      <w:pPr>
        <w:pStyle w:val="BodyText"/>
        <w:rPr>
          <w:lang w:val="en-CA"/>
        </w:rPr>
      </w:pPr>
      <w:r>
        <w:rPr>
          <w:lang w:val="en-CA"/>
        </w:rPr>
        <w:t xml:space="preserve">We cover the </w:t>
      </w:r>
      <w:r w:rsidR="00855CB7">
        <w:rPr>
          <w:lang w:val="en-CA"/>
        </w:rPr>
        <w:t xml:space="preserve">following topics </w:t>
      </w:r>
      <w:r w:rsidR="009E501B">
        <w:rPr>
          <w:lang w:val="en-CA"/>
        </w:rPr>
        <w:t>that</w:t>
      </w:r>
      <w:r>
        <w:rPr>
          <w:lang w:val="en-CA"/>
        </w:rPr>
        <w:t xml:space="preserve"> comprise </w:t>
      </w:r>
      <w:r w:rsidR="00855CB7">
        <w:rPr>
          <w:lang w:val="en-CA"/>
        </w:rPr>
        <w:t xml:space="preserve">the </w:t>
      </w:r>
      <w:r w:rsidR="00855CB7">
        <w:rPr>
          <w:i/>
          <w:lang w:val="en-CA"/>
        </w:rPr>
        <w:t>settlement statements</w:t>
      </w:r>
      <w:r w:rsidR="00855CB7">
        <w:rPr>
          <w:lang w:val="en-CA"/>
        </w:rPr>
        <w:t xml:space="preserve"> process:</w:t>
      </w:r>
    </w:p>
    <w:p w14:paraId="0BF7A490" w14:textId="77777777" w:rsidR="00BB5B39" w:rsidRDefault="00C971B3">
      <w:pPr>
        <w:pStyle w:val="ListBullet"/>
        <w:rPr>
          <w:lang w:val="en-CA"/>
        </w:rPr>
      </w:pPr>
      <w:r>
        <w:rPr>
          <w:lang w:val="en-CA"/>
        </w:rPr>
        <w:t xml:space="preserve">issuing </w:t>
      </w:r>
      <w:r w:rsidR="00855CB7">
        <w:rPr>
          <w:lang w:val="en-CA"/>
        </w:rPr>
        <w:t xml:space="preserve">and retrieving </w:t>
      </w:r>
      <w:r w:rsidR="00855CB7">
        <w:rPr>
          <w:i/>
          <w:lang w:val="en-CA"/>
        </w:rPr>
        <w:t>preliminary settlement statements</w:t>
      </w:r>
      <w:r w:rsidR="00BB5B39">
        <w:rPr>
          <w:lang w:val="en-CA"/>
        </w:rPr>
        <w:t>;</w:t>
      </w:r>
    </w:p>
    <w:p w14:paraId="3670E41B" w14:textId="77777777" w:rsidR="00BB5B39" w:rsidRDefault="00C971B3">
      <w:pPr>
        <w:pStyle w:val="ListBullet"/>
        <w:rPr>
          <w:lang w:val="en-CA"/>
        </w:rPr>
      </w:pPr>
      <w:r>
        <w:rPr>
          <w:lang w:val="en-CA"/>
        </w:rPr>
        <w:t xml:space="preserve">interpreting </w:t>
      </w:r>
      <w:r w:rsidR="00855CB7">
        <w:rPr>
          <w:lang w:val="en-CA"/>
        </w:rPr>
        <w:t xml:space="preserve">the </w:t>
      </w:r>
      <w:r w:rsidR="00855CB7">
        <w:rPr>
          <w:i/>
          <w:lang w:val="en-CA"/>
        </w:rPr>
        <w:t>settlement statement</w:t>
      </w:r>
      <w:r w:rsidR="00BB5B39">
        <w:rPr>
          <w:i/>
          <w:lang w:val="en-CA"/>
        </w:rPr>
        <w:t>s</w:t>
      </w:r>
      <w:r w:rsidR="00BB5B39">
        <w:rPr>
          <w:lang w:val="en-CA"/>
        </w:rPr>
        <w:t xml:space="preserve"> and</w:t>
      </w:r>
      <w:r w:rsidR="00855CB7">
        <w:rPr>
          <w:lang w:val="en-CA"/>
        </w:rPr>
        <w:t xml:space="preserve"> data files</w:t>
      </w:r>
      <w:r w:rsidR="00BB5B39">
        <w:rPr>
          <w:lang w:val="en-CA"/>
        </w:rPr>
        <w:t>;</w:t>
      </w:r>
    </w:p>
    <w:p w14:paraId="23EBB7B4" w14:textId="77777777" w:rsidR="00BB5B39" w:rsidRDefault="00C971B3">
      <w:pPr>
        <w:pStyle w:val="ListBullet"/>
        <w:rPr>
          <w:lang w:val="en-CA"/>
        </w:rPr>
      </w:pPr>
      <w:r>
        <w:rPr>
          <w:lang w:val="en-CA"/>
        </w:rPr>
        <w:t xml:space="preserve">interpreting </w:t>
      </w:r>
      <w:r w:rsidR="00BB5B39">
        <w:rPr>
          <w:lang w:val="en-CA"/>
        </w:rPr>
        <w:t xml:space="preserve">the </w:t>
      </w:r>
      <w:r w:rsidR="00DA3379" w:rsidRPr="00DA3379">
        <w:rPr>
          <w:i/>
          <w:lang w:val="en-CA"/>
        </w:rPr>
        <w:t>transmission services charge</w:t>
      </w:r>
      <w:r w:rsidR="00BB5B39">
        <w:rPr>
          <w:lang w:val="en-CA"/>
        </w:rPr>
        <w:t xml:space="preserve"> data files;</w:t>
      </w:r>
    </w:p>
    <w:p w14:paraId="24F32A57" w14:textId="77777777" w:rsidR="00BB5B39" w:rsidRDefault="00C971B3">
      <w:pPr>
        <w:pStyle w:val="ListBullet"/>
        <w:rPr>
          <w:lang w:val="en-CA"/>
        </w:rPr>
      </w:pPr>
      <w:r>
        <w:rPr>
          <w:lang w:val="en-CA"/>
        </w:rPr>
        <w:t xml:space="preserve">steps </w:t>
      </w:r>
      <w:r w:rsidR="00494BD0">
        <w:rPr>
          <w:lang w:val="en-CA"/>
        </w:rPr>
        <w:t>to</w:t>
      </w:r>
      <w:r w:rsidR="00855CB7">
        <w:rPr>
          <w:lang w:val="en-CA"/>
        </w:rPr>
        <w:t xml:space="preserve"> submit queries</w:t>
      </w:r>
      <w:r w:rsidR="00BB5B39">
        <w:rPr>
          <w:lang w:val="en-CA"/>
        </w:rPr>
        <w:t>;</w:t>
      </w:r>
    </w:p>
    <w:p w14:paraId="1FAC1D0E" w14:textId="77777777" w:rsidR="00855CB7" w:rsidRDefault="00490C5D">
      <w:pPr>
        <w:pStyle w:val="ListBullet"/>
        <w:rPr>
          <w:lang w:val="en-CA"/>
        </w:rPr>
      </w:pPr>
      <w:r>
        <w:rPr>
          <w:lang w:val="en-CA"/>
        </w:rPr>
        <w:t xml:space="preserve">steps </w:t>
      </w:r>
      <w:r w:rsidR="00494BD0">
        <w:rPr>
          <w:lang w:val="en-CA"/>
        </w:rPr>
        <w:t>to</w:t>
      </w:r>
      <w:r w:rsidR="00BB5B39">
        <w:rPr>
          <w:lang w:val="en-CA"/>
        </w:rPr>
        <w:t xml:space="preserve"> </w:t>
      </w:r>
      <w:r w:rsidR="00855CB7">
        <w:rPr>
          <w:lang w:val="en-CA"/>
        </w:rPr>
        <w:t xml:space="preserve">submit a </w:t>
      </w:r>
      <w:r w:rsidR="00855CB7">
        <w:rPr>
          <w:i/>
          <w:lang w:val="en-CA"/>
        </w:rPr>
        <w:t>notice of disagreement</w:t>
      </w:r>
      <w:r w:rsidR="00406DA2">
        <w:rPr>
          <w:lang w:val="en-CA"/>
        </w:rPr>
        <w:t>; and</w:t>
      </w:r>
      <w:r w:rsidR="00526C35">
        <w:rPr>
          <w:lang w:val="en-CA"/>
        </w:rPr>
        <w:t>.</w:t>
      </w:r>
    </w:p>
    <w:p w14:paraId="28E36692" w14:textId="77777777" w:rsidR="00274BEB" w:rsidRDefault="00490C5D">
      <w:pPr>
        <w:pStyle w:val="ListBullet"/>
        <w:spacing w:after="120"/>
        <w:rPr>
          <w:lang w:val="en-CA"/>
        </w:rPr>
      </w:pPr>
      <w:r>
        <w:rPr>
          <w:lang w:val="en-CA"/>
        </w:rPr>
        <w:t xml:space="preserve">issuing </w:t>
      </w:r>
      <w:r w:rsidR="00855CB7">
        <w:rPr>
          <w:lang w:val="en-CA"/>
        </w:rPr>
        <w:t xml:space="preserve">and retrieving </w:t>
      </w:r>
      <w:r w:rsidR="00855CB7">
        <w:rPr>
          <w:i/>
          <w:lang w:val="en-CA"/>
        </w:rPr>
        <w:t>final settlement statements</w:t>
      </w:r>
      <w:r w:rsidR="00406DA2">
        <w:rPr>
          <w:lang w:val="en-CA"/>
        </w:rPr>
        <w:t>.</w:t>
      </w:r>
    </w:p>
    <w:p w14:paraId="36E2C9A1" w14:textId="77777777" w:rsidR="00274BEB" w:rsidRDefault="004F3FE2">
      <w:pPr>
        <w:pStyle w:val="ListBullet"/>
        <w:numPr>
          <w:ilvl w:val="0"/>
          <w:numId w:val="0"/>
        </w:numPr>
        <w:spacing w:before="120"/>
        <w:rPr>
          <w:lang w:val="en-CA"/>
        </w:rPr>
      </w:pPr>
      <w:r w:rsidRPr="004F3FE2">
        <w:rPr>
          <w:lang w:val="en-CA"/>
        </w:rPr>
        <w:t>A</w:t>
      </w:r>
      <w:r w:rsidR="00855CB7" w:rsidRPr="004F3FE2">
        <w:rPr>
          <w:lang w:val="en-CA"/>
        </w:rPr>
        <w:t xml:space="preserve"> timeline showing the key activities </w:t>
      </w:r>
      <w:r w:rsidR="00155AF3" w:rsidRPr="004F3FE2">
        <w:rPr>
          <w:lang w:val="en-CA"/>
        </w:rPr>
        <w:t>in issuing</w:t>
      </w:r>
      <w:r w:rsidR="00406DA2" w:rsidRPr="004F3FE2">
        <w:rPr>
          <w:lang w:val="en-CA"/>
        </w:rPr>
        <w:t xml:space="preserve"> </w:t>
      </w:r>
      <w:r w:rsidR="00855CB7" w:rsidRPr="004F3FE2">
        <w:rPr>
          <w:lang w:val="en-CA"/>
        </w:rPr>
        <w:t xml:space="preserve">a </w:t>
      </w:r>
      <w:r w:rsidR="00DA3379" w:rsidRPr="00DA3379">
        <w:rPr>
          <w:i/>
          <w:lang w:val="en-CA"/>
        </w:rPr>
        <w:t>settlement statement</w:t>
      </w:r>
      <w:r w:rsidR="00855CB7" w:rsidRPr="004F3FE2">
        <w:rPr>
          <w:lang w:val="en-CA"/>
        </w:rPr>
        <w:t xml:space="preserve"> for the </w:t>
      </w:r>
      <w:r w:rsidR="00DA3379" w:rsidRPr="00DA3379">
        <w:rPr>
          <w:i/>
          <w:lang w:val="en-CA"/>
        </w:rPr>
        <w:t>physical markets</w:t>
      </w:r>
      <w:r w:rsidR="00855CB7" w:rsidRPr="004F3FE2">
        <w:rPr>
          <w:lang w:val="en-CA"/>
        </w:rPr>
        <w:t xml:space="preserve"> </w:t>
      </w:r>
      <w:r>
        <w:rPr>
          <w:lang w:val="en-CA"/>
        </w:rPr>
        <w:t xml:space="preserve">is available </w:t>
      </w:r>
      <w:r w:rsidR="00855CB7" w:rsidRPr="004F3FE2">
        <w:rPr>
          <w:lang w:val="en-CA"/>
        </w:rPr>
        <w:t>in “Part 5.0: Settlements Overview”.</w:t>
      </w:r>
    </w:p>
    <w:p w14:paraId="355DF01E" w14:textId="77777777" w:rsidR="00855CB7" w:rsidRDefault="00855CB7">
      <w:pPr>
        <w:pStyle w:val="Heading3"/>
        <w:rPr>
          <w:lang w:val="en-CA"/>
        </w:rPr>
      </w:pPr>
      <w:bookmarkStart w:id="69" w:name="_Toc32038426"/>
      <w:bookmarkStart w:id="70" w:name="_Toc175383873"/>
      <w:bookmarkStart w:id="71" w:name="_Toc400369493"/>
      <w:bookmarkStart w:id="72" w:name="_Toc35796319"/>
      <w:bookmarkStart w:id="73" w:name="_Toc79657920"/>
      <w:r>
        <w:rPr>
          <w:lang w:val="en-CA"/>
        </w:rPr>
        <w:t xml:space="preserve">Issuing the </w:t>
      </w:r>
      <w:r w:rsidRPr="009E501B">
        <w:rPr>
          <w:i/>
          <w:lang w:val="en-CA"/>
        </w:rPr>
        <w:t>Preliminary Settlement Statement</w:t>
      </w:r>
      <w:bookmarkEnd w:id="69"/>
      <w:bookmarkEnd w:id="70"/>
      <w:bookmarkEnd w:id="71"/>
      <w:bookmarkEnd w:id="72"/>
      <w:bookmarkEnd w:id="73"/>
    </w:p>
    <w:p w14:paraId="6FD18570" w14:textId="77777777" w:rsidR="00855CB7" w:rsidRDefault="009E501B">
      <w:pPr>
        <w:pStyle w:val="BodyText"/>
        <w:rPr>
          <w:lang w:val="en-CA"/>
        </w:rPr>
      </w:pPr>
      <w:r>
        <w:rPr>
          <w:lang w:val="en-CA"/>
        </w:rPr>
        <w:t>We issue a</w:t>
      </w:r>
      <w:r w:rsidR="00855CB7">
        <w:rPr>
          <w:lang w:val="en-CA"/>
        </w:rPr>
        <w:t xml:space="preserve"> </w:t>
      </w:r>
      <w:r w:rsidR="00855CB7">
        <w:rPr>
          <w:i/>
          <w:lang w:val="en-CA"/>
        </w:rPr>
        <w:t xml:space="preserve">preliminary settlement statement </w:t>
      </w:r>
      <w:r w:rsidR="00855CB7">
        <w:rPr>
          <w:lang w:val="en-CA"/>
        </w:rPr>
        <w:t xml:space="preserve">for each </w:t>
      </w:r>
      <w:r w:rsidR="00855CB7">
        <w:rPr>
          <w:i/>
          <w:lang w:val="en-CA"/>
        </w:rPr>
        <w:t>trading day</w:t>
      </w:r>
      <w:r w:rsidR="00855CB7">
        <w:rPr>
          <w:lang w:val="en-CA"/>
        </w:rPr>
        <w:t xml:space="preserve"> in the </w:t>
      </w:r>
      <w:r w:rsidR="00855CB7">
        <w:rPr>
          <w:i/>
          <w:lang w:val="en-CA"/>
        </w:rPr>
        <w:t>physical markets</w:t>
      </w:r>
      <w:r w:rsidR="00855CB7">
        <w:rPr>
          <w:lang w:val="en-CA"/>
        </w:rPr>
        <w:t xml:space="preserve"> on the date specified in the </w:t>
      </w:r>
      <w:r w:rsidR="00855CB7">
        <w:rPr>
          <w:i/>
          <w:lang w:val="en-CA"/>
        </w:rPr>
        <w:t xml:space="preserve">IESO Settlement Schedule </w:t>
      </w:r>
      <w:r w:rsidR="00155AF3">
        <w:rPr>
          <w:i/>
          <w:lang w:val="en-CA"/>
        </w:rPr>
        <w:t>and</w:t>
      </w:r>
      <w:r w:rsidR="00855CB7">
        <w:rPr>
          <w:i/>
          <w:lang w:val="en-CA"/>
        </w:rPr>
        <w:t xml:space="preserve"> Payments Calendars (SSPC</w:t>
      </w:r>
      <w:r w:rsidR="00855CB7" w:rsidRPr="00B17474">
        <w:rPr>
          <w:lang w:val="en-CA"/>
        </w:rPr>
        <w:t>s</w:t>
      </w:r>
      <w:r w:rsidR="00855CB7">
        <w:rPr>
          <w:lang w:val="en-CA"/>
        </w:rPr>
        <w:t>)</w:t>
      </w:r>
      <w:r w:rsidR="00855CB7">
        <w:rPr>
          <w:i/>
          <w:lang w:val="en-CA"/>
        </w:rPr>
        <w:t xml:space="preserve">. </w:t>
      </w:r>
      <w:r w:rsidR="00500564" w:rsidRPr="00500564">
        <w:rPr>
          <w:lang w:val="en-CA"/>
        </w:rPr>
        <w:t>See</w:t>
      </w:r>
      <w:r w:rsidRPr="00500564">
        <w:rPr>
          <w:lang w:val="en-CA"/>
        </w:rPr>
        <w:t xml:space="preserve"> </w:t>
      </w:r>
      <w:r w:rsidR="00855CB7">
        <w:rPr>
          <w:lang w:val="en-CA"/>
        </w:rPr>
        <w:t>“Part 5.1: Settlement Schedule and Payments Calendars (</w:t>
      </w:r>
      <w:r w:rsidR="00855CB7">
        <w:rPr>
          <w:i/>
          <w:lang w:val="en-CA"/>
        </w:rPr>
        <w:t>SSPC</w:t>
      </w:r>
      <w:r w:rsidR="00855CB7">
        <w:rPr>
          <w:lang w:val="en-CA"/>
        </w:rPr>
        <w:t>s)”</w:t>
      </w:r>
      <w:r>
        <w:rPr>
          <w:lang w:val="en-CA"/>
        </w:rPr>
        <w:t xml:space="preserve"> for details on the </w:t>
      </w:r>
      <w:r>
        <w:rPr>
          <w:i/>
          <w:lang w:val="en-CA"/>
        </w:rPr>
        <w:t>SSPC</w:t>
      </w:r>
      <w:r w:rsidRPr="00B17474">
        <w:rPr>
          <w:lang w:val="en-CA"/>
        </w:rPr>
        <w:t>s</w:t>
      </w:r>
      <w:r>
        <w:rPr>
          <w:lang w:val="en-CA"/>
        </w:rPr>
        <w:t>.</w:t>
      </w:r>
    </w:p>
    <w:p w14:paraId="53F91205" w14:textId="77777777" w:rsidR="00855CB7" w:rsidRDefault="009E501B">
      <w:pPr>
        <w:pStyle w:val="BodyText"/>
        <w:rPr>
          <w:lang w:val="en-CA"/>
        </w:rPr>
      </w:pPr>
      <w:r>
        <w:rPr>
          <w:lang w:val="en-CA"/>
        </w:rPr>
        <w:t>Current</w:t>
      </w:r>
      <w:r w:rsidR="007502C9">
        <w:rPr>
          <w:lang w:val="en-CA"/>
        </w:rPr>
        <w:t>ly</w:t>
      </w:r>
      <w:r>
        <w:rPr>
          <w:lang w:val="en-CA"/>
        </w:rPr>
        <w:t xml:space="preserve">, we </w:t>
      </w:r>
      <w:r w:rsidR="00855CB7">
        <w:rPr>
          <w:lang w:val="en-CA"/>
        </w:rPr>
        <w:t xml:space="preserve">issue </w:t>
      </w:r>
      <w:r>
        <w:rPr>
          <w:i/>
          <w:lang w:val="en-CA"/>
        </w:rPr>
        <w:t>preliminary</w:t>
      </w:r>
      <w:r w:rsidRPr="009E501B">
        <w:rPr>
          <w:i/>
          <w:lang w:val="en-CA"/>
        </w:rPr>
        <w:t xml:space="preserve"> settlement statements</w:t>
      </w:r>
      <w:r>
        <w:rPr>
          <w:lang w:val="en-CA"/>
        </w:rPr>
        <w:t xml:space="preserve"> </w:t>
      </w:r>
      <w:r w:rsidR="00855CB7">
        <w:rPr>
          <w:lang w:val="en-CA"/>
        </w:rPr>
        <w:t xml:space="preserve">10 </w:t>
      </w:r>
      <w:r w:rsidR="00855CB7">
        <w:rPr>
          <w:i/>
          <w:lang w:val="en-CA"/>
        </w:rPr>
        <w:t>business days</w:t>
      </w:r>
      <w:r w:rsidR="00855CB7">
        <w:rPr>
          <w:lang w:val="en-CA"/>
        </w:rPr>
        <w:t xml:space="preserve"> following the </w:t>
      </w:r>
      <w:r w:rsidR="00855CB7">
        <w:rPr>
          <w:i/>
          <w:lang w:val="en-CA"/>
        </w:rPr>
        <w:t>trading day</w:t>
      </w:r>
      <w:r w:rsidR="00855CB7">
        <w:rPr>
          <w:lang w:val="en-CA"/>
        </w:rPr>
        <w:t xml:space="preserve">. </w:t>
      </w:r>
      <w:r w:rsidRPr="009E501B">
        <w:rPr>
          <w:lang w:val="en-CA"/>
        </w:rPr>
        <w:t>They</w:t>
      </w:r>
      <w:r w:rsidR="00855CB7">
        <w:rPr>
          <w:lang w:val="en-CA"/>
        </w:rPr>
        <w:t xml:space="preserve"> are generated </w:t>
      </w:r>
      <w:r>
        <w:rPr>
          <w:lang w:val="en-CA"/>
        </w:rPr>
        <w:t xml:space="preserve">automatically </w:t>
      </w:r>
      <w:r w:rsidR="00855CB7">
        <w:rPr>
          <w:lang w:val="en-CA"/>
        </w:rPr>
        <w:t xml:space="preserve">by </w:t>
      </w:r>
      <w:r>
        <w:rPr>
          <w:lang w:val="en-CA"/>
        </w:rPr>
        <w:t xml:space="preserve">our </w:t>
      </w:r>
      <w:r w:rsidR="00855CB7">
        <w:rPr>
          <w:lang w:val="en-CA"/>
        </w:rPr>
        <w:t>Commercial Reconciliation System</w:t>
      </w:r>
      <w:r>
        <w:rPr>
          <w:lang w:val="en-CA"/>
        </w:rPr>
        <w:t xml:space="preserve"> (CRS)</w:t>
      </w:r>
      <w:r w:rsidR="00855CB7">
        <w:rPr>
          <w:lang w:val="en-CA"/>
        </w:rPr>
        <w:t xml:space="preserve"> and </w:t>
      </w:r>
      <w:r w:rsidR="00500564">
        <w:rPr>
          <w:lang w:val="en-CA"/>
        </w:rPr>
        <w:t>are</w:t>
      </w:r>
      <w:r w:rsidR="00855CB7">
        <w:rPr>
          <w:lang w:val="en-CA"/>
        </w:rPr>
        <w:t xml:space="preserve"> available </w:t>
      </w:r>
      <w:r w:rsidR="00C16823">
        <w:rPr>
          <w:lang w:val="en-CA"/>
        </w:rPr>
        <w:t xml:space="preserve">to you </w:t>
      </w:r>
      <w:r w:rsidR="00500564">
        <w:rPr>
          <w:lang w:val="en-CA"/>
        </w:rPr>
        <w:t xml:space="preserve">by 17:00 EST </w:t>
      </w:r>
      <w:r w:rsidR="00C16823">
        <w:rPr>
          <w:lang w:val="en-CA"/>
        </w:rPr>
        <w:t>on the issue date</w:t>
      </w:r>
      <w:r w:rsidR="00855CB7">
        <w:rPr>
          <w:lang w:val="en-CA"/>
        </w:rPr>
        <w:t xml:space="preserve">. </w:t>
      </w:r>
      <w:r w:rsidR="00C53981">
        <w:rPr>
          <w:lang w:val="en-CA"/>
        </w:rPr>
        <w:t xml:space="preserve"> </w:t>
      </w:r>
      <w:r>
        <w:rPr>
          <w:lang w:val="en-CA"/>
        </w:rPr>
        <w:t>A sample timeline to produce and issue a</w:t>
      </w:r>
      <w:r w:rsidR="00855CB7">
        <w:rPr>
          <w:lang w:val="en-CA"/>
        </w:rPr>
        <w:t xml:space="preserve"> </w:t>
      </w:r>
      <w:r w:rsidR="00855CB7">
        <w:rPr>
          <w:i/>
          <w:lang w:val="en-CA"/>
        </w:rPr>
        <w:t>preliminary settlement statement</w:t>
      </w:r>
      <w:r w:rsidR="00855CB7">
        <w:rPr>
          <w:lang w:val="en-CA"/>
        </w:rPr>
        <w:t xml:space="preserve"> is </w:t>
      </w:r>
      <w:r>
        <w:rPr>
          <w:lang w:val="en-CA"/>
        </w:rPr>
        <w:t>shown</w:t>
      </w:r>
      <w:r w:rsidR="00855CB7">
        <w:rPr>
          <w:lang w:val="en-CA"/>
        </w:rPr>
        <w:t xml:space="preserve"> in Figure</w:t>
      </w:r>
      <w:r w:rsidR="007649B8">
        <w:rPr>
          <w:lang w:val="en-CA"/>
        </w:rPr>
        <w:t xml:space="preserve"> </w:t>
      </w:r>
      <w:r w:rsidR="00855CB7">
        <w:rPr>
          <w:lang w:val="en-CA"/>
        </w:rPr>
        <w:t>1</w:t>
      </w:r>
      <w:r w:rsidR="00855CB7">
        <w:rPr>
          <w:lang w:val="en-CA"/>
        </w:rPr>
        <w:noBreakHyphen/>
        <w:t>1.</w:t>
      </w:r>
    </w:p>
    <w:p w14:paraId="15353F3B" w14:textId="77777777" w:rsidR="00855CB7" w:rsidRDefault="00855CB7">
      <w:pPr>
        <w:pStyle w:val="BodyText"/>
        <w:tabs>
          <w:tab w:val="left" w:pos="540"/>
        </w:tabs>
        <w:rPr>
          <w:lang w:val="en-CA"/>
        </w:rPr>
      </w:pPr>
      <w:r>
        <w:rPr>
          <w:lang w:val="en-CA"/>
        </w:rPr>
        <w:t xml:space="preserve">On some </w:t>
      </w:r>
      <w:r>
        <w:rPr>
          <w:i/>
          <w:lang w:val="en-CA"/>
        </w:rPr>
        <w:t>business days</w:t>
      </w:r>
      <w:r>
        <w:rPr>
          <w:lang w:val="en-CA"/>
        </w:rPr>
        <w:t xml:space="preserve"> </w:t>
      </w:r>
      <w:r w:rsidR="009E501B">
        <w:rPr>
          <w:lang w:val="en-CA"/>
        </w:rPr>
        <w:t xml:space="preserve">we may issue </w:t>
      </w:r>
      <w:r>
        <w:rPr>
          <w:lang w:val="en-CA"/>
        </w:rPr>
        <w:t xml:space="preserve">more than one </w:t>
      </w:r>
      <w:r>
        <w:rPr>
          <w:i/>
          <w:lang w:val="en-CA"/>
        </w:rPr>
        <w:t>settlement statement</w:t>
      </w:r>
      <w:r>
        <w:rPr>
          <w:lang w:val="en-CA"/>
        </w:rPr>
        <w:t xml:space="preserve"> for a given </w:t>
      </w:r>
      <w:r>
        <w:rPr>
          <w:i/>
          <w:lang w:val="en-CA"/>
        </w:rPr>
        <w:t>market participant</w:t>
      </w:r>
      <w:r>
        <w:rPr>
          <w:lang w:val="en-CA"/>
        </w:rPr>
        <w:t xml:space="preserve">. </w:t>
      </w:r>
      <w:r w:rsidR="00C53981">
        <w:rPr>
          <w:lang w:val="en-CA"/>
        </w:rPr>
        <w:t xml:space="preserve"> </w:t>
      </w:r>
      <w:r>
        <w:rPr>
          <w:lang w:val="en-CA"/>
        </w:rPr>
        <w:t xml:space="preserve">This is because </w:t>
      </w:r>
      <w:r>
        <w:rPr>
          <w:i/>
          <w:lang w:val="en-CA"/>
        </w:rPr>
        <w:t>physical markets</w:t>
      </w:r>
      <w:r>
        <w:rPr>
          <w:lang w:val="en-CA"/>
        </w:rPr>
        <w:t xml:space="preserve"> trading occurs on Saturdays, Sundays and holidays</w:t>
      </w:r>
      <w:r w:rsidR="00500564">
        <w:rPr>
          <w:lang w:val="en-CA"/>
        </w:rPr>
        <w:t>,</w:t>
      </w:r>
      <w:r>
        <w:rPr>
          <w:lang w:val="en-CA"/>
        </w:rPr>
        <w:t xml:space="preserve"> which are not considered </w:t>
      </w:r>
      <w:r>
        <w:rPr>
          <w:i/>
          <w:lang w:val="en-CA"/>
        </w:rPr>
        <w:t>business days</w:t>
      </w:r>
      <w:r>
        <w:rPr>
          <w:lang w:val="en-CA"/>
        </w:rPr>
        <w:t xml:space="preserve"> under the </w:t>
      </w:r>
      <w:r>
        <w:rPr>
          <w:i/>
          <w:lang w:val="en-CA"/>
        </w:rPr>
        <w:t>market rules</w:t>
      </w:r>
      <w:r>
        <w:rPr>
          <w:lang w:val="en-CA"/>
        </w:rPr>
        <w:t xml:space="preserve">. </w:t>
      </w:r>
      <w:r w:rsidR="00C53981">
        <w:rPr>
          <w:lang w:val="en-CA"/>
        </w:rPr>
        <w:t xml:space="preserve"> </w:t>
      </w:r>
      <w:r w:rsidR="00C16823">
        <w:rPr>
          <w:lang w:val="en-CA"/>
        </w:rPr>
        <w:t>We issue s</w:t>
      </w:r>
      <w:r>
        <w:rPr>
          <w:lang w:val="en-CA"/>
        </w:rPr>
        <w:t xml:space="preserve">eparate </w:t>
      </w:r>
      <w:r>
        <w:rPr>
          <w:i/>
          <w:lang w:val="en-CA"/>
        </w:rPr>
        <w:t>preliminary settlement statements</w:t>
      </w:r>
      <w:r>
        <w:rPr>
          <w:lang w:val="en-CA"/>
        </w:rPr>
        <w:t xml:space="preserve"> for each </w:t>
      </w:r>
      <w:r>
        <w:rPr>
          <w:i/>
          <w:lang w:val="en-CA"/>
        </w:rPr>
        <w:t>trading day</w:t>
      </w:r>
      <w:r>
        <w:rPr>
          <w:lang w:val="en-CA"/>
        </w:rPr>
        <w:t xml:space="preserve"> even if </w:t>
      </w:r>
      <w:r>
        <w:rPr>
          <w:i/>
          <w:lang w:val="en-CA"/>
        </w:rPr>
        <w:t>settlement statements</w:t>
      </w:r>
      <w:r>
        <w:rPr>
          <w:lang w:val="en-CA"/>
        </w:rPr>
        <w:t xml:space="preserve"> </w:t>
      </w:r>
      <w:r w:rsidR="00C16823">
        <w:rPr>
          <w:lang w:val="en-CA"/>
        </w:rPr>
        <w:t xml:space="preserve">for two or more </w:t>
      </w:r>
      <w:r w:rsidR="00C16823" w:rsidRPr="00C16823">
        <w:rPr>
          <w:i/>
          <w:lang w:val="en-CA"/>
        </w:rPr>
        <w:t>trading days</w:t>
      </w:r>
      <w:r w:rsidR="00C16823">
        <w:rPr>
          <w:lang w:val="en-CA"/>
        </w:rPr>
        <w:t xml:space="preserve"> </w:t>
      </w:r>
      <w:r>
        <w:rPr>
          <w:lang w:val="en-CA"/>
        </w:rPr>
        <w:t xml:space="preserve">are </w:t>
      </w:r>
      <w:r w:rsidR="00C16823">
        <w:rPr>
          <w:lang w:val="en-CA"/>
        </w:rPr>
        <w:t xml:space="preserve">issued </w:t>
      </w:r>
      <w:r>
        <w:rPr>
          <w:lang w:val="en-CA"/>
        </w:rPr>
        <w:t xml:space="preserve">on the same </w:t>
      </w:r>
      <w:r>
        <w:rPr>
          <w:i/>
          <w:lang w:val="en-CA"/>
        </w:rPr>
        <w:t>business day</w:t>
      </w:r>
      <w:r>
        <w:rPr>
          <w:lang w:val="en-CA"/>
        </w:rPr>
        <w:t>.</w:t>
      </w:r>
    </w:p>
    <w:p w14:paraId="36C7861D" w14:textId="62FD7E48" w:rsidR="00855CB7" w:rsidRDefault="004F719F">
      <w:pPr>
        <w:pStyle w:val="Figure"/>
        <w:rPr>
          <w:noProof w:val="0"/>
          <w:lang w:val="en-CA"/>
        </w:rPr>
      </w:pPr>
      <w:r>
        <w:rPr>
          <w:lang w:val="en-CA"/>
        </w:rPr>
        <w:drawing>
          <wp:inline distT="0" distB="0" distL="0" distR="0" wp14:anchorId="1885FA56" wp14:editId="08994DEF">
            <wp:extent cx="5715000" cy="3055620"/>
            <wp:effectExtent l="0" t="0" r="0" b="0"/>
            <wp:docPr id="3" name="Picture 3" descr="Diagram of the Preliminary Settlement Statement Time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15000" cy="3055620"/>
                    </a:xfrm>
                    <a:prstGeom prst="rect">
                      <a:avLst/>
                    </a:prstGeom>
                  </pic:spPr>
                </pic:pic>
              </a:graphicData>
            </a:graphic>
          </wp:inline>
        </w:drawing>
      </w:r>
    </w:p>
    <w:p w14:paraId="1F70CB8C" w14:textId="77777777" w:rsidR="00855CB7" w:rsidRDefault="00855CB7">
      <w:pPr>
        <w:pStyle w:val="FigureCaption"/>
        <w:rPr>
          <w:lang w:val="en-CA"/>
        </w:rPr>
      </w:pPr>
      <w:bookmarkStart w:id="74" w:name="_Toc175639711"/>
      <w:bookmarkStart w:id="75" w:name="_Toc400369564"/>
      <w:bookmarkStart w:id="76" w:name="_Toc400371925"/>
      <w:bookmarkStart w:id="77" w:name="_Toc35796402"/>
      <w:bookmarkStart w:id="78" w:name="_Toc79657875"/>
      <w:r>
        <w:rPr>
          <w:lang w:val="en-CA"/>
        </w:rPr>
        <w:t xml:space="preserve">Figure 1–1: </w:t>
      </w:r>
      <w:r w:rsidRPr="00FB0EE6">
        <w:rPr>
          <w:i/>
          <w:lang w:val="en-CA"/>
        </w:rPr>
        <w:t>Preliminary Settlement Statement</w:t>
      </w:r>
      <w:r>
        <w:rPr>
          <w:lang w:val="en-CA"/>
        </w:rPr>
        <w:t xml:space="preserve"> Timeline</w:t>
      </w:r>
      <w:bookmarkEnd w:id="74"/>
      <w:bookmarkEnd w:id="75"/>
      <w:bookmarkEnd w:id="76"/>
      <w:bookmarkEnd w:id="77"/>
      <w:bookmarkEnd w:id="78"/>
    </w:p>
    <w:p w14:paraId="453D7880" w14:textId="77777777" w:rsidR="00C16823" w:rsidRDefault="00855CB7">
      <w:pPr>
        <w:pStyle w:val="BodyText"/>
        <w:rPr>
          <w:lang w:val="en-CA"/>
        </w:rPr>
      </w:pPr>
      <w:r>
        <w:rPr>
          <w:lang w:val="en-CA"/>
        </w:rPr>
        <w:lastRenderedPageBreak/>
        <w:t xml:space="preserve">The </w:t>
      </w:r>
      <w:r>
        <w:rPr>
          <w:i/>
          <w:lang w:val="en-CA"/>
        </w:rPr>
        <w:t>preliminary settlement statement</w:t>
      </w:r>
      <w:r>
        <w:rPr>
          <w:lang w:val="en-CA"/>
        </w:rPr>
        <w:t xml:space="preserve"> </w:t>
      </w:r>
      <w:r w:rsidR="00C16823">
        <w:rPr>
          <w:lang w:val="en-CA"/>
        </w:rPr>
        <w:t>has two parts:</w:t>
      </w:r>
    </w:p>
    <w:p w14:paraId="62449AA5" w14:textId="77777777" w:rsidR="00C16823" w:rsidRDefault="00490C5D" w:rsidP="003853C6">
      <w:pPr>
        <w:pStyle w:val="BodyText"/>
        <w:numPr>
          <w:ilvl w:val="0"/>
          <w:numId w:val="35"/>
        </w:numPr>
        <w:rPr>
          <w:lang w:val="en-CA"/>
        </w:rPr>
      </w:pPr>
      <w:r>
        <w:rPr>
          <w:lang w:val="en-CA"/>
        </w:rPr>
        <w:t xml:space="preserve">a </w:t>
      </w:r>
      <w:r w:rsidR="00855CB7">
        <w:rPr>
          <w:i/>
          <w:lang w:val="en-CA"/>
        </w:rPr>
        <w:t>settlement statement</w:t>
      </w:r>
      <w:r w:rsidR="00855CB7">
        <w:rPr>
          <w:lang w:val="en-CA"/>
        </w:rPr>
        <w:t xml:space="preserve"> file</w:t>
      </w:r>
      <w:r w:rsidR="00500564">
        <w:rPr>
          <w:lang w:val="en-CA"/>
        </w:rPr>
        <w:t>:</w:t>
      </w:r>
      <w:r w:rsidR="0059657F" w:rsidRPr="0059657F">
        <w:rPr>
          <w:lang w:val="en-CA"/>
        </w:rPr>
        <w:t xml:space="preserve"> </w:t>
      </w:r>
      <w:r w:rsidR="0059657F">
        <w:rPr>
          <w:lang w:val="en-CA"/>
        </w:rPr>
        <w:t xml:space="preserve">This file contains the </w:t>
      </w:r>
      <w:r w:rsidR="0059657F">
        <w:rPr>
          <w:i/>
          <w:lang w:val="en-CA"/>
        </w:rPr>
        <w:t>settlement amounts</w:t>
      </w:r>
      <w:r w:rsidR="0059657F">
        <w:rPr>
          <w:rStyle w:val="FootnoteReference"/>
          <w:lang w:val="en-CA"/>
        </w:rPr>
        <w:footnoteReference w:id="3"/>
      </w:r>
      <w:r w:rsidR="0059657F">
        <w:rPr>
          <w:lang w:val="en-CA"/>
        </w:rPr>
        <w:t xml:space="preserve"> (credit or debit) for </w:t>
      </w:r>
      <w:r w:rsidR="0022043E">
        <w:rPr>
          <w:lang w:val="en-CA"/>
        </w:rPr>
        <w:t>your</w:t>
      </w:r>
      <w:r w:rsidR="0059657F">
        <w:rPr>
          <w:lang w:val="en-CA"/>
        </w:rPr>
        <w:t xml:space="preserve"> activities in the </w:t>
      </w:r>
      <w:r w:rsidR="0059657F">
        <w:rPr>
          <w:i/>
          <w:lang w:val="en-CA"/>
        </w:rPr>
        <w:t>physical markets</w:t>
      </w:r>
      <w:r w:rsidR="0022043E" w:rsidRPr="0022043E">
        <w:rPr>
          <w:lang w:val="en-CA"/>
        </w:rPr>
        <w:t>.</w:t>
      </w:r>
      <w:r w:rsidR="0022043E">
        <w:rPr>
          <w:lang w:val="en-CA"/>
        </w:rPr>
        <w:t xml:space="preserve">  It also includes your </w:t>
      </w:r>
      <w:r w:rsidR="0059657F">
        <w:rPr>
          <w:lang w:val="en-CA"/>
        </w:rPr>
        <w:t xml:space="preserve">charges </w:t>
      </w:r>
      <w:r w:rsidR="0022043E">
        <w:rPr>
          <w:lang w:val="en-CA"/>
        </w:rPr>
        <w:t xml:space="preserve">for </w:t>
      </w:r>
      <w:r w:rsidR="0059657F">
        <w:rPr>
          <w:i/>
          <w:lang w:val="en-CA"/>
        </w:rPr>
        <w:t>transmission services</w:t>
      </w:r>
      <w:r w:rsidR="0059657F">
        <w:rPr>
          <w:lang w:val="en-CA"/>
        </w:rPr>
        <w:t xml:space="preserve">, which </w:t>
      </w:r>
      <w:r w:rsidR="0022043E">
        <w:rPr>
          <w:lang w:val="en-CA"/>
        </w:rPr>
        <w:t xml:space="preserve">we collect </w:t>
      </w:r>
      <w:r w:rsidR="0059657F">
        <w:rPr>
          <w:lang w:val="en-CA"/>
        </w:rPr>
        <w:t xml:space="preserve">from </w:t>
      </w:r>
      <w:r w:rsidR="0059657F">
        <w:rPr>
          <w:i/>
          <w:lang w:val="en-CA"/>
        </w:rPr>
        <w:t>market participants</w:t>
      </w:r>
      <w:r w:rsidR="0059657F">
        <w:rPr>
          <w:lang w:val="en-CA"/>
        </w:rPr>
        <w:t xml:space="preserve"> on behalf of t</w:t>
      </w:r>
      <w:r w:rsidR="0022043E">
        <w:rPr>
          <w:lang w:val="en-CA"/>
        </w:rPr>
        <w:t xml:space="preserve">he transmission companies. </w:t>
      </w:r>
      <w:r w:rsidR="00C53981">
        <w:rPr>
          <w:lang w:val="en-CA"/>
        </w:rPr>
        <w:t xml:space="preserve"> </w:t>
      </w:r>
      <w:r w:rsidR="0022043E">
        <w:rPr>
          <w:lang w:val="en-CA"/>
        </w:rPr>
        <w:t>T</w:t>
      </w:r>
      <w:r w:rsidR="0059657F">
        <w:rPr>
          <w:lang w:val="en-CA"/>
        </w:rPr>
        <w:t xml:space="preserve">he </w:t>
      </w:r>
      <w:r w:rsidR="0059657F">
        <w:rPr>
          <w:i/>
          <w:lang w:val="en-CA"/>
        </w:rPr>
        <w:t>settlement statement</w:t>
      </w:r>
      <w:r w:rsidR="0059657F">
        <w:rPr>
          <w:lang w:val="en-CA"/>
        </w:rPr>
        <w:t xml:space="preserve"> file </w:t>
      </w:r>
      <w:r w:rsidR="0022043E">
        <w:rPr>
          <w:lang w:val="en-CA"/>
        </w:rPr>
        <w:t xml:space="preserve">may also contain other charges </w:t>
      </w:r>
      <w:r w:rsidR="0059657F">
        <w:rPr>
          <w:lang w:val="en-CA"/>
        </w:rPr>
        <w:t xml:space="preserve">as required by </w:t>
      </w:r>
      <w:r w:rsidR="0059657F" w:rsidRPr="007136F0">
        <w:rPr>
          <w:lang w:val="en-CA"/>
        </w:rPr>
        <w:t>regulations</w:t>
      </w:r>
      <w:r w:rsidR="00500564">
        <w:rPr>
          <w:lang w:val="en-CA"/>
        </w:rPr>
        <w:t>.</w:t>
      </w:r>
    </w:p>
    <w:p w14:paraId="7CED851A" w14:textId="77777777" w:rsidR="00855CB7" w:rsidRPr="0022043E" w:rsidRDefault="00490C5D" w:rsidP="003853C6">
      <w:pPr>
        <w:pStyle w:val="BodyText"/>
        <w:numPr>
          <w:ilvl w:val="0"/>
          <w:numId w:val="35"/>
        </w:numPr>
        <w:rPr>
          <w:lang w:val="en-CA"/>
        </w:rPr>
      </w:pPr>
      <w:r>
        <w:rPr>
          <w:lang w:val="en-CA"/>
        </w:rPr>
        <w:t xml:space="preserve">a </w:t>
      </w:r>
      <w:r w:rsidR="00855CB7">
        <w:rPr>
          <w:lang w:val="en-CA"/>
        </w:rPr>
        <w:t>companion data file</w:t>
      </w:r>
      <w:r w:rsidR="00500564">
        <w:rPr>
          <w:lang w:val="en-CA"/>
        </w:rPr>
        <w:t>:</w:t>
      </w:r>
      <w:r w:rsidR="00855CB7">
        <w:rPr>
          <w:lang w:val="en-CA"/>
        </w:rPr>
        <w:t xml:space="preserve"> Th</w:t>
      </w:r>
      <w:r w:rsidR="0022043E">
        <w:rPr>
          <w:lang w:val="en-CA"/>
        </w:rPr>
        <w:t>is</w:t>
      </w:r>
      <w:r w:rsidR="00855CB7">
        <w:rPr>
          <w:lang w:val="en-CA"/>
        </w:rPr>
        <w:t xml:space="preserve"> file includes </w:t>
      </w:r>
      <w:r w:rsidR="00855CB7">
        <w:rPr>
          <w:i/>
          <w:lang w:val="en-CA"/>
        </w:rPr>
        <w:t>physical bilateral contract data</w:t>
      </w:r>
      <w:r w:rsidR="00855CB7">
        <w:rPr>
          <w:lang w:val="en-CA"/>
        </w:rPr>
        <w:t xml:space="preserve">, zonal prices, schedules, and </w:t>
      </w:r>
      <w:r w:rsidR="00855CB7">
        <w:rPr>
          <w:i/>
          <w:lang w:val="en-CA"/>
        </w:rPr>
        <w:t xml:space="preserve">bids </w:t>
      </w:r>
      <w:r w:rsidR="0022043E" w:rsidRPr="00654284">
        <w:rPr>
          <w:lang w:val="en-CA"/>
        </w:rPr>
        <w:t>and</w:t>
      </w:r>
      <w:r w:rsidR="00855CB7">
        <w:rPr>
          <w:i/>
          <w:lang w:val="en-CA"/>
        </w:rPr>
        <w:t xml:space="preserve"> offers</w:t>
      </w:r>
      <w:r w:rsidR="00855CB7">
        <w:rPr>
          <w:lang w:val="en-CA"/>
        </w:rPr>
        <w:t>.  Th</w:t>
      </w:r>
      <w:r w:rsidR="0022043E">
        <w:rPr>
          <w:lang w:val="en-CA"/>
        </w:rPr>
        <w:t xml:space="preserve">is file also includes </w:t>
      </w:r>
      <w:r w:rsidR="00855CB7">
        <w:rPr>
          <w:lang w:val="en-CA"/>
        </w:rPr>
        <w:t xml:space="preserve">a number of data files relating to the </w:t>
      </w:r>
      <w:r w:rsidR="00855CB7">
        <w:rPr>
          <w:i/>
          <w:lang w:val="en-CA"/>
        </w:rPr>
        <w:t>transmission services</w:t>
      </w:r>
      <w:r w:rsidR="00855CB7">
        <w:rPr>
          <w:lang w:val="en-CA"/>
        </w:rPr>
        <w:t xml:space="preserve"> </w:t>
      </w:r>
      <w:r w:rsidR="00855CB7">
        <w:rPr>
          <w:i/>
          <w:lang w:val="en-CA"/>
        </w:rPr>
        <w:t>settlement</w:t>
      </w:r>
      <w:r w:rsidR="00855CB7">
        <w:rPr>
          <w:lang w:val="en-CA"/>
        </w:rPr>
        <w:t xml:space="preserve"> charges that </w:t>
      </w:r>
      <w:r w:rsidR="0022043E">
        <w:rPr>
          <w:lang w:val="en-CA"/>
        </w:rPr>
        <w:t>we make</w:t>
      </w:r>
      <w:r w:rsidR="00855CB7">
        <w:rPr>
          <w:lang w:val="en-CA"/>
        </w:rPr>
        <w:t xml:space="preserve"> available to </w:t>
      </w:r>
      <w:r w:rsidR="00855CB7">
        <w:rPr>
          <w:i/>
          <w:lang w:val="en-CA"/>
        </w:rPr>
        <w:t>transmission customers</w:t>
      </w:r>
      <w:r w:rsidR="00855CB7">
        <w:rPr>
          <w:lang w:val="en-CA"/>
        </w:rPr>
        <w:t xml:space="preserve"> and </w:t>
      </w:r>
      <w:r w:rsidR="00855CB7">
        <w:rPr>
          <w:i/>
          <w:lang w:val="en-CA"/>
        </w:rPr>
        <w:t>transmitters</w:t>
      </w:r>
      <w:r w:rsidR="00855CB7">
        <w:rPr>
          <w:lang w:val="en-CA"/>
        </w:rPr>
        <w:t>, as described below.  An optional data measurement file is also available.</w:t>
      </w:r>
    </w:p>
    <w:p w14:paraId="3F183C7E" w14:textId="77777777" w:rsidR="00855CB7" w:rsidRDefault="007D2E04">
      <w:pPr>
        <w:pStyle w:val="BodyText"/>
        <w:rPr>
          <w:b/>
          <w:lang w:val="en-CA"/>
        </w:rPr>
      </w:pPr>
      <w:r w:rsidRPr="007D2E04">
        <w:rPr>
          <w:lang w:val="en-CA"/>
        </w:rPr>
        <w:t>It is your responsibility to</w:t>
      </w:r>
      <w:r>
        <w:rPr>
          <w:i/>
          <w:lang w:val="en-CA"/>
        </w:rPr>
        <w:t xml:space="preserve"> </w:t>
      </w:r>
      <w:r w:rsidR="00855CB7">
        <w:rPr>
          <w:lang w:val="en-CA"/>
        </w:rPr>
        <w:t>retriev</w:t>
      </w:r>
      <w:r>
        <w:rPr>
          <w:lang w:val="en-CA"/>
        </w:rPr>
        <w:t>e</w:t>
      </w:r>
      <w:r w:rsidR="00855CB7">
        <w:rPr>
          <w:lang w:val="en-CA"/>
        </w:rPr>
        <w:t xml:space="preserve"> the appropriate files</w:t>
      </w:r>
      <w:r w:rsidR="00C43F27">
        <w:rPr>
          <w:lang w:val="en-CA"/>
        </w:rPr>
        <w:t xml:space="preserve"> from</w:t>
      </w:r>
      <w:r w:rsidR="005E5E7F">
        <w:rPr>
          <w:lang w:val="en-CA"/>
        </w:rPr>
        <w:t xml:space="preserve"> </w:t>
      </w:r>
      <w:r w:rsidR="00B50881">
        <w:rPr>
          <w:lang w:val="en-CA"/>
        </w:rPr>
        <w:t>the IESO Reports site</w:t>
      </w:r>
      <w:r w:rsidR="00855CB7">
        <w:rPr>
          <w:lang w:val="en-CA"/>
        </w:rPr>
        <w:t xml:space="preserve">. </w:t>
      </w:r>
      <w:r w:rsidR="0019286B">
        <w:rPr>
          <w:lang w:val="en-CA"/>
        </w:rPr>
        <w:t xml:space="preserve"> </w:t>
      </w:r>
      <w:r w:rsidR="00855CB7">
        <w:rPr>
          <w:lang w:val="en-CA"/>
        </w:rPr>
        <w:t xml:space="preserve">These include the </w:t>
      </w:r>
      <w:r w:rsidR="00DA3379" w:rsidRPr="00DA3379">
        <w:rPr>
          <w:lang w:val="en-CA"/>
        </w:rPr>
        <w:t xml:space="preserve">Settlement Statement </w:t>
      </w:r>
      <w:r w:rsidR="00855CB7" w:rsidRPr="00BB49E2">
        <w:rPr>
          <w:lang w:val="en-CA"/>
        </w:rPr>
        <w:t xml:space="preserve">Files, </w:t>
      </w:r>
      <w:r w:rsidR="00DA3379" w:rsidRPr="00DA3379">
        <w:rPr>
          <w:lang w:val="en-CA"/>
        </w:rPr>
        <w:t xml:space="preserve">Real-Time Market </w:t>
      </w:r>
      <w:r w:rsidR="00855CB7" w:rsidRPr="00BB49E2">
        <w:rPr>
          <w:lang w:val="en-CA"/>
        </w:rPr>
        <w:t xml:space="preserve">Data Files, </w:t>
      </w:r>
      <w:r w:rsidR="00DC011C" w:rsidRPr="00BB49E2">
        <w:rPr>
          <w:lang w:val="en-CA"/>
        </w:rPr>
        <w:t>Participant</w:t>
      </w:r>
      <w:r w:rsidR="00855CB7" w:rsidRPr="00BB49E2">
        <w:rPr>
          <w:lang w:val="en-CA"/>
        </w:rPr>
        <w:t xml:space="preserve"> </w:t>
      </w:r>
      <w:r w:rsidR="00DA3379" w:rsidRPr="00DA3379">
        <w:rPr>
          <w:lang w:val="en-CA"/>
        </w:rPr>
        <w:t>Transmission Tariff</w:t>
      </w:r>
      <w:r w:rsidR="00855CB7" w:rsidRPr="00BB49E2">
        <w:rPr>
          <w:lang w:val="en-CA"/>
        </w:rPr>
        <w:t xml:space="preserve"> Data Files, </w:t>
      </w:r>
      <w:r w:rsidR="00DA3379" w:rsidRPr="00DA3379">
        <w:rPr>
          <w:lang w:val="en-CA"/>
        </w:rPr>
        <w:t>Transmitter Transmission Tariff</w:t>
      </w:r>
      <w:r w:rsidR="00855CB7" w:rsidRPr="00BB49E2">
        <w:rPr>
          <w:lang w:val="en-CA"/>
        </w:rPr>
        <w:t xml:space="preserve"> Data Files and the </w:t>
      </w:r>
      <w:r w:rsidR="00DA3379" w:rsidRPr="00DA3379">
        <w:rPr>
          <w:lang w:val="en-CA"/>
        </w:rPr>
        <w:t xml:space="preserve">Transmitter </w:t>
      </w:r>
      <w:r w:rsidR="00855CB7" w:rsidRPr="00BB49E2">
        <w:rPr>
          <w:lang w:val="en-CA"/>
        </w:rPr>
        <w:t>Reconciliation Data Files.</w:t>
      </w:r>
      <w:r w:rsidR="00855CB7">
        <w:rPr>
          <w:lang w:val="en-CA"/>
        </w:rPr>
        <w:t xml:space="preserve"> </w:t>
      </w:r>
      <w:r w:rsidR="0019286B">
        <w:rPr>
          <w:lang w:val="en-CA"/>
        </w:rPr>
        <w:t xml:space="preserve"> </w:t>
      </w:r>
      <w:r w:rsidR="00FB0EE6">
        <w:rPr>
          <w:lang w:val="en-CA"/>
        </w:rPr>
        <w:t>We have identified t</w:t>
      </w:r>
      <w:r w:rsidR="00855CB7">
        <w:rPr>
          <w:lang w:val="en-CA"/>
        </w:rPr>
        <w:t xml:space="preserve">he steps </w:t>
      </w:r>
      <w:r w:rsidR="00C678B3">
        <w:rPr>
          <w:lang w:val="en-CA"/>
        </w:rPr>
        <w:t xml:space="preserve">you should </w:t>
      </w:r>
      <w:r w:rsidR="00855CB7">
        <w:rPr>
          <w:lang w:val="en-CA"/>
        </w:rPr>
        <w:t xml:space="preserve">follow </w:t>
      </w:r>
      <w:r w:rsidR="00C678B3">
        <w:rPr>
          <w:lang w:val="en-CA"/>
        </w:rPr>
        <w:t xml:space="preserve">to </w:t>
      </w:r>
      <w:r w:rsidR="00855CB7">
        <w:rPr>
          <w:lang w:val="en-CA"/>
        </w:rPr>
        <w:t xml:space="preserve">download the </w:t>
      </w:r>
      <w:r w:rsidR="00855CB7">
        <w:rPr>
          <w:i/>
          <w:lang w:val="en-CA"/>
        </w:rPr>
        <w:t>settlement statements</w:t>
      </w:r>
      <w:r w:rsidR="00855CB7">
        <w:rPr>
          <w:lang w:val="en-CA"/>
        </w:rPr>
        <w:t xml:space="preserve"> in the “</w:t>
      </w:r>
      <w:r w:rsidR="00654284">
        <w:rPr>
          <w:lang w:val="en-CA"/>
        </w:rPr>
        <w:t xml:space="preserve">Market </w:t>
      </w:r>
      <w:r w:rsidR="00855CB7">
        <w:rPr>
          <w:lang w:val="en-CA"/>
        </w:rPr>
        <w:t>Participant Graphical User Interface User’s Guide</w:t>
      </w:r>
      <w:r w:rsidR="00B50881">
        <w:rPr>
          <w:lang w:val="en-CA"/>
        </w:rPr>
        <w:t>”, “Quick Take 15: Retrieving Reports via the IESO Reports Site”, and tool simulations available on the IESO Marketplace Training web pages.</w:t>
      </w:r>
    </w:p>
    <w:p w14:paraId="1FD585F7" w14:textId="77777777" w:rsidR="00855CB7" w:rsidRDefault="00654284">
      <w:pPr>
        <w:pStyle w:val="BodyText"/>
        <w:rPr>
          <w:b/>
          <w:i/>
          <w:lang w:val="en-CA"/>
        </w:rPr>
      </w:pPr>
      <w:r>
        <w:rPr>
          <w:lang w:val="en-CA"/>
        </w:rPr>
        <w:t xml:space="preserve">You </w:t>
      </w:r>
      <w:r w:rsidR="00855CB7">
        <w:rPr>
          <w:lang w:val="en-CA"/>
        </w:rPr>
        <w:t xml:space="preserve">will receive a </w:t>
      </w:r>
      <w:r w:rsidR="00855CB7">
        <w:rPr>
          <w:i/>
          <w:lang w:val="en-CA"/>
        </w:rPr>
        <w:t>preliminary settlement statement</w:t>
      </w:r>
      <w:r w:rsidR="00855CB7">
        <w:rPr>
          <w:lang w:val="en-CA"/>
        </w:rPr>
        <w:t xml:space="preserve"> </w:t>
      </w:r>
      <w:r>
        <w:rPr>
          <w:lang w:val="en-CA"/>
        </w:rPr>
        <w:t>for a</w:t>
      </w:r>
      <w:r w:rsidR="00855CB7">
        <w:rPr>
          <w:lang w:val="en-CA"/>
        </w:rPr>
        <w:t xml:space="preserve"> </w:t>
      </w:r>
      <w:r w:rsidR="00855CB7">
        <w:rPr>
          <w:i/>
          <w:lang w:val="en-CA"/>
        </w:rPr>
        <w:t>trading day</w:t>
      </w:r>
      <w:r>
        <w:rPr>
          <w:i/>
          <w:lang w:val="en-CA"/>
        </w:rPr>
        <w:t xml:space="preserve"> </w:t>
      </w:r>
      <w:r>
        <w:rPr>
          <w:lang w:val="en-CA"/>
        </w:rPr>
        <w:t>if you were active</w:t>
      </w:r>
      <w:r w:rsidR="00FB0EE6">
        <w:rPr>
          <w:rStyle w:val="FootnoteReference"/>
          <w:lang w:val="en-CA"/>
        </w:rPr>
        <w:footnoteReference w:id="4"/>
      </w:r>
      <w:r>
        <w:rPr>
          <w:lang w:val="en-CA"/>
        </w:rPr>
        <w:t xml:space="preserve"> on that day</w:t>
      </w:r>
      <w:r w:rsidR="00855CB7">
        <w:rPr>
          <w:lang w:val="en-CA"/>
        </w:rPr>
        <w:t xml:space="preserve">.  </w:t>
      </w:r>
      <w:r w:rsidR="00FB0EE6">
        <w:rPr>
          <w:snapToGrid w:val="0"/>
          <w:lang w:val="en-CA"/>
        </w:rPr>
        <w:t xml:space="preserve">You </w:t>
      </w:r>
      <w:r w:rsidR="00FB0EE6">
        <w:rPr>
          <w:lang w:val="en-CA"/>
        </w:rPr>
        <w:t xml:space="preserve">will not receive a </w:t>
      </w:r>
      <w:r w:rsidR="00FB0EE6">
        <w:rPr>
          <w:i/>
          <w:lang w:val="en-CA"/>
        </w:rPr>
        <w:t xml:space="preserve">preliminary settlement statement </w:t>
      </w:r>
      <w:r w:rsidR="00FB0EE6">
        <w:rPr>
          <w:lang w:val="en-CA"/>
        </w:rPr>
        <w:t xml:space="preserve">for a particular </w:t>
      </w:r>
      <w:r w:rsidR="00FB0EE6">
        <w:rPr>
          <w:i/>
          <w:lang w:val="en-CA"/>
        </w:rPr>
        <w:t>trading day</w:t>
      </w:r>
      <w:r w:rsidR="00FB0EE6">
        <w:rPr>
          <w:lang w:val="en-CA"/>
        </w:rPr>
        <w:t xml:space="preserve"> if you </w:t>
      </w:r>
      <w:r w:rsidR="00855CB7">
        <w:rPr>
          <w:lang w:val="en-CA"/>
        </w:rPr>
        <w:t xml:space="preserve">were not active </w:t>
      </w:r>
      <w:r w:rsidR="00FB0EE6">
        <w:rPr>
          <w:lang w:val="en-CA"/>
        </w:rPr>
        <w:t xml:space="preserve">on </w:t>
      </w:r>
      <w:r w:rsidR="00855CB7">
        <w:rPr>
          <w:lang w:val="en-CA"/>
        </w:rPr>
        <w:t>that day.</w:t>
      </w:r>
    </w:p>
    <w:p w14:paraId="5D81268D" w14:textId="77777777" w:rsidR="00855CB7" w:rsidRDefault="002A1B1B">
      <w:pPr>
        <w:pStyle w:val="BodyText"/>
        <w:rPr>
          <w:lang w:val="en-CA"/>
        </w:rPr>
      </w:pPr>
      <w:r>
        <w:rPr>
          <w:lang w:val="en-CA"/>
        </w:rPr>
        <w:t xml:space="preserve">We consider that a </w:t>
      </w:r>
      <w:r>
        <w:rPr>
          <w:i/>
          <w:lang w:val="en-CA"/>
        </w:rPr>
        <w:t>p</w:t>
      </w:r>
      <w:r w:rsidR="00855CB7">
        <w:rPr>
          <w:i/>
          <w:lang w:val="en-CA"/>
        </w:rPr>
        <w:t>reliminary settlement statement</w:t>
      </w:r>
      <w:r>
        <w:rPr>
          <w:i/>
          <w:lang w:val="en-CA"/>
        </w:rPr>
        <w:t xml:space="preserve"> </w:t>
      </w:r>
      <w:r>
        <w:rPr>
          <w:lang w:val="en-CA"/>
        </w:rPr>
        <w:t>has been</w:t>
      </w:r>
      <w:r w:rsidR="00855CB7">
        <w:rPr>
          <w:lang w:val="en-CA"/>
        </w:rPr>
        <w:t xml:space="preserve"> issued when </w:t>
      </w:r>
      <w:r>
        <w:rPr>
          <w:lang w:val="en-CA"/>
        </w:rPr>
        <w:t>we have</w:t>
      </w:r>
      <w:r w:rsidR="00855CB7">
        <w:rPr>
          <w:lang w:val="en-CA"/>
        </w:rPr>
        <w:t xml:space="preserve"> made </w:t>
      </w:r>
      <w:r w:rsidR="00B50881">
        <w:rPr>
          <w:lang w:val="en-CA"/>
        </w:rPr>
        <w:t xml:space="preserve">it </w:t>
      </w:r>
      <w:r w:rsidR="00855CB7">
        <w:rPr>
          <w:lang w:val="en-CA"/>
        </w:rPr>
        <w:t xml:space="preserve">accessible to </w:t>
      </w:r>
      <w:r>
        <w:rPr>
          <w:lang w:val="en-CA"/>
        </w:rPr>
        <w:t>you</w:t>
      </w:r>
      <w:r w:rsidR="00855CB7">
        <w:rPr>
          <w:lang w:val="en-CA"/>
        </w:rPr>
        <w:t xml:space="preserve"> </w:t>
      </w:r>
      <w:r w:rsidR="00C43F27">
        <w:rPr>
          <w:lang w:val="en-CA"/>
        </w:rPr>
        <w:t xml:space="preserve">on </w:t>
      </w:r>
      <w:r w:rsidR="003D683A">
        <w:rPr>
          <w:lang w:val="en-CA"/>
        </w:rPr>
        <w:t xml:space="preserve">the </w:t>
      </w:r>
      <w:r w:rsidR="00B50881">
        <w:rPr>
          <w:lang w:val="en-CA"/>
        </w:rPr>
        <w:t>IESO Reports site</w:t>
      </w:r>
      <w:r w:rsidR="00855CB7">
        <w:rPr>
          <w:lang w:val="en-CA"/>
        </w:rPr>
        <w:t xml:space="preserve">.  If </w:t>
      </w:r>
      <w:r>
        <w:rPr>
          <w:lang w:val="en-CA"/>
        </w:rPr>
        <w:t>you</w:t>
      </w:r>
      <w:r w:rsidR="00855CB7">
        <w:rPr>
          <w:lang w:val="en-CA"/>
        </w:rPr>
        <w:t xml:space="preserve"> fail to receive a </w:t>
      </w:r>
      <w:r w:rsidR="00855CB7">
        <w:rPr>
          <w:i/>
          <w:lang w:val="en-CA"/>
        </w:rPr>
        <w:t>preliminary settlement statement</w:t>
      </w:r>
      <w:r w:rsidR="00855CB7">
        <w:rPr>
          <w:lang w:val="en-CA"/>
        </w:rPr>
        <w:t xml:space="preserve"> on the date scheduled in the </w:t>
      </w:r>
      <w:r w:rsidR="00855CB7">
        <w:rPr>
          <w:i/>
          <w:lang w:val="en-CA"/>
        </w:rPr>
        <w:t>SSPC</w:t>
      </w:r>
      <w:r w:rsidR="00855CB7">
        <w:rPr>
          <w:lang w:val="en-CA"/>
        </w:rPr>
        <w:t xml:space="preserve">, </w:t>
      </w:r>
      <w:r>
        <w:rPr>
          <w:lang w:val="en-CA"/>
        </w:rPr>
        <w:t xml:space="preserve">it is your responsibility to notify us </w:t>
      </w:r>
      <w:r w:rsidR="00855CB7">
        <w:rPr>
          <w:lang w:val="en-CA"/>
        </w:rPr>
        <w:t xml:space="preserve">via </w:t>
      </w:r>
      <w:r w:rsidR="00DA3379" w:rsidRPr="00DA3379">
        <w:rPr>
          <w:lang w:val="en-CA"/>
        </w:rPr>
        <w:t>IESO Customer Relations</w:t>
      </w:r>
      <w:r w:rsidR="00855CB7">
        <w:rPr>
          <w:lang w:val="en-CA"/>
        </w:rPr>
        <w:t xml:space="preserve">.  </w:t>
      </w:r>
      <w:r>
        <w:rPr>
          <w:lang w:val="en-CA"/>
        </w:rPr>
        <w:t xml:space="preserve">We </w:t>
      </w:r>
      <w:r w:rsidR="00855CB7">
        <w:rPr>
          <w:lang w:val="en-CA"/>
        </w:rPr>
        <w:t xml:space="preserve">will assume that </w:t>
      </w:r>
      <w:r>
        <w:rPr>
          <w:lang w:val="en-CA"/>
        </w:rPr>
        <w:t xml:space="preserve">you have </w:t>
      </w:r>
      <w:r w:rsidR="00855CB7">
        <w:rPr>
          <w:lang w:val="en-CA"/>
        </w:rPr>
        <w:t xml:space="preserve">been able to retrieve the </w:t>
      </w:r>
      <w:r w:rsidR="00855CB7">
        <w:rPr>
          <w:i/>
          <w:lang w:val="en-CA"/>
        </w:rPr>
        <w:t>preliminary settlement statement</w:t>
      </w:r>
      <w:r w:rsidR="00855CB7">
        <w:rPr>
          <w:lang w:val="en-CA"/>
        </w:rPr>
        <w:t xml:space="preserve"> file and companion data files </w:t>
      </w:r>
      <w:r w:rsidR="00C43F27">
        <w:rPr>
          <w:lang w:val="en-CA"/>
        </w:rPr>
        <w:t xml:space="preserve">from </w:t>
      </w:r>
      <w:r w:rsidR="00B50881">
        <w:rPr>
          <w:lang w:val="en-CA"/>
        </w:rPr>
        <w:t xml:space="preserve">the IESO Reports site </w:t>
      </w:r>
      <w:r w:rsidR="00855CB7">
        <w:rPr>
          <w:lang w:val="en-CA"/>
        </w:rPr>
        <w:t xml:space="preserve">unless </w:t>
      </w:r>
      <w:r>
        <w:rPr>
          <w:lang w:val="en-CA"/>
        </w:rPr>
        <w:t>you notify us</w:t>
      </w:r>
      <w:r w:rsidR="00855CB7">
        <w:rPr>
          <w:lang w:val="en-CA"/>
        </w:rPr>
        <w:t xml:space="preserve"> to the contrary.</w:t>
      </w:r>
    </w:p>
    <w:p w14:paraId="3EB0D68D" w14:textId="77777777" w:rsidR="00855CB7" w:rsidRDefault="00855CB7">
      <w:pPr>
        <w:pStyle w:val="BodyText"/>
        <w:rPr>
          <w:lang w:val="en-CA"/>
        </w:rPr>
      </w:pPr>
      <w:r>
        <w:rPr>
          <w:lang w:val="en-CA"/>
        </w:rPr>
        <w:t>W</w:t>
      </w:r>
      <w:r w:rsidR="00F86BC5">
        <w:rPr>
          <w:lang w:val="en-CA"/>
        </w:rPr>
        <w:t xml:space="preserve">hen you notify us </w:t>
      </w:r>
      <w:r w:rsidR="00CB5236">
        <w:rPr>
          <w:lang w:val="en-CA"/>
        </w:rPr>
        <w:t>that we have not issued a</w:t>
      </w:r>
      <w:r>
        <w:rPr>
          <w:lang w:val="en-CA"/>
        </w:rPr>
        <w:t xml:space="preserve"> </w:t>
      </w:r>
      <w:r>
        <w:rPr>
          <w:i/>
          <w:lang w:val="en-CA"/>
        </w:rPr>
        <w:t>preliminary settlement statement</w:t>
      </w:r>
      <w:r>
        <w:rPr>
          <w:lang w:val="en-CA"/>
        </w:rPr>
        <w:t xml:space="preserve"> </w:t>
      </w:r>
      <w:r w:rsidR="00CB5236">
        <w:rPr>
          <w:lang w:val="en-CA"/>
        </w:rPr>
        <w:t>for</w:t>
      </w:r>
      <w:r>
        <w:rPr>
          <w:lang w:val="en-CA"/>
        </w:rPr>
        <w:t xml:space="preserve"> a given </w:t>
      </w:r>
      <w:r>
        <w:rPr>
          <w:i/>
          <w:lang w:val="en-CA"/>
        </w:rPr>
        <w:t>trading day</w:t>
      </w:r>
      <w:r>
        <w:rPr>
          <w:lang w:val="en-CA"/>
        </w:rPr>
        <w:t xml:space="preserve"> in accordance with the </w:t>
      </w:r>
      <w:r>
        <w:rPr>
          <w:i/>
          <w:lang w:val="en-CA"/>
        </w:rPr>
        <w:t>SSPC</w:t>
      </w:r>
      <w:r w:rsidR="00F86BC5">
        <w:rPr>
          <w:lang w:val="en-CA"/>
        </w:rPr>
        <w:t>, we will investigate and provide you an explanation</w:t>
      </w:r>
      <w:r w:rsidR="00CB5236">
        <w:rPr>
          <w:lang w:val="en-CA"/>
        </w:rPr>
        <w:t>.</w:t>
      </w:r>
      <w:r w:rsidR="00F86BC5">
        <w:rPr>
          <w:lang w:val="en-CA"/>
        </w:rPr>
        <w:t xml:space="preserve">  I</w:t>
      </w:r>
      <w:r>
        <w:rPr>
          <w:lang w:val="en-CA"/>
        </w:rPr>
        <w:t>f necessary</w:t>
      </w:r>
      <w:r w:rsidR="00F86BC5">
        <w:rPr>
          <w:lang w:val="en-CA"/>
        </w:rPr>
        <w:t>, we</w:t>
      </w:r>
      <w:r>
        <w:rPr>
          <w:lang w:val="en-CA"/>
        </w:rPr>
        <w:t xml:space="preserve"> will re-issue the </w:t>
      </w:r>
      <w:r>
        <w:rPr>
          <w:i/>
          <w:lang w:val="en-CA"/>
        </w:rPr>
        <w:t>preliminary settlement statement</w:t>
      </w:r>
      <w:r>
        <w:rPr>
          <w:lang w:val="en-CA"/>
        </w:rPr>
        <w:t>.</w:t>
      </w:r>
    </w:p>
    <w:p w14:paraId="2123A535" w14:textId="77777777" w:rsidR="00F86BC5" w:rsidRDefault="00F86BC5">
      <w:pPr>
        <w:pStyle w:val="BodyText"/>
        <w:rPr>
          <w:lang w:val="en-CA"/>
        </w:rPr>
      </w:pPr>
      <w:r>
        <w:rPr>
          <w:lang w:val="en-CA"/>
        </w:rPr>
        <w:t>Our investigation may show that:</w:t>
      </w:r>
    </w:p>
    <w:p w14:paraId="6F85AEC1" w14:textId="77777777" w:rsidR="00F86BC5" w:rsidRDefault="00490C5D" w:rsidP="003853C6">
      <w:pPr>
        <w:pStyle w:val="BodyText"/>
        <w:numPr>
          <w:ilvl w:val="0"/>
          <w:numId w:val="36"/>
        </w:numPr>
        <w:rPr>
          <w:lang w:val="en-CA"/>
        </w:rPr>
      </w:pPr>
      <w:r>
        <w:rPr>
          <w:lang w:val="en-CA"/>
        </w:rPr>
        <w:t xml:space="preserve">we </w:t>
      </w:r>
      <w:r w:rsidR="00855CB7">
        <w:rPr>
          <w:lang w:val="en-CA"/>
        </w:rPr>
        <w:t>issue</w:t>
      </w:r>
      <w:r w:rsidR="00F86BC5">
        <w:rPr>
          <w:lang w:val="en-CA"/>
        </w:rPr>
        <w:t>d</w:t>
      </w:r>
      <w:r w:rsidR="00855CB7">
        <w:rPr>
          <w:lang w:val="en-CA"/>
        </w:rPr>
        <w:t xml:space="preserve"> </w:t>
      </w:r>
      <w:r w:rsidR="00F86BC5">
        <w:rPr>
          <w:lang w:val="en-CA"/>
        </w:rPr>
        <w:t xml:space="preserve">your </w:t>
      </w:r>
      <w:r w:rsidR="00855CB7">
        <w:rPr>
          <w:i/>
          <w:lang w:val="en-CA"/>
        </w:rPr>
        <w:t>preliminary settlement statement</w:t>
      </w:r>
      <w:r w:rsidR="00F86BC5">
        <w:rPr>
          <w:lang w:val="en-CA"/>
        </w:rPr>
        <w:t>;</w:t>
      </w:r>
    </w:p>
    <w:p w14:paraId="768E0D68" w14:textId="77777777" w:rsidR="00F86BC5" w:rsidRDefault="00490C5D" w:rsidP="003853C6">
      <w:pPr>
        <w:pStyle w:val="BodyText"/>
        <w:numPr>
          <w:ilvl w:val="0"/>
          <w:numId w:val="36"/>
        </w:numPr>
        <w:rPr>
          <w:lang w:val="en-CA"/>
        </w:rPr>
      </w:pPr>
      <w:r>
        <w:rPr>
          <w:lang w:val="en-CA"/>
        </w:rPr>
        <w:t xml:space="preserve">it </w:t>
      </w:r>
      <w:r w:rsidR="00855CB7">
        <w:rPr>
          <w:lang w:val="en-CA"/>
        </w:rPr>
        <w:t xml:space="preserve">was accessible via the </w:t>
      </w:r>
      <w:r w:rsidR="00B50881">
        <w:rPr>
          <w:lang w:val="en-CA"/>
        </w:rPr>
        <w:t xml:space="preserve">IESO Reports site </w:t>
      </w:r>
      <w:r w:rsidR="00855CB7">
        <w:rPr>
          <w:lang w:val="en-CA"/>
        </w:rPr>
        <w:t xml:space="preserve">on the date specified in the </w:t>
      </w:r>
      <w:r w:rsidR="00855CB7">
        <w:rPr>
          <w:i/>
          <w:lang w:val="en-CA"/>
        </w:rPr>
        <w:t>SSPC</w:t>
      </w:r>
      <w:r w:rsidR="00F86BC5">
        <w:rPr>
          <w:lang w:val="en-CA"/>
        </w:rPr>
        <w:t xml:space="preserve">; </w:t>
      </w:r>
      <w:r w:rsidR="00855CB7">
        <w:rPr>
          <w:lang w:val="en-CA"/>
        </w:rPr>
        <w:t>and</w:t>
      </w:r>
    </w:p>
    <w:p w14:paraId="42A5532E" w14:textId="77777777" w:rsidR="00F86BC5" w:rsidRDefault="00490C5D" w:rsidP="003853C6">
      <w:pPr>
        <w:pStyle w:val="BodyText"/>
        <w:numPr>
          <w:ilvl w:val="0"/>
          <w:numId w:val="36"/>
        </w:numPr>
        <w:rPr>
          <w:lang w:val="en-CA"/>
        </w:rPr>
      </w:pPr>
      <w:r>
        <w:rPr>
          <w:lang w:val="en-CA"/>
        </w:rPr>
        <w:t xml:space="preserve">you </w:t>
      </w:r>
      <w:r w:rsidR="00855CB7">
        <w:rPr>
          <w:lang w:val="en-CA"/>
        </w:rPr>
        <w:t>failed to properly retrieve it</w:t>
      </w:r>
      <w:r w:rsidR="00F86BC5">
        <w:rPr>
          <w:lang w:val="en-CA"/>
        </w:rPr>
        <w:t>.</w:t>
      </w:r>
    </w:p>
    <w:p w14:paraId="5B74E40D" w14:textId="77777777" w:rsidR="00F86BC5" w:rsidRDefault="00F86BC5" w:rsidP="00F86BC5">
      <w:pPr>
        <w:pStyle w:val="BodyText"/>
        <w:rPr>
          <w:lang w:val="en-CA"/>
        </w:rPr>
      </w:pPr>
      <w:r>
        <w:rPr>
          <w:lang w:val="en-CA"/>
        </w:rPr>
        <w:t>In this situation, we will not extend t</w:t>
      </w:r>
      <w:r w:rsidR="00855CB7">
        <w:rPr>
          <w:lang w:val="en-CA"/>
        </w:rPr>
        <w:t xml:space="preserve">he period within which </w:t>
      </w:r>
      <w:r>
        <w:rPr>
          <w:lang w:val="en-CA"/>
        </w:rPr>
        <w:t xml:space="preserve">you can submit </w:t>
      </w:r>
      <w:r w:rsidR="00855CB7">
        <w:rPr>
          <w:lang w:val="en-CA"/>
        </w:rPr>
        <w:t xml:space="preserve">a </w:t>
      </w:r>
      <w:r w:rsidR="00855CB7">
        <w:rPr>
          <w:i/>
          <w:lang w:val="en-CA"/>
        </w:rPr>
        <w:t>notice of disagreement</w:t>
      </w:r>
      <w:r>
        <w:rPr>
          <w:lang w:val="en-CA"/>
        </w:rPr>
        <w:t>.</w:t>
      </w:r>
    </w:p>
    <w:p w14:paraId="2E5DA67B" w14:textId="77777777" w:rsidR="00F86BC5" w:rsidRDefault="00855CB7">
      <w:pPr>
        <w:pStyle w:val="BodyText"/>
        <w:rPr>
          <w:lang w:val="en-CA"/>
        </w:rPr>
      </w:pPr>
      <w:r>
        <w:rPr>
          <w:lang w:val="en-CA"/>
        </w:rPr>
        <w:t xml:space="preserve">However, </w:t>
      </w:r>
      <w:r w:rsidR="00F86BC5">
        <w:rPr>
          <w:lang w:val="en-CA"/>
        </w:rPr>
        <w:t xml:space="preserve">our investigation may show that: </w:t>
      </w:r>
    </w:p>
    <w:p w14:paraId="59C89BC4" w14:textId="77777777" w:rsidR="00F86BC5" w:rsidRDefault="00490C5D" w:rsidP="003853C6">
      <w:pPr>
        <w:pStyle w:val="BodyText"/>
        <w:numPr>
          <w:ilvl w:val="0"/>
          <w:numId w:val="37"/>
        </w:numPr>
        <w:rPr>
          <w:lang w:val="en-CA"/>
        </w:rPr>
      </w:pPr>
      <w:r>
        <w:rPr>
          <w:lang w:val="en-CA"/>
        </w:rPr>
        <w:t xml:space="preserve">we </w:t>
      </w:r>
      <w:r w:rsidR="00855CB7">
        <w:rPr>
          <w:lang w:val="en-CA"/>
        </w:rPr>
        <w:t xml:space="preserve">failed to issue </w:t>
      </w:r>
      <w:r w:rsidR="00F86BC5">
        <w:rPr>
          <w:lang w:val="en-CA"/>
        </w:rPr>
        <w:t xml:space="preserve">your </w:t>
      </w:r>
      <w:r w:rsidR="00855CB7">
        <w:rPr>
          <w:i/>
          <w:lang w:val="en-CA"/>
        </w:rPr>
        <w:t>preliminary settlement statement</w:t>
      </w:r>
      <w:r w:rsidR="00855CB7">
        <w:rPr>
          <w:lang w:val="en-CA"/>
        </w:rPr>
        <w:t xml:space="preserve"> on the date </w:t>
      </w:r>
      <w:r w:rsidR="00F86BC5">
        <w:rPr>
          <w:lang w:val="en-CA"/>
        </w:rPr>
        <w:t>specified</w:t>
      </w:r>
      <w:r w:rsidR="00855CB7">
        <w:rPr>
          <w:lang w:val="en-CA"/>
        </w:rPr>
        <w:t xml:space="preserve"> in the </w:t>
      </w:r>
      <w:r w:rsidR="00855CB7">
        <w:rPr>
          <w:i/>
          <w:lang w:val="en-CA"/>
        </w:rPr>
        <w:t>SSPC</w:t>
      </w:r>
      <w:r w:rsidR="00F86BC5">
        <w:rPr>
          <w:lang w:val="en-CA"/>
        </w:rPr>
        <w:t xml:space="preserve">; </w:t>
      </w:r>
      <w:r w:rsidR="00855CB7">
        <w:rPr>
          <w:lang w:val="en-CA"/>
        </w:rPr>
        <w:t>or</w:t>
      </w:r>
    </w:p>
    <w:p w14:paraId="000C9B4E" w14:textId="77777777" w:rsidR="00F86BC5" w:rsidRDefault="00490C5D" w:rsidP="003853C6">
      <w:pPr>
        <w:pStyle w:val="BodyText"/>
        <w:numPr>
          <w:ilvl w:val="0"/>
          <w:numId w:val="37"/>
        </w:numPr>
        <w:rPr>
          <w:lang w:val="en-CA"/>
        </w:rPr>
      </w:pPr>
      <w:r>
        <w:rPr>
          <w:lang w:val="en-CA"/>
        </w:rPr>
        <w:t xml:space="preserve">some </w:t>
      </w:r>
      <w:r w:rsidR="00855CB7">
        <w:rPr>
          <w:lang w:val="en-CA"/>
        </w:rPr>
        <w:t xml:space="preserve">error occurred in </w:t>
      </w:r>
      <w:r w:rsidR="00F86BC5">
        <w:rPr>
          <w:lang w:val="en-CA"/>
        </w:rPr>
        <w:t>our</w:t>
      </w:r>
      <w:r w:rsidR="00855CB7">
        <w:rPr>
          <w:lang w:val="en-CA"/>
        </w:rPr>
        <w:t xml:space="preserve"> systems that made retrieval of the </w:t>
      </w:r>
      <w:r w:rsidR="00855CB7">
        <w:rPr>
          <w:i/>
          <w:lang w:val="en-CA"/>
        </w:rPr>
        <w:t>settlement statement</w:t>
      </w:r>
      <w:r w:rsidR="00855CB7">
        <w:rPr>
          <w:lang w:val="en-CA"/>
        </w:rPr>
        <w:t xml:space="preserve"> impossible.</w:t>
      </w:r>
    </w:p>
    <w:p w14:paraId="7EAE9E6D" w14:textId="77777777" w:rsidR="00855CB7" w:rsidRDefault="00855CB7">
      <w:pPr>
        <w:pStyle w:val="BodyText"/>
        <w:rPr>
          <w:lang w:val="en-CA"/>
        </w:rPr>
      </w:pPr>
      <w:r>
        <w:rPr>
          <w:lang w:val="en-CA"/>
        </w:rPr>
        <w:lastRenderedPageBreak/>
        <w:t xml:space="preserve">In this situation, </w:t>
      </w:r>
      <w:r w:rsidR="00D31A21">
        <w:rPr>
          <w:lang w:val="en-CA"/>
        </w:rPr>
        <w:t xml:space="preserve">we will consider that you </w:t>
      </w:r>
      <w:r>
        <w:rPr>
          <w:lang w:val="en-CA"/>
        </w:rPr>
        <w:t xml:space="preserve">have received </w:t>
      </w:r>
      <w:r w:rsidR="00F86BC5">
        <w:rPr>
          <w:lang w:val="en-CA"/>
        </w:rPr>
        <w:t>your</w:t>
      </w:r>
      <w:r>
        <w:rPr>
          <w:lang w:val="en-CA"/>
        </w:rPr>
        <w:t xml:space="preserve"> </w:t>
      </w:r>
      <w:r>
        <w:rPr>
          <w:i/>
          <w:lang w:val="en-CA"/>
        </w:rPr>
        <w:t>preliminary settlement statement</w:t>
      </w:r>
      <w:r>
        <w:rPr>
          <w:lang w:val="en-CA"/>
        </w:rPr>
        <w:t xml:space="preserve"> on the date on which </w:t>
      </w:r>
      <w:r w:rsidR="00F86BC5">
        <w:rPr>
          <w:lang w:val="en-CA"/>
        </w:rPr>
        <w:t xml:space="preserve">we made your </w:t>
      </w:r>
      <w:r>
        <w:rPr>
          <w:lang w:val="en-CA"/>
        </w:rPr>
        <w:t xml:space="preserve">statement accessible to </w:t>
      </w:r>
      <w:r w:rsidR="00F86BC5">
        <w:rPr>
          <w:lang w:val="en-CA"/>
        </w:rPr>
        <w:t>you</w:t>
      </w:r>
      <w:r w:rsidR="00B50881">
        <w:rPr>
          <w:lang w:val="en-CA"/>
        </w:rPr>
        <w:t>, and</w:t>
      </w:r>
      <w:r w:rsidR="009D78B1">
        <w:rPr>
          <w:lang w:val="en-CA"/>
        </w:rPr>
        <w:t xml:space="preserve"> we will extend the period within which you can submit a </w:t>
      </w:r>
      <w:r w:rsidR="009D78B1">
        <w:rPr>
          <w:i/>
          <w:lang w:val="en-CA"/>
        </w:rPr>
        <w:t>notice of disagreement</w:t>
      </w:r>
      <w:r w:rsidR="009D78B1">
        <w:rPr>
          <w:lang w:val="en-CA"/>
        </w:rPr>
        <w:t>.</w:t>
      </w:r>
    </w:p>
    <w:p w14:paraId="0C00CA6A" w14:textId="77777777" w:rsidR="00855CB7" w:rsidRDefault="00855CB7">
      <w:pPr>
        <w:pStyle w:val="Heading3"/>
        <w:rPr>
          <w:lang w:val="en-CA"/>
        </w:rPr>
      </w:pPr>
      <w:bookmarkStart w:id="79" w:name="_Toc32038427"/>
      <w:bookmarkStart w:id="80" w:name="_Toc175383874"/>
      <w:bookmarkStart w:id="81" w:name="_Toc400369494"/>
      <w:bookmarkStart w:id="82" w:name="_Toc35796320"/>
      <w:bookmarkStart w:id="83" w:name="_Toc79657921"/>
      <w:r>
        <w:rPr>
          <w:lang w:val="en-CA"/>
        </w:rPr>
        <w:t xml:space="preserve">Interpreting the </w:t>
      </w:r>
      <w:r w:rsidRPr="00033BEB">
        <w:rPr>
          <w:i/>
          <w:lang w:val="en-CA"/>
        </w:rPr>
        <w:t>Settlement Statements</w:t>
      </w:r>
      <w:r>
        <w:rPr>
          <w:lang w:val="en-CA"/>
        </w:rPr>
        <w:t xml:space="preserve"> and Data Files</w:t>
      </w:r>
      <w:bookmarkEnd w:id="79"/>
      <w:bookmarkEnd w:id="80"/>
      <w:bookmarkEnd w:id="81"/>
      <w:bookmarkEnd w:id="82"/>
      <w:bookmarkEnd w:id="83"/>
    </w:p>
    <w:p w14:paraId="15620DB7" w14:textId="77777777" w:rsidR="00C837ED" w:rsidRDefault="00855CB7">
      <w:pPr>
        <w:pStyle w:val="BodyText"/>
        <w:rPr>
          <w:lang w:val="en-CA"/>
        </w:rPr>
      </w:pPr>
      <w:r>
        <w:rPr>
          <w:lang w:val="en-CA"/>
        </w:rPr>
        <w:t xml:space="preserve">Both the </w:t>
      </w:r>
      <w:r>
        <w:rPr>
          <w:i/>
          <w:lang w:val="en-CA"/>
        </w:rPr>
        <w:t>preliminary</w:t>
      </w:r>
      <w:r>
        <w:rPr>
          <w:lang w:val="en-CA"/>
        </w:rPr>
        <w:t xml:space="preserve"> and </w:t>
      </w:r>
      <w:r>
        <w:rPr>
          <w:i/>
          <w:lang w:val="en-CA"/>
        </w:rPr>
        <w:t>final settlement statement</w:t>
      </w:r>
      <w:r>
        <w:rPr>
          <w:lang w:val="en-CA"/>
        </w:rPr>
        <w:t xml:space="preserve"> files </w:t>
      </w:r>
      <w:r w:rsidR="00C837ED">
        <w:rPr>
          <w:lang w:val="en-CA"/>
        </w:rPr>
        <w:t>list the</w:t>
      </w:r>
      <w:r>
        <w:rPr>
          <w:lang w:val="en-CA"/>
        </w:rPr>
        <w:t xml:space="preserve"> </w:t>
      </w:r>
      <w:r>
        <w:rPr>
          <w:i/>
          <w:lang w:val="en-CA"/>
        </w:rPr>
        <w:t>settlement amounts</w:t>
      </w:r>
      <w:r>
        <w:rPr>
          <w:lang w:val="en-CA"/>
        </w:rPr>
        <w:t xml:space="preserve"> (credit or debit) </w:t>
      </w:r>
      <w:r w:rsidR="00C837ED">
        <w:rPr>
          <w:lang w:val="en-CA"/>
        </w:rPr>
        <w:t>for your</w:t>
      </w:r>
      <w:r>
        <w:rPr>
          <w:lang w:val="en-CA"/>
        </w:rPr>
        <w:t xml:space="preserve"> activities in the </w:t>
      </w:r>
      <w:r>
        <w:rPr>
          <w:i/>
          <w:lang w:val="en-CA"/>
        </w:rPr>
        <w:t>physical markets</w:t>
      </w:r>
      <w:r w:rsidR="001347C8">
        <w:rPr>
          <w:lang w:val="en-CA"/>
        </w:rPr>
        <w:t xml:space="preserve"> for </w:t>
      </w:r>
      <w:r>
        <w:rPr>
          <w:lang w:val="en-CA"/>
        </w:rPr>
        <w:t xml:space="preserve">a particular </w:t>
      </w:r>
      <w:r>
        <w:rPr>
          <w:i/>
          <w:lang w:val="en-CA"/>
        </w:rPr>
        <w:t>trading day</w:t>
      </w:r>
      <w:r w:rsidR="00C837ED">
        <w:rPr>
          <w:lang w:val="en-CA"/>
        </w:rPr>
        <w:t>.</w:t>
      </w:r>
      <w:r>
        <w:rPr>
          <w:lang w:val="en-CA"/>
        </w:rPr>
        <w:t xml:space="preserve"> </w:t>
      </w:r>
      <w:r w:rsidR="00C837ED">
        <w:rPr>
          <w:lang w:val="en-CA"/>
        </w:rPr>
        <w:t xml:space="preserve">However, </w:t>
      </w:r>
      <w:r>
        <w:rPr>
          <w:lang w:val="en-CA"/>
        </w:rPr>
        <w:t xml:space="preserve">they may also contain missing </w:t>
      </w:r>
      <w:r>
        <w:rPr>
          <w:i/>
          <w:lang w:val="en-CA"/>
        </w:rPr>
        <w:t>settlement amounts</w:t>
      </w:r>
      <w:r>
        <w:rPr>
          <w:lang w:val="en-CA"/>
        </w:rPr>
        <w:t xml:space="preserve"> or adjustments from prior </w:t>
      </w:r>
      <w:r>
        <w:rPr>
          <w:i/>
          <w:lang w:val="en-CA"/>
        </w:rPr>
        <w:t>trading days</w:t>
      </w:r>
      <w:r>
        <w:rPr>
          <w:lang w:val="en-CA"/>
        </w:rPr>
        <w:t>, which may arise from</w:t>
      </w:r>
      <w:r w:rsidR="00C837ED">
        <w:rPr>
          <w:lang w:val="en-CA"/>
        </w:rPr>
        <w:t>:</w:t>
      </w:r>
    </w:p>
    <w:p w14:paraId="6DB4EAB6" w14:textId="77777777" w:rsidR="00E718AB" w:rsidRDefault="00490C5D" w:rsidP="003853C6">
      <w:pPr>
        <w:pStyle w:val="BodyText"/>
        <w:numPr>
          <w:ilvl w:val="0"/>
          <w:numId w:val="38"/>
        </w:numPr>
        <w:rPr>
          <w:lang w:val="en-CA"/>
        </w:rPr>
      </w:pPr>
      <w:r>
        <w:rPr>
          <w:lang w:val="en-CA"/>
        </w:rPr>
        <w:t xml:space="preserve">adjustments </w:t>
      </w:r>
      <w:r w:rsidR="00855CB7">
        <w:rPr>
          <w:lang w:val="en-CA"/>
        </w:rPr>
        <w:t xml:space="preserve">that have resulted from a </w:t>
      </w:r>
      <w:r w:rsidR="00855CB7">
        <w:rPr>
          <w:i/>
          <w:lang w:val="en-CA"/>
        </w:rPr>
        <w:t>notice of disagreement</w:t>
      </w:r>
      <w:r w:rsidR="00855CB7">
        <w:rPr>
          <w:lang w:val="en-CA"/>
        </w:rPr>
        <w:t xml:space="preserve"> (see Section 1.</w:t>
      </w:r>
      <w:r w:rsidR="00C837ED">
        <w:rPr>
          <w:lang w:val="en-CA"/>
        </w:rPr>
        <w:t>3.</w:t>
      </w:r>
      <w:r w:rsidR="00855CB7">
        <w:rPr>
          <w:lang w:val="en-CA"/>
        </w:rPr>
        <w:t>5)</w:t>
      </w:r>
      <w:r w:rsidR="00E718AB">
        <w:rPr>
          <w:lang w:val="en-CA"/>
        </w:rPr>
        <w:t>;</w:t>
      </w:r>
      <w:r w:rsidR="00855CB7">
        <w:rPr>
          <w:lang w:val="en-CA"/>
        </w:rPr>
        <w:t xml:space="preserve"> or</w:t>
      </w:r>
    </w:p>
    <w:p w14:paraId="509D4206" w14:textId="77777777" w:rsidR="00855CB7" w:rsidRDefault="00490C5D" w:rsidP="003853C6">
      <w:pPr>
        <w:pStyle w:val="BodyText"/>
        <w:numPr>
          <w:ilvl w:val="0"/>
          <w:numId w:val="38"/>
        </w:numPr>
        <w:rPr>
          <w:lang w:val="en-CA"/>
        </w:rPr>
      </w:pPr>
      <w:r>
        <w:rPr>
          <w:lang w:val="en-CA"/>
        </w:rPr>
        <w:t xml:space="preserve">revisions </w:t>
      </w:r>
      <w:r w:rsidR="00855CB7">
        <w:rPr>
          <w:lang w:val="en-CA"/>
        </w:rPr>
        <w:t xml:space="preserve">to </w:t>
      </w:r>
      <w:r w:rsidR="00855CB7">
        <w:rPr>
          <w:i/>
          <w:lang w:val="en-CA"/>
        </w:rPr>
        <w:t>metering data</w:t>
      </w:r>
      <w:r w:rsidR="00855CB7">
        <w:rPr>
          <w:lang w:val="en-CA"/>
        </w:rPr>
        <w:t>.</w:t>
      </w:r>
    </w:p>
    <w:p w14:paraId="3BFACE66" w14:textId="77777777" w:rsidR="00F16529" w:rsidRDefault="00F16529" w:rsidP="00F16529">
      <w:pPr>
        <w:pStyle w:val="BodyText"/>
        <w:rPr>
          <w:lang w:val="en-CA"/>
        </w:rPr>
      </w:pPr>
      <w:r>
        <w:rPr>
          <w:lang w:val="en-CA"/>
        </w:rPr>
        <w:t xml:space="preserve">When the </w:t>
      </w:r>
      <w:r>
        <w:rPr>
          <w:i/>
          <w:lang w:val="en-CA"/>
        </w:rPr>
        <w:t>metered market participant</w:t>
      </w:r>
      <w:r>
        <w:rPr>
          <w:lang w:val="en-CA"/>
        </w:rPr>
        <w:t xml:space="preserve"> and the </w:t>
      </w:r>
      <w:r>
        <w:rPr>
          <w:i/>
          <w:lang w:val="en-CA"/>
        </w:rPr>
        <w:t xml:space="preserve">registered market participant </w:t>
      </w:r>
      <w:r>
        <w:rPr>
          <w:lang w:val="en-CA"/>
        </w:rPr>
        <w:t xml:space="preserve">registered for a particular </w:t>
      </w:r>
      <w:r>
        <w:rPr>
          <w:i/>
          <w:lang w:val="en-CA"/>
        </w:rPr>
        <w:t>delivery point</w:t>
      </w:r>
      <w:r>
        <w:rPr>
          <w:lang w:val="en-CA"/>
        </w:rPr>
        <w:t xml:space="preserve"> are two different </w:t>
      </w:r>
      <w:r>
        <w:rPr>
          <w:i/>
          <w:lang w:val="en-CA"/>
        </w:rPr>
        <w:t>market participants</w:t>
      </w:r>
      <w:r w:rsidR="00490C5D">
        <w:rPr>
          <w:lang w:val="en-CA"/>
        </w:rPr>
        <w:t>,</w:t>
      </w:r>
    </w:p>
    <w:p w14:paraId="1FCD0050" w14:textId="77777777" w:rsidR="00F16529" w:rsidRDefault="00490C5D" w:rsidP="003853C6">
      <w:pPr>
        <w:pStyle w:val="BodyText"/>
        <w:numPr>
          <w:ilvl w:val="0"/>
          <w:numId w:val="39"/>
        </w:numPr>
        <w:rPr>
          <w:lang w:val="en-CA"/>
        </w:rPr>
      </w:pPr>
      <w:r>
        <w:rPr>
          <w:lang w:val="en-CA"/>
        </w:rPr>
        <w:t xml:space="preserve">the </w:t>
      </w:r>
      <w:r w:rsidR="00F16529">
        <w:rPr>
          <w:i/>
          <w:lang w:val="en-CA"/>
        </w:rPr>
        <w:t xml:space="preserve">registered market participant </w:t>
      </w:r>
      <w:r w:rsidR="00F16529">
        <w:rPr>
          <w:lang w:val="en-CA"/>
        </w:rPr>
        <w:t xml:space="preserve">submits </w:t>
      </w:r>
      <w:r w:rsidR="00DA3379" w:rsidRPr="00DA3379">
        <w:rPr>
          <w:i/>
          <w:lang w:val="en-CA"/>
        </w:rPr>
        <w:t>offers</w:t>
      </w:r>
      <w:r w:rsidR="00F16529">
        <w:rPr>
          <w:lang w:val="en-CA"/>
        </w:rPr>
        <w:t xml:space="preserve"> and receives </w:t>
      </w:r>
      <w:r w:rsidR="00DA3379" w:rsidRPr="00DA3379">
        <w:rPr>
          <w:i/>
          <w:lang w:val="en-CA"/>
        </w:rPr>
        <w:t>dispatches</w:t>
      </w:r>
      <w:r w:rsidR="00F16529">
        <w:rPr>
          <w:lang w:val="en-CA"/>
        </w:rPr>
        <w:t xml:space="preserve"> of </w:t>
      </w:r>
      <w:r w:rsidR="00DA3379" w:rsidRPr="00DA3379">
        <w:rPr>
          <w:i/>
          <w:lang w:val="en-CA"/>
        </w:rPr>
        <w:t xml:space="preserve">energy </w:t>
      </w:r>
      <w:r w:rsidR="00F16529">
        <w:rPr>
          <w:lang w:val="en-CA"/>
        </w:rPr>
        <w:t xml:space="preserve">and </w:t>
      </w:r>
      <w:r w:rsidR="00DA3379" w:rsidRPr="00DA3379">
        <w:rPr>
          <w:i/>
          <w:lang w:val="en-CA"/>
        </w:rPr>
        <w:t>operating reserve</w:t>
      </w:r>
      <w:r w:rsidR="00F16529">
        <w:rPr>
          <w:lang w:val="en-CA"/>
        </w:rPr>
        <w:t>; and</w:t>
      </w:r>
    </w:p>
    <w:p w14:paraId="1691CE10" w14:textId="77777777" w:rsidR="00F16529" w:rsidRDefault="00490C5D" w:rsidP="003853C6">
      <w:pPr>
        <w:pStyle w:val="BodyText"/>
        <w:numPr>
          <w:ilvl w:val="0"/>
          <w:numId w:val="39"/>
        </w:numPr>
        <w:rPr>
          <w:lang w:val="en-CA"/>
        </w:rPr>
      </w:pPr>
      <w:r>
        <w:rPr>
          <w:lang w:val="en-CA"/>
        </w:rPr>
        <w:t xml:space="preserve">the </w:t>
      </w:r>
      <w:r w:rsidR="00F16529">
        <w:rPr>
          <w:i/>
          <w:lang w:val="en-CA"/>
        </w:rPr>
        <w:t>settlement amounts</w:t>
      </w:r>
      <w:r w:rsidR="00F16529">
        <w:rPr>
          <w:lang w:val="en-CA"/>
        </w:rPr>
        <w:t xml:space="preserve"> </w:t>
      </w:r>
      <w:r w:rsidR="00E16108">
        <w:rPr>
          <w:lang w:val="en-CA"/>
        </w:rPr>
        <w:t>are applied to</w:t>
      </w:r>
      <w:r w:rsidR="00F16529">
        <w:rPr>
          <w:lang w:val="en-CA"/>
        </w:rPr>
        <w:t xml:space="preserve"> the </w:t>
      </w:r>
      <w:r w:rsidR="00F16529">
        <w:rPr>
          <w:i/>
          <w:lang w:val="en-CA"/>
        </w:rPr>
        <w:t>metered market participant.</w:t>
      </w:r>
      <w:r w:rsidR="00F16529">
        <w:rPr>
          <w:lang w:val="en-CA"/>
        </w:rPr>
        <w:t xml:space="preserve">  The </w:t>
      </w:r>
      <w:r w:rsidR="00F16529">
        <w:rPr>
          <w:i/>
          <w:lang w:val="en-CA"/>
        </w:rPr>
        <w:t>metered market participant</w:t>
      </w:r>
      <w:r w:rsidR="00F16529">
        <w:rPr>
          <w:lang w:val="en-CA"/>
        </w:rPr>
        <w:t xml:space="preserve"> </w:t>
      </w:r>
      <w:r w:rsidR="00C24E22">
        <w:rPr>
          <w:lang w:val="en-CA"/>
        </w:rPr>
        <w:t xml:space="preserve">also </w:t>
      </w:r>
      <w:r w:rsidR="00F16529">
        <w:rPr>
          <w:lang w:val="en-CA"/>
        </w:rPr>
        <w:t xml:space="preserve">receives all supporting data with respect to all </w:t>
      </w:r>
      <w:r w:rsidR="00F16529">
        <w:rPr>
          <w:i/>
          <w:lang w:val="en-CA"/>
        </w:rPr>
        <w:t>charge types</w:t>
      </w:r>
      <w:r w:rsidR="00F16529">
        <w:rPr>
          <w:lang w:val="en-CA"/>
        </w:rPr>
        <w:t xml:space="preserve"> generated for the </w:t>
      </w:r>
      <w:r w:rsidR="00F16529">
        <w:rPr>
          <w:i/>
          <w:lang w:val="en-CA"/>
        </w:rPr>
        <w:t>delivery point</w:t>
      </w:r>
      <w:r w:rsidR="00F16529">
        <w:rPr>
          <w:lang w:val="en-CA"/>
        </w:rPr>
        <w:t>.</w:t>
      </w:r>
    </w:p>
    <w:p w14:paraId="729AFCD9" w14:textId="77777777" w:rsidR="00855CB7" w:rsidRDefault="00BA2895">
      <w:pPr>
        <w:pStyle w:val="BodyText"/>
        <w:rPr>
          <w:lang w:val="en-CA"/>
        </w:rPr>
      </w:pPr>
      <w:r>
        <w:rPr>
          <w:lang w:val="en-CA"/>
        </w:rPr>
        <w:t>Your</w:t>
      </w:r>
      <w:r w:rsidR="00855CB7">
        <w:rPr>
          <w:lang w:val="en-CA"/>
        </w:rPr>
        <w:t xml:space="preserve"> </w:t>
      </w:r>
      <w:r w:rsidR="00855CB7">
        <w:rPr>
          <w:i/>
          <w:lang w:val="en-CA"/>
        </w:rPr>
        <w:t>preliminary</w:t>
      </w:r>
      <w:r w:rsidR="00855CB7">
        <w:rPr>
          <w:lang w:val="en-CA"/>
        </w:rPr>
        <w:t xml:space="preserve"> and </w:t>
      </w:r>
      <w:r w:rsidR="00855CB7">
        <w:rPr>
          <w:i/>
          <w:lang w:val="en-CA"/>
        </w:rPr>
        <w:t>final settlement statement</w:t>
      </w:r>
      <w:r w:rsidR="00855CB7">
        <w:rPr>
          <w:lang w:val="en-CA"/>
        </w:rPr>
        <w:t xml:space="preserve"> files show allocated quantities of </w:t>
      </w:r>
      <w:r w:rsidR="00855CB7">
        <w:rPr>
          <w:i/>
          <w:lang w:val="en-CA"/>
        </w:rPr>
        <w:t xml:space="preserve">energy </w:t>
      </w:r>
      <w:r w:rsidR="00855CB7">
        <w:rPr>
          <w:lang w:val="en-CA"/>
        </w:rPr>
        <w:t xml:space="preserve">withdrawn or injected by each of </w:t>
      </w:r>
      <w:r>
        <w:rPr>
          <w:lang w:val="en-CA"/>
        </w:rPr>
        <w:t>your</w:t>
      </w:r>
      <w:r w:rsidR="00855CB7">
        <w:rPr>
          <w:lang w:val="en-CA"/>
        </w:rPr>
        <w:t xml:space="preserve"> </w:t>
      </w:r>
      <w:r w:rsidR="00855CB7">
        <w:rPr>
          <w:i/>
          <w:lang w:val="en-CA"/>
        </w:rPr>
        <w:t>registered facilities</w:t>
      </w:r>
      <w:r>
        <w:rPr>
          <w:lang w:val="en-CA"/>
        </w:rPr>
        <w:t xml:space="preserve">. </w:t>
      </w:r>
      <w:r w:rsidR="00855CB7">
        <w:rPr>
          <w:lang w:val="en-CA"/>
        </w:rPr>
        <w:t xml:space="preserve">The </w:t>
      </w:r>
      <w:r w:rsidR="00855CB7">
        <w:rPr>
          <w:i/>
          <w:lang w:val="en-CA"/>
        </w:rPr>
        <w:t>preliminary</w:t>
      </w:r>
      <w:r w:rsidR="00855CB7">
        <w:rPr>
          <w:lang w:val="en-CA"/>
        </w:rPr>
        <w:t xml:space="preserve"> and </w:t>
      </w:r>
      <w:r w:rsidR="00855CB7">
        <w:rPr>
          <w:i/>
          <w:lang w:val="en-CA"/>
        </w:rPr>
        <w:t>final settlement statement</w:t>
      </w:r>
      <w:r w:rsidR="00855CB7">
        <w:rPr>
          <w:lang w:val="en-CA"/>
        </w:rPr>
        <w:t xml:space="preserve"> files are composed of four record sections:</w:t>
      </w:r>
    </w:p>
    <w:p w14:paraId="3EE30426" w14:textId="77777777" w:rsidR="00855CB7" w:rsidRDefault="00855CB7" w:rsidP="003853C6">
      <w:pPr>
        <w:pStyle w:val="BodyText"/>
        <w:numPr>
          <w:ilvl w:val="0"/>
          <w:numId w:val="7"/>
        </w:numPr>
        <w:tabs>
          <w:tab w:val="clear" w:pos="360"/>
          <w:tab w:val="num" w:pos="420"/>
        </w:tabs>
        <w:ind w:left="420"/>
        <w:rPr>
          <w:lang w:val="en-CA"/>
        </w:rPr>
      </w:pPr>
      <w:r>
        <w:rPr>
          <w:b/>
          <w:lang w:val="en-CA"/>
        </w:rPr>
        <w:t>Header Record:</w:t>
      </w:r>
      <w:r>
        <w:rPr>
          <w:lang w:val="en-CA"/>
        </w:rPr>
        <w:t xml:space="preserve"> </w:t>
      </w:r>
      <w:r w:rsidR="008C3ADC">
        <w:rPr>
          <w:lang w:val="en-CA"/>
        </w:rPr>
        <w:t xml:space="preserve"> </w:t>
      </w:r>
      <w:r>
        <w:rPr>
          <w:lang w:val="en-CA"/>
        </w:rPr>
        <w:t>The header record identifies the contents of the file</w:t>
      </w:r>
      <w:r w:rsidR="001D4963">
        <w:rPr>
          <w:lang w:val="en-CA"/>
        </w:rPr>
        <w:t xml:space="preserve">. It </w:t>
      </w:r>
      <w:r>
        <w:rPr>
          <w:lang w:val="en-CA"/>
        </w:rPr>
        <w:t>includ</w:t>
      </w:r>
      <w:r w:rsidR="001D4963">
        <w:rPr>
          <w:lang w:val="en-CA"/>
        </w:rPr>
        <w:t>es</w:t>
      </w:r>
      <w:r>
        <w:rPr>
          <w:lang w:val="en-CA"/>
        </w:rPr>
        <w:t xml:space="preserve"> information such as the statement number, statement type (physical or financial market), </w:t>
      </w:r>
      <w:r>
        <w:rPr>
          <w:i/>
          <w:lang w:val="en-CA"/>
        </w:rPr>
        <w:t>settlement</w:t>
      </w:r>
      <w:r>
        <w:rPr>
          <w:lang w:val="en-CA"/>
        </w:rPr>
        <w:t xml:space="preserve"> type (preliminary or final), total due amount for </w:t>
      </w:r>
      <w:r>
        <w:rPr>
          <w:i/>
          <w:lang w:val="en-CA"/>
        </w:rPr>
        <w:t>trading day</w:t>
      </w:r>
      <w:r>
        <w:rPr>
          <w:lang w:val="en-CA"/>
        </w:rPr>
        <w:t xml:space="preserve"> and the </w:t>
      </w:r>
      <w:r w:rsidR="00DA3379" w:rsidRPr="00DA3379">
        <w:rPr>
          <w:i/>
          <w:lang w:val="en-CA"/>
        </w:rPr>
        <w:t>billing period</w:t>
      </w:r>
      <w:r>
        <w:rPr>
          <w:lang w:val="en-CA"/>
        </w:rPr>
        <w:t xml:space="preserve"> total to date.</w:t>
      </w:r>
    </w:p>
    <w:p w14:paraId="2622EE43" w14:textId="77777777" w:rsidR="00855CB7" w:rsidRDefault="00855CB7" w:rsidP="003853C6">
      <w:pPr>
        <w:pStyle w:val="BodyText"/>
        <w:numPr>
          <w:ilvl w:val="0"/>
          <w:numId w:val="7"/>
        </w:numPr>
        <w:tabs>
          <w:tab w:val="clear" w:pos="360"/>
          <w:tab w:val="num" w:pos="420"/>
        </w:tabs>
        <w:ind w:left="420"/>
        <w:rPr>
          <w:lang w:val="en-CA"/>
        </w:rPr>
      </w:pPr>
      <w:r>
        <w:rPr>
          <w:b/>
          <w:lang w:val="en-CA"/>
        </w:rPr>
        <w:t>Summary Records:</w:t>
      </w:r>
      <w:r w:rsidRPr="008C3ADC">
        <w:rPr>
          <w:lang w:val="en-CA"/>
        </w:rPr>
        <w:t xml:space="preserve"> </w:t>
      </w:r>
      <w:r w:rsidR="008C3ADC" w:rsidRPr="008C3ADC">
        <w:rPr>
          <w:lang w:val="en-CA"/>
        </w:rPr>
        <w:t xml:space="preserve"> </w:t>
      </w:r>
      <w:r>
        <w:rPr>
          <w:lang w:val="en-CA"/>
        </w:rPr>
        <w:t xml:space="preserve">These records provide a summary of all </w:t>
      </w:r>
      <w:r>
        <w:rPr>
          <w:i/>
          <w:lang w:val="en-CA"/>
        </w:rPr>
        <w:t>settlement amounts</w:t>
      </w:r>
      <w:r>
        <w:rPr>
          <w:lang w:val="en-CA"/>
        </w:rPr>
        <w:t xml:space="preserve"> and manual line item records in the </w:t>
      </w:r>
      <w:r>
        <w:rPr>
          <w:i/>
          <w:lang w:val="en-CA"/>
        </w:rPr>
        <w:t>settlement statement</w:t>
      </w:r>
      <w:r>
        <w:rPr>
          <w:lang w:val="en-CA"/>
        </w:rPr>
        <w:t xml:space="preserve"> file (as set out in </w:t>
      </w:r>
      <w:r w:rsidR="001D4963">
        <w:rPr>
          <w:lang w:val="en-CA"/>
        </w:rPr>
        <w:t>record s</w:t>
      </w:r>
      <w:r>
        <w:rPr>
          <w:lang w:val="en-CA"/>
        </w:rPr>
        <w:t>ections 3 and 4</w:t>
      </w:r>
      <w:r w:rsidR="001D4963">
        <w:rPr>
          <w:lang w:val="en-CA"/>
        </w:rPr>
        <w:t xml:space="preserve"> below</w:t>
      </w:r>
      <w:r>
        <w:rPr>
          <w:lang w:val="en-CA"/>
        </w:rPr>
        <w:t xml:space="preserve">). One record is provided for each </w:t>
      </w:r>
      <w:r>
        <w:rPr>
          <w:i/>
          <w:lang w:val="en-CA"/>
        </w:rPr>
        <w:t>trading day</w:t>
      </w:r>
      <w:r>
        <w:rPr>
          <w:lang w:val="en-CA"/>
        </w:rPr>
        <w:t xml:space="preserve"> and for each type of </w:t>
      </w:r>
      <w:r>
        <w:rPr>
          <w:i/>
          <w:lang w:val="en-CA"/>
        </w:rPr>
        <w:t>settlement amount</w:t>
      </w:r>
      <w:r>
        <w:rPr>
          <w:lang w:val="en-CA"/>
        </w:rPr>
        <w:t xml:space="preserve"> reflected in the line item records (see below).  Each summary record identifies and describes the type of </w:t>
      </w:r>
      <w:r>
        <w:rPr>
          <w:i/>
          <w:lang w:val="en-CA"/>
        </w:rPr>
        <w:t>settlement amount</w:t>
      </w:r>
      <w:r>
        <w:rPr>
          <w:lang w:val="en-CA"/>
        </w:rPr>
        <w:t xml:space="preserve">, specifies the </w:t>
      </w:r>
      <w:r>
        <w:rPr>
          <w:i/>
          <w:lang w:val="en-CA"/>
        </w:rPr>
        <w:t>trading day</w:t>
      </w:r>
      <w:r>
        <w:rPr>
          <w:lang w:val="en-CA"/>
        </w:rPr>
        <w:t xml:space="preserve"> and the total net amount for each type of </w:t>
      </w:r>
      <w:r>
        <w:rPr>
          <w:i/>
          <w:lang w:val="en-CA"/>
        </w:rPr>
        <w:t>settlement amount</w:t>
      </w:r>
      <w:r>
        <w:rPr>
          <w:lang w:val="en-CA"/>
        </w:rPr>
        <w:t>, and indicates whether the summary record is an adjustment record.</w:t>
      </w:r>
    </w:p>
    <w:p w14:paraId="251B4C9E" w14:textId="77777777" w:rsidR="00EC3D03" w:rsidRDefault="00855CB7" w:rsidP="003853C6">
      <w:pPr>
        <w:pStyle w:val="BodyText"/>
        <w:numPr>
          <w:ilvl w:val="0"/>
          <w:numId w:val="7"/>
        </w:numPr>
        <w:tabs>
          <w:tab w:val="clear" w:pos="360"/>
          <w:tab w:val="num" w:pos="420"/>
        </w:tabs>
        <w:ind w:left="420"/>
        <w:rPr>
          <w:lang w:val="en-CA"/>
        </w:rPr>
      </w:pPr>
      <w:r w:rsidRPr="00914E21">
        <w:rPr>
          <w:b/>
          <w:i/>
          <w:lang w:val="en-CA"/>
        </w:rPr>
        <w:t>Settlement</w:t>
      </w:r>
      <w:r w:rsidRPr="00252782">
        <w:rPr>
          <w:b/>
          <w:lang w:val="en-CA"/>
        </w:rPr>
        <w:t xml:space="preserve"> Detail Records</w:t>
      </w:r>
      <w:r w:rsidRPr="00252782">
        <w:rPr>
          <w:lang w:val="en-CA"/>
        </w:rPr>
        <w:t xml:space="preserve">: </w:t>
      </w:r>
      <w:r w:rsidR="008C3ADC">
        <w:rPr>
          <w:lang w:val="en-CA"/>
        </w:rPr>
        <w:t xml:space="preserve"> </w:t>
      </w:r>
      <w:r w:rsidRPr="00252782">
        <w:rPr>
          <w:lang w:val="en-CA"/>
        </w:rPr>
        <w:t xml:space="preserve">These records provide the details of each </w:t>
      </w:r>
      <w:r w:rsidR="00252782">
        <w:rPr>
          <w:lang w:val="en-CA"/>
        </w:rPr>
        <w:t xml:space="preserve">of your </w:t>
      </w:r>
      <w:r w:rsidRPr="00252782">
        <w:rPr>
          <w:lang w:val="en-CA"/>
        </w:rPr>
        <w:t xml:space="preserve">individual </w:t>
      </w:r>
      <w:r w:rsidRPr="00252782">
        <w:rPr>
          <w:i/>
          <w:lang w:val="en-CA"/>
        </w:rPr>
        <w:t>settlement</w:t>
      </w:r>
      <w:r w:rsidRPr="00252782">
        <w:rPr>
          <w:lang w:val="en-CA"/>
        </w:rPr>
        <w:t xml:space="preserve"> line item</w:t>
      </w:r>
      <w:r w:rsidR="00252782">
        <w:rPr>
          <w:lang w:val="en-CA"/>
        </w:rPr>
        <w:t>s</w:t>
      </w:r>
      <w:r w:rsidRPr="00252782">
        <w:rPr>
          <w:lang w:val="en-CA"/>
        </w:rPr>
        <w:t xml:space="preserve"> that </w:t>
      </w:r>
      <w:r w:rsidR="00252782">
        <w:rPr>
          <w:lang w:val="en-CA"/>
        </w:rPr>
        <w:t>are</w:t>
      </w:r>
      <w:r w:rsidR="00252782" w:rsidRPr="00252782">
        <w:rPr>
          <w:lang w:val="en-CA"/>
        </w:rPr>
        <w:t xml:space="preserve"> </w:t>
      </w:r>
      <w:r w:rsidRPr="00252782">
        <w:rPr>
          <w:lang w:val="en-CA"/>
        </w:rPr>
        <w:t xml:space="preserve">created by </w:t>
      </w:r>
      <w:r w:rsidR="00252782">
        <w:rPr>
          <w:lang w:val="en-CA"/>
        </w:rPr>
        <w:t>our</w:t>
      </w:r>
      <w:r w:rsidR="00252782" w:rsidRPr="00252782">
        <w:rPr>
          <w:lang w:val="en-CA"/>
        </w:rPr>
        <w:t xml:space="preserve"> </w:t>
      </w:r>
      <w:r w:rsidRPr="00252782">
        <w:rPr>
          <w:i/>
          <w:lang w:val="en-CA"/>
        </w:rPr>
        <w:t>settlement</w:t>
      </w:r>
      <w:r w:rsidRPr="00252782">
        <w:rPr>
          <w:lang w:val="en-CA"/>
        </w:rPr>
        <w:t xml:space="preserve"> system.  </w:t>
      </w:r>
      <w:r w:rsidRPr="00252782">
        <w:rPr>
          <w:i/>
          <w:lang w:val="en-CA"/>
        </w:rPr>
        <w:t>Settlement</w:t>
      </w:r>
      <w:r w:rsidRPr="00252782">
        <w:rPr>
          <w:lang w:val="en-CA"/>
        </w:rPr>
        <w:t xml:space="preserve"> detail records include information such as</w:t>
      </w:r>
      <w:r w:rsidR="00EC3D03">
        <w:rPr>
          <w:lang w:val="en-CA"/>
        </w:rPr>
        <w:t>:</w:t>
      </w:r>
    </w:p>
    <w:p w14:paraId="23571FCB" w14:textId="77777777" w:rsidR="00EC3D03" w:rsidRDefault="00490C5D" w:rsidP="003853C6">
      <w:pPr>
        <w:pStyle w:val="BodyText"/>
        <w:numPr>
          <w:ilvl w:val="0"/>
          <w:numId w:val="40"/>
        </w:numPr>
        <w:rPr>
          <w:lang w:val="en-CA"/>
        </w:rPr>
      </w:pPr>
      <w:r>
        <w:rPr>
          <w:i/>
          <w:lang w:val="en-CA"/>
        </w:rPr>
        <w:t>t</w:t>
      </w:r>
      <w:r w:rsidRPr="00252782">
        <w:rPr>
          <w:i/>
          <w:lang w:val="en-CA"/>
        </w:rPr>
        <w:t xml:space="preserve">rading </w:t>
      </w:r>
      <w:r w:rsidR="00855CB7" w:rsidRPr="00252782">
        <w:rPr>
          <w:i/>
          <w:lang w:val="en-CA"/>
        </w:rPr>
        <w:t>day</w:t>
      </w:r>
      <w:r w:rsidR="00EC3D03">
        <w:rPr>
          <w:lang w:val="en-CA"/>
        </w:rPr>
        <w:t>;</w:t>
      </w:r>
    </w:p>
    <w:p w14:paraId="606B72C8" w14:textId="77777777" w:rsidR="00EC3D03" w:rsidRDefault="00490C5D" w:rsidP="003853C6">
      <w:pPr>
        <w:pStyle w:val="BodyText"/>
        <w:numPr>
          <w:ilvl w:val="0"/>
          <w:numId w:val="40"/>
        </w:numPr>
        <w:rPr>
          <w:lang w:val="en-CA"/>
        </w:rPr>
      </w:pPr>
      <w:r>
        <w:rPr>
          <w:lang w:val="en-CA"/>
        </w:rPr>
        <w:t>r</w:t>
      </w:r>
      <w:r w:rsidRPr="00252782">
        <w:rPr>
          <w:lang w:val="en-CA"/>
        </w:rPr>
        <w:t xml:space="preserve">elevant </w:t>
      </w:r>
      <w:r w:rsidR="00855CB7" w:rsidRPr="00252782">
        <w:rPr>
          <w:lang w:val="en-CA"/>
        </w:rPr>
        <w:t>hour(s)</w:t>
      </w:r>
      <w:r w:rsidR="00EC3D03">
        <w:rPr>
          <w:lang w:val="en-CA"/>
        </w:rPr>
        <w:t>;</w:t>
      </w:r>
    </w:p>
    <w:p w14:paraId="151F39CD" w14:textId="77777777" w:rsidR="00EC3D03" w:rsidRDefault="00490C5D" w:rsidP="003853C6">
      <w:pPr>
        <w:pStyle w:val="BodyText"/>
        <w:numPr>
          <w:ilvl w:val="0"/>
          <w:numId w:val="40"/>
        </w:numPr>
        <w:rPr>
          <w:lang w:val="en-CA"/>
        </w:rPr>
      </w:pPr>
      <w:r>
        <w:rPr>
          <w:lang w:val="en-CA"/>
        </w:rPr>
        <w:t>t</w:t>
      </w:r>
      <w:r w:rsidRPr="00252782">
        <w:rPr>
          <w:lang w:val="en-CA"/>
        </w:rPr>
        <w:t xml:space="preserve">ime </w:t>
      </w:r>
      <w:r w:rsidR="00EC3D03" w:rsidRPr="00252782">
        <w:rPr>
          <w:lang w:val="en-CA"/>
        </w:rPr>
        <w:t>interval</w:t>
      </w:r>
      <w:r w:rsidR="00EC3D03">
        <w:rPr>
          <w:lang w:val="en-CA"/>
        </w:rPr>
        <w:t xml:space="preserve">, which is dependent upon the </w:t>
      </w:r>
      <w:r w:rsidR="00EC3D03" w:rsidRPr="00252782">
        <w:rPr>
          <w:lang w:val="en-CA"/>
        </w:rPr>
        <w:t xml:space="preserve">type of </w:t>
      </w:r>
      <w:r w:rsidR="00EC3D03" w:rsidRPr="00252782">
        <w:rPr>
          <w:i/>
          <w:lang w:val="en-CA"/>
        </w:rPr>
        <w:t>settlement amount</w:t>
      </w:r>
      <w:r w:rsidR="00EC3D03">
        <w:rPr>
          <w:lang w:val="en-CA"/>
        </w:rPr>
        <w:t>;</w:t>
      </w:r>
    </w:p>
    <w:p w14:paraId="69F92A76" w14:textId="77777777" w:rsidR="00EC3D03" w:rsidRDefault="00490C5D" w:rsidP="003853C6">
      <w:pPr>
        <w:pStyle w:val="BodyText"/>
        <w:numPr>
          <w:ilvl w:val="0"/>
          <w:numId w:val="40"/>
        </w:numPr>
        <w:rPr>
          <w:lang w:val="en-CA"/>
        </w:rPr>
      </w:pPr>
      <w:r>
        <w:rPr>
          <w:i/>
          <w:lang w:val="en-CA"/>
        </w:rPr>
        <w:t>s</w:t>
      </w:r>
      <w:r w:rsidRPr="00252782">
        <w:rPr>
          <w:i/>
          <w:lang w:val="en-CA"/>
        </w:rPr>
        <w:t xml:space="preserve">ettlement </w:t>
      </w:r>
      <w:r w:rsidR="00855CB7" w:rsidRPr="00252782">
        <w:rPr>
          <w:i/>
          <w:lang w:val="en-CA"/>
        </w:rPr>
        <w:t>amounts</w:t>
      </w:r>
      <w:r w:rsidR="00EC3D03">
        <w:rPr>
          <w:lang w:val="en-CA"/>
        </w:rPr>
        <w:t>;</w:t>
      </w:r>
    </w:p>
    <w:p w14:paraId="16DEEB87" w14:textId="77777777" w:rsidR="00EC3D03" w:rsidRDefault="00490C5D" w:rsidP="003853C6">
      <w:pPr>
        <w:pStyle w:val="BodyText"/>
        <w:numPr>
          <w:ilvl w:val="0"/>
          <w:numId w:val="40"/>
        </w:numPr>
        <w:rPr>
          <w:lang w:val="en-CA"/>
        </w:rPr>
      </w:pPr>
      <w:r>
        <w:rPr>
          <w:lang w:val="en-CA"/>
        </w:rPr>
        <w:t>t</w:t>
      </w:r>
      <w:r w:rsidRPr="00252782">
        <w:rPr>
          <w:lang w:val="en-CA"/>
        </w:rPr>
        <w:t xml:space="preserve">he </w:t>
      </w:r>
      <w:r w:rsidR="00EC3D03">
        <w:rPr>
          <w:lang w:val="en-CA"/>
        </w:rPr>
        <w:t xml:space="preserve">applicable </w:t>
      </w:r>
      <w:r w:rsidR="00855CB7" w:rsidRPr="00252782">
        <w:rPr>
          <w:lang w:val="en-CA"/>
        </w:rPr>
        <w:t>zone and location IDs</w:t>
      </w:r>
      <w:r w:rsidR="00EC3D03">
        <w:rPr>
          <w:lang w:val="en-CA"/>
        </w:rPr>
        <w:t>;</w:t>
      </w:r>
    </w:p>
    <w:p w14:paraId="00FE5AC9" w14:textId="77777777" w:rsidR="00EC3D03" w:rsidRDefault="00490C5D" w:rsidP="003853C6">
      <w:pPr>
        <w:pStyle w:val="BodyText"/>
        <w:numPr>
          <w:ilvl w:val="0"/>
          <w:numId w:val="40"/>
        </w:numPr>
        <w:rPr>
          <w:lang w:val="en-CA"/>
        </w:rPr>
      </w:pPr>
      <w:r>
        <w:rPr>
          <w:i/>
          <w:lang w:val="en-CA"/>
        </w:rPr>
        <w:t>s</w:t>
      </w:r>
      <w:r w:rsidRPr="00252782">
        <w:rPr>
          <w:i/>
          <w:lang w:val="en-CA"/>
        </w:rPr>
        <w:t>ettlement</w:t>
      </w:r>
      <w:r w:rsidRPr="00252782">
        <w:rPr>
          <w:lang w:val="en-CA"/>
        </w:rPr>
        <w:t xml:space="preserve"> </w:t>
      </w:r>
      <w:r w:rsidR="00855CB7" w:rsidRPr="00252782">
        <w:rPr>
          <w:lang w:val="en-CA"/>
        </w:rPr>
        <w:t>type (preliminary or final)</w:t>
      </w:r>
      <w:r w:rsidR="003D683A">
        <w:rPr>
          <w:lang w:val="en-CA"/>
        </w:rPr>
        <w:t>;</w:t>
      </w:r>
    </w:p>
    <w:p w14:paraId="38ED8219" w14:textId="77777777" w:rsidR="00EC3D03" w:rsidRDefault="00490C5D" w:rsidP="003853C6">
      <w:pPr>
        <w:pStyle w:val="BodyText"/>
        <w:numPr>
          <w:ilvl w:val="0"/>
          <w:numId w:val="40"/>
        </w:numPr>
        <w:rPr>
          <w:lang w:val="en-CA"/>
        </w:rPr>
      </w:pPr>
      <w:r>
        <w:rPr>
          <w:lang w:val="en-CA"/>
        </w:rPr>
        <w:t>q</w:t>
      </w:r>
      <w:r w:rsidRPr="00252782">
        <w:rPr>
          <w:lang w:val="en-CA"/>
        </w:rPr>
        <w:t xml:space="preserve">uantity </w:t>
      </w:r>
      <w:r w:rsidR="00855CB7" w:rsidRPr="00252782">
        <w:rPr>
          <w:lang w:val="en-CA"/>
        </w:rPr>
        <w:t>of megawatt-hours (MWh) to be billed</w:t>
      </w:r>
      <w:r w:rsidR="00EC3D03">
        <w:rPr>
          <w:lang w:val="en-CA"/>
        </w:rPr>
        <w:t xml:space="preserve">; </w:t>
      </w:r>
      <w:r w:rsidR="00855CB7" w:rsidRPr="00252782">
        <w:rPr>
          <w:lang w:val="en-CA"/>
        </w:rPr>
        <w:t>and</w:t>
      </w:r>
    </w:p>
    <w:p w14:paraId="0AA4D1F4" w14:textId="77777777" w:rsidR="00EC3D03" w:rsidRDefault="00490C5D" w:rsidP="003853C6">
      <w:pPr>
        <w:pStyle w:val="BodyText"/>
        <w:numPr>
          <w:ilvl w:val="0"/>
          <w:numId w:val="40"/>
        </w:numPr>
        <w:rPr>
          <w:lang w:val="en-CA"/>
        </w:rPr>
      </w:pPr>
      <w:r>
        <w:rPr>
          <w:lang w:val="en-CA"/>
        </w:rPr>
        <w:t>p</w:t>
      </w:r>
      <w:r w:rsidRPr="00252782">
        <w:rPr>
          <w:lang w:val="en-CA"/>
        </w:rPr>
        <w:t xml:space="preserve">rice </w:t>
      </w:r>
      <w:r w:rsidR="00EC3D03">
        <w:rPr>
          <w:lang w:val="en-CA"/>
        </w:rPr>
        <w:t>(</w:t>
      </w:r>
      <w:r w:rsidR="00855CB7" w:rsidRPr="00252782">
        <w:rPr>
          <w:lang w:val="en-CA"/>
        </w:rPr>
        <w:t>in $/MWh</w:t>
      </w:r>
      <w:r w:rsidR="00EC3D03">
        <w:rPr>
          <w:lang w:val="en-CA"/>
        </w:rPr>
        <w:t>)</w:t>
      </w:r>
      <w:r w:rsidR="00855CB7" w:rsidRPr="00252782">
        <w:rPr>
          <w:lang w:val="en-CA"/>
        </w:rPr>
        <w:t xml:space="preserve"> at which </w:t>
      </w:r>
      <w:r w:rsidR="00EC3D03">
        <w:rPr>
          <w:lang w:val="en-CA"/>
        </w:rPr>
        <w:t>the</w:t>
      </w:r>
      <w:r w:rsidR="00855CB7" w:rsidRPr="00252782">
        <w:rPr>
          <w:lang w:val="en-CA"/>
        </w:rPr>
        <w:t xml:space="preserve"> quantity </w:t>
      </w:r>
      <w:r w:rsidR="00EC3D03">
        <w:rPr>
          <w:lang w:val="en-CA"/>
        </w:rPr>
        <w:t xml:space="preserve">of megawatt-hours </w:t>
      </w:r>
      <w:r w:rsidR="00855CB7" w:rsidRPr="00252782">
        <w:rPr>
          <w:lang w:val="en-CA"/>
        </w:rPr>
        <w:t>will be billed.</w:t>
      </w:r>
    </w:p>
    <w:p w14:paraId="7017268D" w14:textId="77777777" w:rsidR="00855CB7" w:rsidRPr="00252782" w:rsidRDefault="00855CB7" w:rsidP="00EC3D03">
      <w:pPr>
        <w:pStyle w:val="BodyText"/>
        <w:ind w:left="420"/>
        <w:rPr>
          <w:lang w:val="en-CA"/>
        </w:rPr>
      </w:pPr>
      <w:r w:rsidRPr="00252782">
        <w:rPr>
          <w:lang w:val="en-CA"/>
        </w:rPr>
        <w:lastRenderedPageBreak/>
        <w:t xml:space="preserve">The </w:t>
      </w:r>
      <w:r w:rsidRPr="00252782">
        <w:rPr>
          <w:i/>
          <w:lang w:val="en-CA"/>
        </w:rPr>
        <w:t>trading day</w:t>
      </w:r>
      <w:r w:rsidRPr="00252782">
        <w:rPr>
          <w:lang w:val="en-CA"/>
        </w:rPr>
        <w:t xml:space="preserve"> stipulated for each </w:t>
      </w:r>
      <w:r w:rsidRPr="00252782">
        <w:rPr>
          <w:i/>
          <w:lang w:val="en-CA"/>
        </w:rPr>
        <w:t>settlement amount</w:t>
      </w:r>
      <w:r w:rsidRPr="00252782">
        <w:rPr>
          <w:lang w:val="en-CA"/>
        </w:rPr>
        <w:t xml:space="preserve"> will not always match the </w:t>
      </w:r>
      <w:r w:rsidRPr="00252782">
        <w:rPr>
          <w:i/>
          <w:lang w:val="en-CA"/>
        </w:rPr>
        <w:t>trading day</w:t>
      </w:r>
      <w:r w:rsidRPr="00252782">
        <w:rPr>
          <w:lang w:val="en-CA"/>
        </w:rPr>
        <w:t xml:space="preserve"> specified in the header record.  New </w:t>
      </w:r>
      <w:r w:rsidRPr="00252782">
        <w:rPr>
          <w:i/>
          <w:lang w:val="en-CA"/>
        </w:rPr>
        <w:t>settlement</w:t>
      </w:r>
      <w:r w:rsidRPr="00252782">
        <w:rPr>
          <w:lang w:val="en-CA"/>
        </w:rPr>
        <w:t xml:space="preserve"> details for prior </w:t>
      </w:r>
      <w:r w:rsidRPr="00252782">
        <w:rPr>
          <w:i/>
          <w:lang w:val="en-CA"/>
        </w:rPr>
        <w:t>trading days</w:t>
      </w:r>
      <w:r w:rsidRPr="00252782">
        <w:rPr>
          <w:lang w:val="en-CA"/>
        </w:rPr>
        <w:t xml:space="preserve"> may be included in </w:t>
      </w:r>
      <w:r w:rsidR="007C2663">
        <w:rPr>
          <w:lang w:val="en-CA"/>
        </w:rPr>
        <w:t>your</w:t>
      </w:r>
      <w:r w:rsidR="007C2663" w:rsidRPr="00252782">
        <w:rPr>
          <w:lang w:val="en-CA"/>
        </w:rPr>
        <w:t xml:space="preserve"> </w:t>
      </w:r>
      <w:r w:rsidRPr="00252782">
        <w:rPr>
          <w:i/>
          <w:lang w:val="en-CA"/>
        </w:rPr>
        <w:t>preliminary settlement statement</w:t>
      </w:r>
      <w:r w:rsidRPr="00252782">
        <w:rPr>
          <w:lang w:val="en-CA"/>
        </w:rPr>
        <w:t xml:space="preserve"> file and subsequently on a </w:t>
      </w:r>
      <w:r w:rsidRPr="00252782">
        <w:rPr>
          <w:i/>
          <w:lang w:val="en-CA"/>
        </w:rPr>
        <w:t>final settlement statement</w:t>
      </w:r>
      <w:r w:rsidRPr="00252782">
        <w:rPr>
          <w:lang w:val="en-CA"/>
        </w:rPr>
        <w:t xml:space="preserve">.  A number of the fields on the </w:t>
      </w:r>
      <w:r w:rsidRPr="00252782">
        <w:rPr>
          <w:i/>
          <w:lang w:val="en-CA"/>
        </w:rPr>
        <w:t>settlement</w:t>
      </w:r>
      <w:r w:rsidRPr="00252782">
        <w:rPr>
          <w:lang w:val="en-CA"/>
        </w:rPr>
        <w:t xml:space="preserve"> detail records may have different meanings when used with different </w:t>
      </w:r>
      <w:r w:rsidRPr="00252782">
        <w:rPr>
          <w:i/>
          <w:lang w:val="en-CA"/>
        </w:rPr>
        <w:t>charge types</w:t>
      </w:r>
      <w:r w:rsidRPr="00252782">
        <w:rPr>
          <w:lang w:val="en-CA"/>
        </w:rPr>
        <w:t>.</w:t>
      </w:r>
    </w:p>
    <w:p w14:paraId="432ECFCE" w14:textId="77777777" w:rsidR="00855CB7" w:rsidRDefault="00855CB7" w:rsidP="003853C6">
      <w:pPr>
        <w:pStyle w:val="BodyText"/>
        <w:numPr>
          <w:ilvl w:val="0"/>
          <w:numId w:val="7"/>
        </w:numPr>
        <w:tabs>
          <w:tab w:val="clear" w:pos="360"/>
          <w:tab w:val="num" w:pos="420"/>
        </w:tabs>
        <w:ind w:left="420"/>
        <w:rPr>
          <w:lang w:val="en-CA"/>
        </w:rPr>
      </w:pPr>
      <w:r>
        <w:rPr>
          <w:b/>
          <w:lang w:val="en-CA"/>
        </w:rPr>
        <w:t>Manual Line Item Records:</w:t>
      </w:r>
      <w:r w:rsidRPr="008C3ADC">
        <w:rPr>
          <w:lang w:val="en-CA"/>
        </w:rPr>
        <w:t xml:space="preserve"> </w:t>
      </w:r>
      <w:r w:rsidR="008C3ADC" w:rsidRPr="008C3ADC">
        <w:rPr>
          <w:lang w:val="en-CA"/>
        </w:rPr>
        <w:t xml:space="preserve"> </w:t>
      </w:r>
      <w:r>
        <w:rPr>
          <w:lang w:val="en-CA"/>
        </w:rPr>
        <w:t xml:space="preserve">This final section of the </w:t>
      </w:r>
      <w:r>
        <w:rPr>
          <w:i/>
          <w:lang w:val="en-CA"/>
        </w:rPr>
        <w:t>settlement statement</w:t>
      </w:r>
      <w:r>
        <w:rPr>
          <w:lang w:val="en-CA"/>
        </w:rPr>
        <w:t xml:space="preserve"> includes records that identify each </w:t>
      </w:r>
      <w:r w:rsidR="007C2663">
        <w:rPr>
          <w:lang w:val="en-CA"/>
        </w:rPr>
        <w:t xml:space="preserve">of your </w:t>
      </w:r>
      <w:r>
        <w:rPr>
          <w:lang w:val="en-CA"/>
        </w:rPr>
        <w:t>manual line item</w:t>
      </w:r>
      <w:r w:rsidR="007C2663">
        <w:rPr>
          <w:lang w:val="en-CA"/>
        </w:rPr>
        <w:t>s</w:t>
      </w:r>
      <w:r>
        <w:rPr>
          <w:lang w:val="en-CA"/>
        </w:rPr>
        <w:t xml:space="preserve"> that </w:t>
      </w:r>
      <w:r w:rsidR="007C2663">
        <w:rPr>
          <w:lang w:val="en-CA"/>
        </w:rPr>
        <w:t xml:space="preserve">we have </w:t>
      </w:r>
      <w:r>
        <w:rPr>
          <w:lang w:val="en-CA"/>
        </w:rPr>
        <w:t>entered</w:t>
      </w:r>
      <w:r>
        <w:rPr>
          <w:rStyle w:val="FootnoteReference"/>
          <w:lang w:val="en-CA"/>
        </w:rPr>
        <w:footnoteReference w:id="5"/>
      </w:r>
      <w:r>
        <w:rPr>
          <w:lang w:val="en-CA"/>
        </w:rPr>
        <w:t>.</w:t>
      </w:r>
    </w:p>
    <w:p w14:paraId="75E6F0EB" w14:textId="77777777" w:rsidR="00855CB7" w:rsidRDefault="005812ED" w:rsidP="00594491">
      <w:pPr>
        <w:pStyle w:val="BodyText"/>
        <w:rPr>
          <w:lang w:val="en-CA"/>
        </w:rPr>
      </w:pPr>
      <w:r>
        <w:rPr>
          <w:lang w:val="en-CA"/>
        </w:rPr>
        <w:t>We</w:t>
      </w:r>
      <w:r w:rsidR="00855CB7">
        <w:rPr>
          <w:lang w:val="en-CA"/>
        </w:rPr>
        <w:t xml:space="preserve"> will </w:t>
      </w:r>
      <w:r>
        <w:rPr>
          <w:lang w:val="en-CA"/>
        </w:rPr>
        <w:t xml:space="preserve">also </w:t>
      </w:r>
      <w:r w:rsidR="00855CB7">
        <w:rPr>
          <w:lang w:val="en-CA"/>
        </w:rPr>
        <w:t xml:space="preserve">issue a companion data file with the statement file described above.  The data file provides </w:t>
      </w:r>
      <w:r w:rsidR="00C46CB6">
        <w:rPr>
          <w:lang w:val="en-CA"/>
        </w:rPr>
        <w:t>you</w:t>
      </w:r>
      <w:r w:rsidR="00855CB7">
        <w:rPr>
          <w:lang w:val="en-CA"/>
        </w:rPr>
        <w:t xml:space="preserve"> with the supporting data used to calculate the </w:t>
      </w:r>
      <w:r w:rsidR="00855CB7">
        <w:rPr>
          <w:i/>
          <w:lang w:val="en-CA"/>
        </w:rPr>
        <w:t>settlement amounts</w:t>
      </w:r>
      <w:r w:rsidR="00855CB7">
        <w:rPr>
          <w:lang w:val="en-CA"/>
        </w:rPr>
        <w:t xml:space="preserve"> for a particular primary </w:t>
      </w:r>
      <w:r w:rsidR="00855CB7">
        <w:rPr>
          <w:i/>
          <w:lang w:val="en-CA"/>
        </w:rPr>
        <w:t>trading day</w:t>
      </w:r>
      <w:r w:rsidR="00855CB7">
        <w:rPr>
          <w:lang w:val="en-CA"/>
        </w:rPr>
        <w:t xml:space="preserve"> in</w:t>
      </w:r>
      <w:r w:rsidR="00C46CB6">
        <w:rPr>
          <w:lang w:val="en-CA"/>
        </w:rPr>
        <w:t xml:space="preserve"> the</w:t>
      </w:r>
      <w:r w:rsidR="00855CB7">
        <w:rPr>
          <w:lang w:val="en-CA"/>
        </w:rPr>
        <w:t xml:space="preserve"> </w:t>
      </w:r>
      <w:r w:rsidR="00855CB7">
        <w:rPr>
          <w:i/>
          <w:lang w:val="en-CA"/>
        </w:rPr>
        <w:t>physical market</w:t>
      </w:r>
      <w:r w:rsidR="00855CB7">
        <w:rPr>
          <w:lang w:val="en-CA"/>
        </w:rPr>
        <w:t>.  The data file is composed of the following general sections:</w:t>
      </w:r>
    </w:p>
    <w:p w14:paraId="37B55478" w14:textId="77777777" w:rsidR="00C46CB6" w:rsidRDefault="00855CB7" w:rsidP="003853C6">
      <w:pPr>
        <w:pStyle w:val="ListBullet"/>
        <w:numPr>
          <w:ilvl w:val="0"/>
          <w:numId w:val="14"/>
        </w:numPr>
        <w:rPr>
          <w:lang w:val="en-CA"/>
        </w:rPr>
      </w:pPr>
      <w:r>
        <w:rPr>
          <w:lang w:val="en-CA"/>
        </w:rPr>
        <w:t>A header record providing information such as</w:t>
      </w:r>
      <w:r w:rsidR="00C46CB6">
        <w:rPr>
          <w:lang w:val="en-CA"/>
        </w:rPr>
        <w:t>:</w:t>
      </w:r>
    </w:p>
    <w:p w14:paraId="4276450D" w14:textId="77777777" w:rsidR="00C46CB6" w:rsidRDefault="00490C5D" w:rsidP="003853C6">
      <w:pPr>
        <w:pStyle w:val="ListBullet"/>
        <w:numPr>
          <w:ilvl w:val="0"/>
          <w:numId w:val="41"/>
        </w:numPr>
        <w:rPr>
          <w:lang w:val="en-CA"/>
        </w:rPr>
      </w:pPr>
      <w:r>
        <w:rPr>
          <w:lang w:val="en-CA"/>
        </w:rPr>
        <w:t xml:space="preserve">statement </w:t>
      </w:r>
      <w:r w:rsidR="00855CB7">
        <w:rPr>
          <w:lang w:val="en-CA"/>
        </w:rPr>
        <w:t>number</w:t>
      </w:r>
      <w:r w:rsidR="00C46CB6">
        <w:rPr>
          <w:lang w:val="en-CA"/>
        </w:rPr>
        <w:t>;</w:t>
      </w:r>
    </w:p>
    <w:p w14:paraId="4E43EC2C" w14:textId="77777777" w:rsidR="00C46CB6" w:rsidRDefault="00490C5D" w:rsidP="003853C6">
      <w:pPr>
        <w:pStyle w:val="ListBullet"/>
        <w:numPr>
          <w:ilvl w:val="0"/>
          <w:numId w:val="41"/>
        </w:numPr>
        <w:rPr>
          <w:lang w:val="en-CA"/>
        </w:rPr>
      </w:pPr>
      <w:r>
        <w:rPr>
          <w:lang w:val="en-CA"/>
        </w:rPr>
        <w:t xml:space="preserve">statement </w:t>
      </w:r>
      <w:r w:rsidR="00855CB7">
        <w:rPr>
          <w:lang w:val="en-CA"/>
        </w:rPr>
        <w:t>type (physical or financial)</w:t>
      </w:r>
      <w:r w:rsidR="00C46CB6">
        <w:rPr>
          <w:lang w:val="en-CA"/>
        </w:rPr>
        <w:t>;</w:t>
      </w:r>
    </w:p>
    <w:p w14:paraId="1EC835C5" w14:textId="77777777" w:rsidR="00C46CB6" w:rsidRDefault="00490C5D" w:rsidP="003853C6">
      <w:pPr>
        <w:pStyle w:val="ListBullet"/>
        <w:numPr>
          <w:ilvl w:val="0"/>
          <w:numId w:val="41"/>
        </w:numPr>
        <w:rPr>
          <w:lang w:val="en-CA"/>
        </w:rPr>
      </w:pPr>
      <w:r>
        <w:rPr>
          <w:i/>
          <w:lang w:val="en-CA"/>
        </w:rPr>
        <w:t>settlement</w:t>
      </w:r>
      <w:r>
        <w:rPr>
          <w:lang w:val="en-CA"/>
        </w:rPr>
        <w:t xml:space="preserve"> </w:t>
      </w:r>
      <w:r w:rsidR="00855CB7">
        <w:rPr>
          <w:lang w:val="en-CA"/>
        </w:rPr>
        <w:t>type (preliminary or final)</w:t>
      </w:r>
      <w:r w:rsidR="00C46CB6">
        <w:rPr>
          <w:lang w:val="en-CA"/>
        </w:rPr>
        <w:t>;</w:t>
      </w:r>
      <w:r w:rsidR="00855CB7">
        <w:rPr>
          <w:lang w:val="en-CA"/>
        </w:rPr>
        <w:t xml:space="preserve"> and</w:t>
      </w:r>
    </w:p>
    <w:p w14:paraId="01C37B9F" w14:textId="77777777" w:rsidR="00855CB7" w:rsidRDefault="00490C5D" w:rsidP="003853C6">
      <w:pPr>
        <w:pStyle w:val="ListBullet"/>
        <w:numPr>
          <w:ilvl w:val="0"/>
          <w:numId w:val="41"/>
        </w:numPr>
        <w:spacing w:after="120"/>
        <w:rPr>
          <w:lang w:val="en-CA"/>
        </w:rPr>
      </w:pPr>
      <w:r>
        <w:rPr>
          <w:lang w:val="en-CA"/>
        </w:rPr>
        <w:t xml:space="preserve">primary </w:t>
      </w:r>
      <w:r w:rsidR="00855CB7">
        <w:rPr>
          <w:i/>
          <w:lang w:val="en-CA"/>
        </w:rPr>
        <w:t xml:space="preserve">trading day </w:t>
      </w:r>
      <w:r w:rsidR="00855CB7">
        <w:rPr>
          <w:lang w:val="en-CA"/>
        </w:rPr>
        <w:t xml:space="preserve">for the </w:t>
      </w:r>
      <w:r w:rsidR="00855CB7">
        <w:rPr>
          <w:i/>
          <w:lang w:val="en-CA"/>
        </w:rPr>
        <w:t>settlement statement</w:t>
      </w:r>
      <w:r>
        <w:rPr>
          <w:lang w:val="en-CA"/>
        </w:rPr>
        <w:t>;</w:t>
      </w:r>
    </w:p>
    <w:p w14:paraId="436A26F4" w14:textId="77777777" w:rsidR="00594491" w:rsidRPr="00594491" w:rsidRDefault="00594491" w:rsidP="003853C6">
      <w:pPr>
        <w:pStyle w:val="ListBullet"/>
        <w:numPr>
          <w:ilvl w:val="0"/>
          <w:numId w:val="14"/>
        </w:numPr>
        <w:spacing w:before="120"/>
        <w:rPr>
          <w:lang w:val="en-CA"/>
        </w:rPr>
      </w:pPr>
      <w:r>
        <w:rPr>
          <w:lang w:val="en-CA"/>
        </w:rPr>
        <w:t xml:space="preserve">Data elements used to calculate the </w:t>
      </w:r>
      <w:r w:rsidRPr="00594491">
        <w:rPr>
          <w:i/>
          <w:lang w:val="en-CA"/>
        </w:rPr>
        <w:t>settlement amounts</w:t>
      </w:r>
      <w:r>
        <w:rPr>
          <w:lang w:val="en-CA"/>
        </w:rPr>
        <w:t>:</w:t>
      </w:r>
    </w:p>
    <w:p w14:paraId="5A652E37" w14:textId="77777777" w:rsidR="00855CB7" w:rsidRDefault="00490C5D" w:rsidP="003853C6">
      <w:pPr>
        <w:pStyle w:val="ListBullet"/>
        <w:numPr>
          <w:ilvl w:val="0"/>
          <w:numId w:val="42"/>
        </w:numPr>
        <w:rPr>
          <w:lang w:val="en-CA"/>
        </w:rPr>
      </w:pPr>
      <w:r>
        <w:rPr>
          <w:i/>
          <w:lang w:val="en-CA"/>
        </w:rPr>
        <w:t xml:space="preserve">physical </w:t>
      </w:r>
      <w:r w:rsidR="00855CB7">
        <w:rPr>
          <w:i/>
          <w:lang w:val="en-CA"/>
        </w:rPr>
        <w:t>bilateral contract data</w:t>
      </w:r>
      <w:r w:rsidR="00594491">
        <w:rPr>
          <w:lang w:val="en-CA"/>
        </w:rPr>
        <w:t>;</w:t>
      </w:r>
    </w:p>
    <w:p w14:paraId="76AAE113" w14:textId="77777777" w:rsidR="00855CB7" w:rsidRDefault="00490C5D" w:rsidP="003853C6">
      <w:pPr>
        <w:pStyle w:val="ListBullet"/>
        <w:numPr>
          <w:ilvl w:val="0"/>
          <w:numId w:val="42"/>
        </w:numPr>
        <w:rPr>
          <w:lang w:val="en-CA"/>
        </w:rPr>
      </w:pPr>
      <w:r>
        <w:rPr>
          <w:lang w:val="en-CA"/>
        </w:rPr>
        <w:t xml:space="preserve">zonal </w:t>
      </w:r>
      <w:r w:rsidR="00B50881">
        <w:rPr>
          <w:lang w:val="en-CA"/>
        </w:rPr>
        <w:t xml:space="preserve">price </w:t>
      </w:r>
      <w:r w:rsidR="00594491">
        <w:rPr>
          <w:lang w:val="en-CA"/>
        </w:rPr>
        <w:t>d</w:t>
      </w:r>
      <w:r w:rsidR="00855CB7">
        <w:rPr>
          <w:lang w:val="en-CA"/>
        </w:rPr>
        <w:t xml:space="preserve">ata </w:t>
      </w:r>
      <w:r>
        <w:rPr>
          <w:lang w:val="en-CA"/>
        </w:rPr>
        <w:t>(</w:t>
      </w:r>
      <w:r w:rsidR="00594491">
        <w:rPr>
          <w:lang w:val="en-CA"/>
        </w:rPr>
        <w:t>t</w:t>
      </w:r>
      <w:r w:rsidR="00855CB7">
        <w:rPr>
          <w:lang w:val="en-CA"/>
        </w:rPr>
        <w:t xml:space="preserve">hese records provide the Ontario </w:t>
      </w:r>
      <w:r w:rsidR="00855CB7">
        <w:rPr>
          <w:i/>
          <w:lang w:val="en-CA"/>
        </w:rPr>
        <w:t>energy</w:t>
      </w:r>
      <w:r w:rsidR="00855CB7">
        <w:rPr>
          <w:lang w:val="en-CA"/>
        </w:rPr>
        <w:t xml:space="preserve"> prices</w:t>
      </w:r>
      <w:r>
        <w:rPr>
          <w:lang w:val="en-CA"/>
        </w:rPr>
        <w:t>)</w:t>
      </w:r>
      <w:r w:rsidR="00594491">
        <w:rPr>
          <w:lang w:val="en-CA"/>
        </w:rPr>
        <w:t>;</w:t>
      </w:r>
    </w:p>
    <w:p w14:paraId="148981BA" w14:textId="77777777" w:rsidR="00855CB7" w:rsidRDefault="00490C5D" w:rsidP="003853C6">
      <w:pPr>
        <w:pStyle w:val="ListBullet"/>
        <w:numPr>
          <w:ilvl w:val="0"/>
          <w:numId w:val="42"/>
        </w:numPr>
        <w:rPr>
          <w:lang w:val="en-CA"/>
        </w:rPr>
      </w:pPr>
      <w:r>
        <w:rPr>
          <w:lang w:val="en-CA"/>
        </w:rPr>
        <w:t xml:space="preserve">schedules </w:t>
      </w:r>
      <w:r w:rsidR="00594491">
        <w:rPr>
          <w:lang w:val="en-CA"/>
        </w:rPr>
        <w:t>d</w:t>
      </w:r>
      <w:r w:rsidR="00855CB7">
        <w:rPr>
          <w:lang w:val="en-CA"/>
        </w:rPr>
        <w:t xml:space="preserve">ata </w:t>
      </w:r>
      <w:r>
        <w:rPr>
          <w:lang w:val="en-CA"/>
        </w:rPr>
        <w:t>(</w:t>
      </w:r>
      <w:r w:rsidR="00594491">
        <w:rPr>
          <w:lang w:val="en-CA"/>
        </w:rPr>
        <w:t>these</w:t>
      </w:r>
      <w:r w:rsidR="00855CB7">
        <w:rPr>
          <w:lang w:val="en-CA"/>
        </w:rPr>
        <w:t xml:space="preserve"> </w:t>
      </w:r>
      <w:r w:rsidR="00594491">
        <w:rPr>
          <w:lang w:val="en-CA"/>
        </w:rPr>
        <w:t xml:space="preserve">records </w:t>
      </w:r>
      <w:r w:rsidR="00855CB7">
        <w:rPr>
          <w:lang w:val="en-CA"/>
        </w:rPr>
        <w:t xml:space="preserve">contain the market and </w:t>
      </w:r>
      <w:r w:rsidR="00DA3379" w:rsidRPr="00DA3379">
        <w:rPr>
          <w:i/>
          <w:lang w:val="en-CA"/>
        </w:rPr>
        <w:t>dispatch</w:t>
      </w:r>
      <w:r w:rsidR="00855CB7">
        <w:rPr>
          <w:lang w:val="en-CA"/>
        </w:rPr>
        <w:t xml:space="preserve"> schedules data</w:t>
      </w:r>
      <w:r>
        <w:rPr>
          <w:lang w:val="en-CA"/>
        </w:rPr>
        <w:t>)</w:t>
      </w:r>
      <w:r w:rsidR="00594491">
        <w:rPr>
          <w:lang w:val="en-CA"/>
        </w:rPr>
        <w:t>; and</w:t>
      </w:r>
    </w:p>
    <w:p w14:paraId="7A427EBB" w14:textId="77777777" w:rsidR="00855CB7" w:rsidRDefault="00490C5D" w:rsidP="003853C6">
      <w:pPr>
        <w:pStyle w:val="ListBullet"/>
        <w:numPr>
          <w:ilvl w:val="0"/>
          <w:numId w:val="42"/>
        </w:numPr>
        <w:spacing w:after="120"/>
        <w:rPr>
          <w:lang w:val="en-CA"/>
        </w:rPr>
      </w:pPr>
      <w:r>
        <w:rPr>
          <w:i/>
          <w:lang w:val="en-CA"/>
        </w:rPr>
        <w:t>bid</w:t>
      </w:r>
      <w:r>
        <w:rPr>
          <w:lang w:val="en-CA"/>
        </w:rPr>
        <w:t xml:space="preserve"> </w:t>
      </w:r>
      <w:r w:rsidR="0034467E">
        <w:rPr>
          <w:lang w:val="en-CA"/>
        </w:rPr>
        <w:t xml:space="preserve">and </w:t>
      </w:r>
      <w:r w:rsidR="00855CB7">
        <w:rPr>
          <w:i/>
          <w:lang w:val="en-CA"/>
        </w:rPr>
        <w:t>offer</w:t>
      </w:r>
      <w:r w:rsidR="00855CB7">
        <w:rPr>
          <w:lang w:val="en-CA"/>
        </w:rPr>
        <w:t xml:space="preserve"> </w:t>
      </w:r>
      <w:r w:rsidR="00594491">
        <w:rPr>
          <w:lang w:val="en-CA"/>
        </w:rPr>
        <w:t>d</w:t>
      </w:r>
      <w:r w:rsidR="00855CB7">
        <w:rPr>
          <w:lang w:val="en-CA"/>
        </w:rPr>
        <w:t>ata</w:t>
      </w:r>
      <w:r>
        <w:rPr>
          <w:lang w:val="en-CA"/>
        </w:rPr>
        <w:t>; and</w:t>
      </w:r>
    </w:p>
    <w:p w14:paraId="6404B4AE" w14:textId="77777777" w:rsidR="00855CB7" w:rsidRDefault="00855CB7" w:rsidP="003853C6">
      <w:pPr>
        <w:pStyle w:val="ListBullet"/>
        <w:numPr>
          <w:ilvl w:val="0"/>
          <w:numId w:val="14"/>
        </w:numPr>
        <w:rPr>
          <w:lang w:val="en-CA"/>
        </w:rPr>
      </w:pPr>
      <w:r>
        <w:rPr>
          <w:i/>
          <w:lang w:val="en-CA"/>
        </w:rPr>
        <w:t>Optional Measurement Data</w:t>
      </w:r>
      <w:r w:rsidR="00490C5D">
        <w:rPr>
          <w:i/>
          <w:lang w:val="en-CA"/>
        </w:rPr>
        <w:t xml:space="preserve"> -</w:t>
      </w:r>
      <w:r w:rsidR="00490C5D">
        <w:rPr>
          <w:lang w:val="en-CA"/>
        </w:rPr>
        <w:t xml:space="preserve"> </w:t>
      </w:r>
      <w:r w:rsidR="00081A5A" w:rsidRPr="00081A5A">
        <w:rPr>
          <w:lang w:val="en-CA"/>
        </w:rPr>
        <w:t>t</w:t>
      </w:r>
      <w:r>
        <w:rPr>
          <w:lang w:val="en-CA"/>
        </w:rPr>
        <w:t xml:space="preserve">his optional file contains net withdrawal or net injection values for each 5-minute trading interval for each </w:t>
      </w:r>
      <w:r>
        <w:rPr>
          <w:i/>
          <w:lang w:val="en-CA"/>
        </w:rPr>
        <w:t>delivery point</w:t>
      </w:r>
      <w:r>
        <w:rPr>
          <w:lang w:val="en-CA"/>
        </w:rPr>
        <w:t xml:space="preserve"> defined for </w:t>
      </w:r>
      <w:r>
        <w:rPr>
          <w:i/>
          <w:lang w:val="en-CA"/>
        </w:rPr>
        <w:t>physical market</w:t>
      </w:r>
      <w:r>
        <w:rPr>
          <w:lang w:val="en-CA"/>
        </w:rPr>
        <w:t xml:space="preserve"> charges</w:t>
      </w:r>
      <w:r w:rsidR="00490C5D">
        <w:rPr>
          <w:lang w:val="en-CA"/>
        </w:rPr>
        <w:t xml:space="preserve"> (see</w:t>
      </w:r>
      <w:r w:rsidR="00490C5D">
        <w:rPr>
          <w:i/>
          <w:lang w:val="en-CA"/>
        </w:rPr>
        <w:t xml:space="preserve"> </w:t>
      </w:r>
      <w:r>
        <w:rPr>
          <w:lang w:val="en-CA"/>
        </w:rPr>
        <w:t>Section 1.</w:t>
      </w:r>
      <w:r w:rsidR="00DF1FA8">
        <w:rPr>
          <w:lang w:val="en-CA"/>
        </w:rPr>
        <w:t>5</w:t>
      </w:r>
      <w:r>
        <w:rPr>
          <w:i/>
          <w:lang w:val="en-CA"/>
        </w:rPr>
        <w:t xml:space="preserve"> </w:t>
      </w:r>
      <w:r>
        <w:rPr>
          <w:lang w:val="en-CA"/>
        </w:rPr>
        <w:t>below</w:t>
      </w:r>
      <w:r w:rsidR="00490C5D">
        <w:rPr>
          <w:lang w:val="en-CA"/>
        </w:rPr>
        <w:t>)</w:t>
      </w:r>
      <w:r>
        <w:rPr>
          <w:lang w:val="en-CA"/>
        </w:rPr>
        <w:t>.</w:t>
      </w:r>
    </w:p>
    <w:p w14:paraId="23947505" w14:textId="77777777" w:rsidR="00855CB7" w:rsidRDefault="00724E75">
      <w:pPr>
        <w:pStyle w:val="BodyText"/>
        <w:rPr>
          <w:lang w:val="en-CA"/>
        </w:rPr>
      </w:pPr>
      <w:r>
        <w:rPr>
          <w:lang w:val="en-CA"/>
        </w:rPr>
        <w:t>We provide d</w:t>
      </w:r>
      <w:r w:rsidR="00855CB7">
        <w:rPr>
          <w:lang w:val="en-CA"/>
        </w:rPr>
        <w:t xml:space="preserve">etailed information about </w:t>
      </w:r>
      <w:r w:rsidR="00855CB7">
        <w:rPr>
          <w:i/>
          <w:lang w:val="en-CA"/>
        </w:rPr>
        <w:t>settlement statements</w:t>
      </w:r>
      <w:r w:rsidR="00855CB7">
        <w:rPr>
          <w:lang w:val="en-CA"/>
        </w:rPr>
        <w:t xml:space="preserve"> and </w:t>
      </w:r>
      <w:r w:rsidR="00855CB7">
        <w:rPr>
          <w:i/>
          <w:lang w:val="en-CA"/>
        </w:rPr>
        <w:t>settlement</w:t>
      </w:r>
      <w:r w:rsidR="00855CB7">
        <w:rPr>
          <w:lang w:val="en-CA"/>
        </w:rPr>
        <w:t xml:space="preserve"> data files in the</w:t>
      </w:r>
      <w:r>
        <w:rPr>
          <w:lang w:val="en-CA"/>
        </w:rPr>
        <w:t xml:space="preserve"> document</w:t>
      </w:r>
      <w:r w:rsidR="00855CB7">
        <w:rPr>
          <w:i/>
          <w:lang w:val="en-CA"/>
        </w:rPr>
        <w:t xml:space="preserve"> </w:t>
      </w:r>
      <w:r w:rsidR="00855CB7">
        <w:rPr>
          <w:lang w:val="en-CA"/>
        </w:rPr>
        <w:t xml:space="preserve">“Format Specifications for Settlement Statement Files and Data Files”.  </w:t>
      </w:r>
      <w:r w:rsidR="00281ABD">
        <w:rPr>
          <w:lang w:val="en-CA"/>
        </w:rPr>
        <w:t>You can find this</w:t>
      </w:r>
      <w:r w:rsidR="00855CB7">
        <w:rPr>
          <w:lang w:val="en-CA"/>
        </w:rPr>
        <w:t xml:space="preserve"> </w:t>
      </w:r>
      <w:r w:rsidR="00DF1FA8">
        <w:rPr>
          <w:lang w:val="en-CA"/>
        </w:rPr>
        <w:t>document</w:t>
      </w:r>
      <w:r w:rsidR="00855CB7">
        <w:rPr>
          <w:lang w:val="en-CA"/>
        </w:rPr>
        <w:t xml:space="preserve"> and sample files </w:t>
      </w:r>
      <w:r w:rsidR="00DF1FA8">
        <w:rPr>
          <w:lang w:val="en-CA"/>
        </w:rPr>
        <w:t>on our web-</w:t>
      </w:r>
      <w:r w:rsidR="00855CB7">
        <w:rPr>
          <w:lang w:val="en-CA"/>
        </w:rPr>
        <w:t>site.</w:t>
      </w:r>
    </w:p>
    <w:p w14:paraId="1159F352" w14:textId="77777777" w:rsidR="00724E75" w:rsidRDefault="00724E75">
      <w:pPr>
        <w:pStyle w:val="ListBullet"/>
        <w:numPr>
          <w:ilvl w:val="0"/>
          <w:numId w:val="0"/>
        </w:numPr>
        <w:rPr>
          <w:lang w:val="en-CA"/>
        </w:rPr>
      </w:pPr>
      <w:r>
        <w:rPr>
          <w:lang w:val="en-CA"/>
        </w:rPr>
        <w:t>You can use the reference document “IESO Charge Types and Equations” to find a</w:t>
      </w:r>
      <w:r w:rsidR="00855CB7">
        <w:rPr>
          <w:lang w:val="en-CA"/>
        </w:rPr>
        <w:t>dditional information about</w:t>
      </w:r>
      <w:r>
        <w:rPr>
          <w:lang w:val="en-CA"/>
        </w:rPr>
        <w:t>:</w:t>
      </w:r>
    </w:p>
    <w:p w14:paraId="42D85499" w14:textId="77777777" w:rsidR="00724E75" w:rsidRDefault="00490C5D" w:rsidP="003853C6">
      <w:pPr>
        <w:pStyle w:val="ListBullet"/>
        <w:numPr>
          <w:ilvl w:val="0"/>
          <w:numId w:val="43"/>
        </w:numPr>
        <w:rPr>
          <w:lang w:val="en-CA"/>
        </w:rPr>
      </w:pPr>
      <w:r>
        <w:rPr>
          <w:lang w:val="en-CA"/>
        </w:rPr>
        <w:t xml:space="preserve">key </w:t>
      </w:r>
      <w:r w:rsidR="00855CB7">
        <w:rPr>
          <w:i/>
          <w:lang w:val="en-CA"/>
        </w:rPr>
        <w:t>settlement</w:t>
      </w:r>
      <w:r w:rsidR="00855CB7">
        <w:rPr>
          <w:lang w:val="en-CA"/>
        </w:rPr>
        <w:t xml:space="preserve"> variables</w:t>
      </w:r>
      <w:r w:rsidR="00724E75">
        <w:rPr>
          <w:lang w:val="en-CA"/>
        </w:rPr>
        <w:t>;</w:t>
      </w:r>
    </w:p>
    <w:p w14:paraId="00325A30" w14:textId="77777777" w:rsidR="00724E75" w:rsidRDefault="00855CB7" w:rsidP="003853C6">
      <w:pPr>
        <w:pStyle w:val="ListBullet"/>
        <w:numPr>
          <w:ilvl w:val="0"/>
          <w:numId w:val="43"/>
        </w:numPr>
        <w:rPr>
          <w:lang w:val="en-CA"/>
        </w:rPr>
      </w:pPr>
      <w:r>
        <w:rPr>
          <w:i/>
          <w:lang w:val="en-CA"/>
        </w:rPr>
        <w:t>IESO</w:t>
      </w:r>
      <w:r>
        <w:rPr>
          <w:lang w:val="en-CA"/>
        </w:rPr>
        <w:t xml:space="preserve"> </w:t>
      </w:r>
      <w:r>
        <w:rPr>
          <w:i/>
          <w:lang w:val="en-CA"/>
        </w:rPr>
        <w:t xml:space="preserve">charge types </w:t>
      </w:r>
      <w:r>
        <w:rPr>
          <w:lang w:val="en-CA"/>
        </w:rPr>
        <w:t>and equations</w:t>
      </w:r>
      <w:r w:rsidR="00724E75">
        <w:rPr>
          <w:lang w:val="en-CA"/>
        </w:rPr>
        <w:t>;</w:t>
      </w:r>
      <w:r>
        <w:rPr>
          <w:lang w:val="en-CA"/>
        </w:rPr>
        <w:t xml:space="preserve"> and</w:t>
      </w:r>
    </w:p>
    <w:p w14:paraId="26BA866E" w14:textId="77777777" w:rsidR="00724E75" w:rsidRDefault="00490C5D" w:rsidP="003853C6">
      <w:pPr>
        <w:pStyle w:val="ListBullet"/>
        <w:numPr>
          <w:ilvl w:val="0"/>
          <w:numId w:val="43"/>
        </w:numPr>
        <w:spacing w:after="240"/>
        <w:rPr>
          <w:lang w:val="en-CA"/>
        </w:rPr>
      </w:pPr>
      <w:r>
        <w:rPr>
          <w:lang w:val="en-CA"/>
        </w:rPr>
        <w:t xml:space="preserve">the </w:t>
      </w:r>
      <w:r w:rsidR="009F4773">
        <w:rPr>
          <w:lang w:val="en-CA"/>
        </w:rPr>
        <w:t>Harmonized Sales Tax (HST)</w:t>
      </w:r>
      <w:r w:rsidR="00724E75">
        <w:rPr>
          <w:lang w:val="en-CA"/>
        </w:rPr>
        <w:t>.</w:t>
      </w:r>
    </w:p>
    <w:p w14:paraId="5CC3FD22" w14:textId="77777777" w:rsidR="00855CB7" w:rsidRDefault="003D683A" w:rsidP="00724E75">
      <w:pPr>
        <w:pStyle w:val="ListBullet"/>
        <w:numPr>
          <w:ilvl w:val="0"/>
          <w:numId w:val="0"/>
        </w:numPr>
        <w:rPr>
          <w:lang w:val="en-CA"/>
        </w:rPr>
      </w:pPr>
      <w:r>
        <w:rPr>
          <w:lang w:val="en-CA"/>
        </w:rPr>
        <w:t>You can find t</w:t>
      </w:r>
      <w:r w:rsidR="00724E75">
        <w:rPr>
          <w:lang w:val="en-CA"/>
        </w:rPr>
        <w:t>his document on our web-site.</w:t>
      </w:r>
    </w:p>
    <w:p w14:paraId="65D2DB0A" w14:textId="77777777" w:rsidR="00855CB7" w:rsidRDefault="00855CB7" w:rsidP="00614ACA">
      <w:pPr>
        <w:pStyle w:val="Heading3"/>
        <w:rPr>
          <w:lang w:val="en-CA"/>
        </w:rPr>
      </w:pPr>
      <w:bookmarkStart w:id="84" w:name="_Toc483275409"/>
      <w:bookmarkStart w:id="85" w:name="_Toc32038429"/>
      <w:bookmarkStart w:id="86" w:name="_Toc175383876"/>
      <w:bookmarkStart w:id="87" w:name="_Toc400369496"/>
      <w:bookmarkStart w:id="88" w:name="_Toc35796321"/>
      <w:bookmarkStart w:id="89" w:name="_Toc79657922"/>
      <w:r>
        <w:rPr>
          <w:lang w:val="en-CA"/>
        </w:rPr>
        <w:lastRenderedPageBreak/>
        <w:t>Submitting Queries</w:t>
      </w:r>
      <w:bookmarkEnd w:id="84"/>
      <w:bookmarkEnd w:id="85"/>
      <w:bookmarkEnd w:id="86"/>
      <w:bookmarkEnd w:id="87"/>
      <w:bookmarkEnd w:id="88"/>
      <w:bookmarkEnd w:id="89"/>
    </w:p>
    <w:p w14:paraId="6529F8BB" w14:textId="77777777" w:rsidR="005A464A" w:rsidRDefault="00855CB7">
      <w:pPr>
        <w:pStyle w:val="BodyText"/>
        <w:rPr>
          <w:lang w:val="en-CA"/>
        </w:rPr>
      </w:pPr>
      <w:r>
        <w:rPr>
          <w:lang w:val="en-CA"/>
        </w:rPr>
        <w:t xml:space="preserve">The </w:t>
      </w:r>
      <w:r>
        <w:rPr>
          <w:i/>
          <w:lang w:val="en-CA"/>
        </w:rPr>
        <w:t>preliminary settlement statement</w:t>
      </w:r>
      <w:r>
        <w:rPr>
          <w:lang w:val="en-CA"/>
        </w:rPr>
        <w:t xml:space="preserve"> provides </w:t>
      </w:r>
      <w:r w:rsidR="005A464A">
        <w:rPr>
          <w:lang w:val="en-CA"/>
        </w:rPr>
        <w:t>you</w:t>
      </w:r>
      <w:r>
        <w:rPr>
          <w:lang w:val="en-CA"/>
        </w:rPr>
        <w:t xml:space="preserve"> an opportunity to review, query and formally disagree with the charges or other elements of </w:t>
      </w:r>
      <w:r w:rsidR="005A464A">
        <w:rPr>
          <w:lang w:val="en-CA"/>
        </w:rPr>
        <w:t>your</w:t>
      </w:r>
      <w:r>
        <w:rPr>
          <w:lang w:val="en-CA"/>
        </w:rPr>
        <w:t xml:space="preserve"> statement (except as noted in Section 1.</w:t>
      </w:r>
      <w:r w:rsidR="005A464A">
        <w:rPr>
          <w:lang w:val="en-CA"/>
        </w:rPr>
        <w:t>3.</w:t>
      </w:r>
      <w:r>
        <w:rPr>
          <w:lang w:val="en-CA"/>
        </w:rPr>
        <w:t>5 below).</w:t>
      </w:r>
    </w:p>
    <w:p w14:paraId="1637FF91" w14:textId="77777777" w:rsidR="00855CB7" w:rsidRDefault="00855CB7">
      <w:pPr>
        <w:pStyle w:val="BodyText"/>
        <w:rPr>
          <w:lang w:val="en-CA"/>
        </w:rPr>
      </w:pPr>
      <w:r>
        <w:rPr>
          <w:lang w:val="en-CA"/>
        </w:rPr>
        <w:t xml:space="preserve">If </w:t>
      </w:r>
      <w:r w:rsidR="005A464A">
        <w:rPr>
          <w:lang w:val="en-CA"/>
        </w:rPr>
        <w:t>you have</w:t>
      </w:r>
      <w:r>
        <w:rPr>
          <w:lang w:val="en-CA"/>
        </w:rPr>
        <w:t xml:space="preserve"> questions </w:t>
      </w:r>
      <w:r w:rsidR="00236C69">
        <w:rPr>
          <w:lang w:val="en-CA"/>
        </w:rPr>
        <w:t>about</w:t>
      </w:r>
      <w:r>
        <w:rPr>
          <w:lang w:val="en-CA"/>
        </w:rPr>
        <w:t xml:space="preserve"> </w:t>
      </w:r>
      <w:r w:rsidR="005A464A">
        <w:rPr>
          <w:lang w:val="en-CA"/>
        </w:rPr>
        <w:t>your</w:t>
      </w:r>
      <w:r>
        <w:rPr>
          <w:lang w:val="en-CA"/>
        </w:rPr>
        <w:t xml:space="preserve"> </w:t>
      </w:r>
      <w:r>
        <w:rPr>
          <w:i/>
          <w:lang w:val="en-CA"/>
        </w:rPr>
        <w:t>preliminary settlement statement</w:t>
      </w:r>
      <w:r>
        <w:rPr>
          <w:lang w:val="en-CA"/>
        </w:rPr>
        <w:t xml:space="preserve"> and data files, </w:t>
      </w:r>
      <w:r w:rsidR="001F47BD">
        <w:rPr>
          <w:lang w:val="en-CA"/>
        </w:rPr>
        <w:t>you</w:t>
      </w:r>
      <w:r>
        <w:rPr>
          <w:lang w:val="en-CA"/>
        </w:rPr>
        <w:t xml:space="preserve"> may submit queries </w:t>
      </w:r>
      <w:r w:rsidR="001F47BD">
        <w:rPr>
          <w:lang w:val="en-CA"/>
        </w:rPr>
        <w:t xml:space="preserve">to us </w:t>
      </w:r>
      <w:r>
        <w:rPr>
          <w:lang w:val="en-CA"/>
        </w:rPr>
        <w:t xml:space="preserve">regarding the </w:t>
      </w:r>
      <w:r w:rsidR="00236C69">
        <w:rPr>
          <w:lang w:val="en-CA"/>
        </w:rPr>
        <w:t xml:space="preserve">file </w:t>
      </w:r>
      <w:r>
        <w:rPr>
          <w:lang w:val="en-CA"/>
        </w:rPr>
        <w:t>contents (</w:t>
      </w:r>
      <w:r w:rsidR="001F47BD">
        <w:rPr>
          <w:lang w:val="en-CA"/>
        </w:rPr>
        <w:t>s</w:t>
      </w:r>
      <w:r>
        <w:rPr>
          <w:lang w:val="en-CA"/>
        </w:rPr>
        <w:t>ee Section 1.</w:t>
      </w:r>
      <w:r w:rsidR="001F47BD">
        <w:rPr>
          <w:lang w:val="en-CA"/>
        </w:rPr>
        <w:t>8</w:t>
      </w:r>
      <w:r>
        <w:rPr>
          <w:lang w:val="en-CA"/>
        </w:rPr>
        <w:t xml:space="preserve"> below for contact information). </w:t>
      </w:r>
      <w:r w:rsidR="008C3ADC">
        <w:rPr>
          <w:lang w:val="en-CA"/>
        </w:rPr>
        <w:t xml:space="preserve"> </w:t>
      </w:r>
      <w:r w:rsidR="001F47BD">
        <w:rPr>
          <w:lang w:val="en-CA"/>
        </w:rPr>
        <w:t xml:space="preserve">Our goal is </w:t>
      </w:r>
      <w:r>
        <w:rPr>
          <w:lang w:val="en-CA"/>
        </w:rPr>
        <w:t xml:space="preserve">to respond to </w:t>
      </w:r>
      <w:r w:rsidR="001F47BD">
        <w:rPr>
          <w:lang w:val="en-CA"/>
        </w:rPr>
        <w:t xml:space="preserve">your </w:t>
      </w:r>
      <w:r>
        <w:rPr>
          <w:lang w:val="en-CA"/>
        </w:rPr>
        <w:t xml:space="preserve">queries within 2 </w:t>
      </w:r>
      <w:r>
        <w:rPr>
          <w:i/>
          <w:lang w:val="en-CA"/>
        </w:rPr>
        <w:t>business days</w:t>
      </w:r>
      <w:r>
        <w:rPr>
          <w:lang w:val="en-CA"/>
        </w:rPr>
        <w:t>.</w:t>
      </w:r>
    </w:p>
    <w:p w14:paraId="7D542B26" w14:textId="77777777" w:rsidR="00855CB7" w:rsidRDefault="00236C69">
      <w:pPr>
        <w:pStyle w:val="BodyText"/>
        <w:rPr>
          <w:lang w:val="en-CA"/>
        </w:rPr>
      </w:pPr>
      <w:r>
        <w:rPr>
          <w:lang w:val="en-CA"/>
        </w:rPr>
        <w:t>Please</w:t>
      </w:r>
      <w:r w:rsidR="00855CB7">
        <w:rPr>
          <w:lang w:val="en-CA"/>
        </w:rPr>
        <w:t xml:space="preserve"> note that all queries about the contents of </w:t>
      </w:r>
      <w:r w:rsidR="001F47BD">
        <w:rPr>
          <w:lang w:val="en-CA"/>
        </w:rPr>
        <w:t>your</w:t>
      </w:r>
      <w:r w:rsidR="00855CB7">
        <w:rPr>
          <w:lang w:val="en-CA"/>
        </w:rPr>
        <w:t xml:space="preserve"> </w:t>
      </w:r>
      <w:r w:rsidR="00855CB7">
        <w:rPr>
          <w:i/>
          <w:lang w:val="en-CA"/>
        </w:rPr>
        <w:t>settlement statement</w:t>
      </w:r>
      <w:r w:rsidR="00855CB7">
        <w:rPr>
          <w:lang w:val="en-CA"/>
        </w:rPr>
        <w:t xml:space="preserve"> and data files are only requests for information.  </w:t>
      </w:r>
      <w:r w:rsidR="001F47BD">
        <w:rPr>
          <w:lang w:val="en-CA"/>
        </w:rPr>
        <w:t xml:space="preserve">We </w:t>
      </w:r>
      <w:r w:rsidR="00855CB7">
        <w:rPr>
          <w:lang w:val="en-CA"/>
        </w:rPr>
        <w:t xml:space="preserve">do not consider queries to represent any formal disagreement with the contents of the </w:t>
      </w:r>
      <w:r w:rsidR="00855CB7">
        <w:rPr>
          <w:i/>
          <w:lang w:val="en-CA"/>
        </w:rPr>
        <w:t>settlement statement</w:t>
      </w:r>
      <w:r w:rsidR="00855CB7">
        <w:rPr>
          <w:lang w:val="en-CA"/>
        </w:rPr>
        <w:t xml:space="preserve"> and data files unless </w:t>
      </w:r>
      <w:r w:rsidR="00FF7D84">
        <w:rPr>
          <w:lang w:val="en-CA"/>
        </w:rPr>
        <w:t>you submit a</w:t>
      </w:r>
      <w:r w:rsidR="00855CB7">
        <w:rPr>
          <w:lang w:val="en-CA"/>
        </w:rPr>
        <w:t xml:space="preserve"> formal </w:t>
      </w:r>
      <w:r w:rsidR="00855CB7">
        <w:rPr>
          <w:i/>
          <w:lang w:val="en-CA"/>
        </w:rPr>
        <w:t>notice of disagreement</w:t>
      </w:r>
      <w:r w:rsidR="00855CB7">
        <w:rPr>
          <w:lang w:val="en-CA"/>
        </w:rPr>
        <w:t xml:space="preserve">.  Therefore, </w:t>
      </w:r>
      <w:r w:rsidR="00FF7D84">
        <w:rPr>
          <w:lang w:val="en-CA"/>
        </w:rPr>
        <w:t xml:space="preserve">we </w:t>
      </w:r>
      <w:r w:rsidR="00855CB7">
        <w:rPr>
          <w:lang w:val="en-CA"/>
        </w:rPr>
        <w:t xml:space="preserve">will not </w:t>
      </w:r>
      <w:r w:rsidR="00FF7D84">
        <w:rPr>
          <w:lang w:val="en-CA"/>
        </w:rPr>
        <w:t>modify your</w:t>
      </w:r>
      <w:r w:rsidR="00855CB7">
        <w:rPr>
          <w:lang w:val="en-CA"/>
        </w:rPr>
        <w:t xml:space="preserve"> </w:t>
      </w:r>
      <w:r w:rsidR="00855CB7">
        <w:rPr>
          <w:i/>
          <w:lang w:val="en-CA"/>
        </w:rPr>
        <w:t>settlement</w:t>
      </w:r>
      <w:r w:rsidR="00855CB7">
        <w:rPr>
          <w:lang w:val="en-CA"/>
        </w:rPr>
        <w:t xml:space="preserve"> files </w:t>
      </w:r>
      <w:r w:rsidR="00FF7D84">
        <w:rPr>
          <w:lang w:val="en-CA"/>
        </w:rPr>
        <w:t xml:space="preserve">if you submit a </w:t>
      </w:r>
      <w:r w:rsidR="00855CB7">
        <w:rPr>
          <w:lang w:val="en-CA"/>
        </w:rPr>
        <w:t>query.</w:t>
      </w:r>
    </w:p>
    <w:p w14:paraId="210849F7" w14:textId="77777777" w:rsidR="00855CB7" w:rsidRDefault="00FF7D84">
      <w:pPr>
        <w:pStyle w:val="BodyText"/>
        <w:rPr>
          <w:lang w:val="en-CA"/>
        </w:rPr>
      </w:pPr>
      <w:r w:rsidRPr="00F636D2">
        <w:rPr>
          <w:lang w:val="en-CA"/>
        </w:rPr>
        <w:t>We will</w:t>
      </w:r>
      <w:r w:rsidR="00855CB7" w:rsidRPr="00F636D2">
        <w:rPr>
          <w:lang w:val="en-CA"/>
        </w:rPr>
        <w:t xml:space="preserve"> only discuss </w:t>
      </w:r>
      <w:r w:rsidR="00855CB7" w:rsidRPr="00F636D2">
        <w:rPr>
          <w:i/>
          <w:lang w:val="en-CA"/>
        </w:rPr>
        <w:t>settlement statements</w:t>
      </w:r>
      <w:r w:rsidR="00855CB7" w:rsidRPr="00F636D2">
        <w:rPr>
          <w:lang w:val="en-CA"/>
        </w:rPr>
        <w:t xml:space="preserve"> </w:t>
      </w:r>
      <w:r w:rsidR="00F636D2" w:rsidRPr="00F636D2">
        <w:rPr>
          <w:lang w:val="en-CA"/>
        </w:rPr>
        <w:t xml:space="preserve">queries </w:t>
      </w:r>
      <w:r w:rsidR="00855CB7" w:rsidRPr="00F636D2">
        <w:rPr>
          <w:lang w:val="en-CA"/>
        </w:rPr>
        <w:t xml:space="preserve">with contacts registered as “Settlement Statements” or “Main” contacts in </w:t>
      </w:r>
      <w:r w:rsidRPr="00F636D2">
        <w:rPr>
          <w:lang w:val="en-CA"/>
        </w:rPr>
        <w:t>our</w:t>
      </w:r>
      <w:r w:rsidR="00855CB7" w:rsidRPr="00F636D2">
        <w:rPr>
          <w:lang w:val="en-CA"/>
        </w:rPr>
        <w:t xml:space="preserve"> </w:t>
      </w:r>
      <w:r w:rsidR="00236C69">
        <w:rPr>
          <w:lang w:val="en-CA"/>
        </w:rPr>
        <w:t>Registration</w:t>
      </w:r>
      <w:r w:rsidR="00F636D2" w:rsidRPr="00F636D2">
        <w:rPr>
          <w:lang w:val="en-CA"/>
        </w:rPr>
        <w:t xml:space="preserve"> (</w:t>
      </w:r>
      <w:r w:rsidR="00335608">
        <w:rPr>
          <w:lang w:val="en-CA"/>
        </w:rPr>
        <w:t>CDMS</w:t>
      </w:r>
      <w:r w:rsidR="00F636D2" w:rsidRPr="00F636D2">
        <w:rPr>
          <w:lang w:val="en-CA"/>
        </w:rPr>
        <w:t>)</w:t>
      </w:r>
      <w:r w:rsidR="00855CB7" w:rsidRPr="00F636D2">
        <w:rPr>
          <w:lang w:val="en-CA"/>
        </w:rPr>
        <w:t xml:space="preserve"> system.</w:t>
      </w:r>
    </w:p>
    <w:p w14:paraId="560A57A1" w14:textId="77777777" w:rsidR="00855CB7" w:rsidRDefault="00855CB7" w:rsidP="00FE24F9">
      <w:pPr>
        <w:pStyle w:val="Heading3"/>
        <w:rPr>
          <w:lang w:val="en-CA"/>
        </w:rPr>
      </w:pPr>
      <w:bookmarkStart w:id="90" w:name="_Toc483275410"/>
      <w:bookmarkStart w:id="91" w:name="_Toc32038430"/>
      <w:bookmarkStart w:id="92" w:name="_Toc175383877"/>
      <w:bookmarkStart w:id="93" w:name="_Toc400369497"/>
      <w:bookmarkStart w:id="94" w:name="_Toc35796322"/>
      <w:bookmarkStart w:id="95" w:name="_Toc79657923"/>
      <w:r>
        <w:rPr>
          <w:lang w:val="en-CA"/>
        </w:rPr>
        <w:t>Submitting a Notice of Disagreement</w:t>
      </w:r>
      <w:bookmarkEnd w:id="90"/>
      <w:bookmarkEnd w:id="91"/>
      <w:bookmarkEnd w:id="92"/>
      <w:bookmarkEnd w:id="93"/>
      <w:bookmarkEnd w:id="94"/>
      <w:bookmarkEnd w:id="95"/>
    </w:p>
    <w:p w14:paraId="65D09F97" w14:textId="77777777" w:rsidR="004C6115" w:rsidRDefault="00E54AD1">
      <w:pPr>
        <w:pStyle w:val="BodyText"/>
        <w:rPr>
          <w:lang w:val="en-CA"/>
        </w:rPr>
      </w:pPr>
      <w:r>
        <w:rPr>
          <w:lang w:val="en-CA"/>
        </w:rPr>
        <w:t xml:space="preserve">If you disagree with a </w:t>
      </w:r>
      <w:r w:rsidRPr="00E54AD1">
        <w:rPr>
          <w:i/>
          <w:lang w:val="en-CA"/>
        </w:rPr>
        <w:t>settlement amount</w:t>
      </w:r>
      <w:r>
        <w:rPr>
          <w:lang w:val="en-CA"/>
        </w:rPr>
        <w:t xml:space="preserve"> on your </w:t>
      </w:r>
      <w:r w:rsidRPr="00E54AD1">
        <w:rPr>
          <w:i/>
          <w:lang w:val="en-CA"/>
        </w:rPr>
        <w:t>preliminary settlement statement</w:t>
      </w:r>
      <w:r>
        <w:rPr>
          <w:lang w:val="en-CA"/>
        </w:rPr>
        <w:t>, you</w:t>
      </w:r>
      <w:r w:rsidR="00855CB7">
        <w:rPr>
          <w:lang w:val="en-CA"/>
        </w:rPr>
        <w:t xml:space="preserve"> may submit</w:t>
      </w:r>
      <w:r w:rsidR="00855CB7">
        <w:rPr>
          <w:i/>
          <w:lang w:val="en-CA"/>
        </w:rPr>
        <w:t xml:space="preserve"> </w:t>
      </w:r>
      <w:r w:rsidR="00855CB7">
        <w:rPr>
          <w:lang w:val="en-CA"/>
        </w:rPr>
        <w:t>a</w:t>
      </w:r>
      <w:r w:rsidR="00855CB7">
        <w:rPr>
          <w:i/>
          <w:lang w:val="en-CA"/>
        </w:rPr>
        <w:t xml:space="preserve"> notice of disagreement</w:t>
      </w:r>
      <w:r w:rsidR="00855CB7">
        <w:rPr>
          <w:lang w:val="en-CA"/>
        </w:rPr>
        <w:t xml:space="preserve"> (NOD) within four </w:t>
      </w:r>
      <w:r w:rsidR="00855CB7">
        <w:rPr>
          <w:i/>
          <w:lang w:val="en-CA"/>
        </w:rPr>
        <w:t>business days</w:t>
      </w:r>
      <w:r w:rsidR="00855CB7">
        <w:rPr>
          <w:lang w:val="en-CA"/>
        </w:rPr>
        <w:t xml:space="preserve"> </w:t>
      </w:r>
      <w:r>
        <w:rPr>
          <w:lang w:val="en-CA"/>
        </w:rPr>
        <w:t xml:space="preserve">after </w:t>
      </w:r>
      <w:r w:rsidRPr="00E54AD1">
        <w:rPr>
          <w:lang w:val="en-CA"/>
        </w:rPr>
        <w:t>the</w:t>
      </w:r>
      <w:r w:rsidR="00855CB7" w:rsidRPr="00E54AD1">
        <w:rPr>
          <w:lang w:val="en-CA"/>
        </w:rPr>
        <w:t xml:space="preserve"> statement</w:t>
      </w:r>
      <w:r w:rsidRPr="00E54AD1">
        <w:rPr>
          <w:lang w:val="en-CA"/>
        </w:rPr>
        <w:t xml:space="preserve"> has</w:t>
      </w:r>
      <w:r>
        <w:rPr>
          <w:lang w:val="en-CA"/>
        </w:rPr>
        <w:t xml:space="preserve"> been issued</w:t>
      </w:r>
      <w:r w:rsidRPr="00E54AD1">
        <w:rPr>
          <w:rStyle w:val="FootnoteReference"/>
          <w:szCs w:val="22"/>
          <w:lang w:val="en-CA"/>
        </w:rPr>
        <w:footnoteReference w:id="6"/>
      </w:r>
      <w:r w:rsidR="00855CB7">
        <w:rPr>
          <w:i/>
          <w:lang w:val="en-CA"/>
        </w:rPr>
        <w:t>.</w:t>
      </w:r>
      <w:r w:rsidR="00AA6578">
        <w:rPr>
          <w:i/>
          <w:lang w:val="en-CA"/>
        </w:rPr>
        <w:t xml:space="preserve"> </w:t>
      </w:r>
      <w:r>
        <w:rPr>
          <w:lang w:val="en-CA"/>
        </w:rPr>
        <w:t xml:space="preserve">To submit a NOD, you </w:t>
      </w:r>
      <w:r w:rsidR="00855CB7">
        <w:rPr>
          <w:lang w:val="en-CA"/>
        </w:rPr>
        <w:t>must complete all required sections of the</w:t>
      </w:r>
      <w:r w:rsidR="00855CB7">
        <w:rPr>
          <w:i/>
          <w:lang w:val="en-CA"/>
        </w:rPr>
        <w:t xml:space="preserve"> notice of disagreement</w:t>
      </w:r>
      <w:r w:rsidR="00855CB7">
        <w:rPr>
          <w:lang w:val="en-CA"/>
        </w:rPr>
        <w:t xml:space="preserve"> form </w:t>
      </w:r>
      <w:r w:rsidR="00240AE0">
        <w:rPr>
          <w:lang w:val="en-CA"/>
        </w:rPr>
        <w:t>available</w:t>
      </w:r>
      <w:r w:rsidR="00F12058">
        <w:rPr>
          <w:lang w:val="en-CA"/>
        </w:rPr>
        <w:t xml:space="preserve"> through </w:t>
      </w:r>
      <w:r w:rsidR="004C6115">
        <w:rPr>
          <w:lang w:val="en-CA"/>
        </w:rPr>
        <w:t>Online IESO</w:t>
      </w:r>
      <w:r w:rsidR="00CC6543">
        <w:rPr>
          <w:rStyle w:val="FootnoteReference"/>
          <w:lang w:val="en-CA"/>
        </w:rPr>
        <w:footnoteReference w:id="7"/>
      </w:r>
      <w:r w:rsidR="004C6115">
        <w:rPr>
          <w:lang w:val="en-CA"/>
        </w:rPr>
        <w:t>.</w:t>
      </w:r>
      <w:r w:rsidR="00F12058">
        <w:rPr>
          <w:lang w:val="en-CA"/>
        </w:rPr>
        <w:t xml:space="preserve"> We encourage you to provide as detailed information as you can in the </w:t>
      </w:r>
      <w:r w:rsidR="00F12058" w:rsidRPr="00F66F6C">
        <w:rPr>
          <w:i/>
          <w:lang w:val="en-CA"/>
        </w:rPr>
        <w:t>notice of disagreement</w:t>
      </w:r>
      <w:r w:rsidR="00F12058">
        <w:rPr>
          <w:lang w:val="en-CA"/>
        </w:rPr>
        <w:t xml:space="preserve"> form, as incomplete submission</w:t>
      </w:r>
      <w:r w:rsidR="00E06F73">
        <w:rPr>
          <w:lang w:val="en-CA"/>
        </w:rPr>
        <w:t>s</w:t>
      </w:r>
      <w:r w:rsidR="00F12058">
        <w:rPr>
          <w:lang w:val="en-CA"/>
        </w:rPr>
        <w:t xml:space="preserve"> may result in </w:t>
      </w:r>
      <w:r w:rsidR="00E06F73">
        <w:rPr>
          <w:lang w:val="en-CA"/>
        </w:rPr>
        <w:t xml:space="preserve">a </w:t>
      </w:r>
      <w:r w:rsidR="00F12058">
        <w:rPr>
          <w:lang w:val="en-CA"/>
        </w:rPr>
        <w:t>delay of your NOD processing.</w:t>
      </w:r>
    </w:p>
    <w:p w14:paraId="0F875779" w14:textId="77777777" w:rsidR="002829D0" w:rsidRDefault="004C6115" w:rsidP="002829D0">
      <w:pPr>
        <w:pStyle w:val="BodyText"/>
        <w:rPr>
          <w:lang w:val="en-CA"/>
        </w:rPr>
      </w:pPr>
      <w:r>
        <w:rPr>
          <w:lang w:val="en-CA"/>
        </w:rPr>
        <w:t xml:space="preserve">To access the </w:t>
      </w:r>
      <w:r>
        <w:rPr>
          <w:i/>
          <w:lang w:val="en-CA"/>
        </w:rPr>
        <w:t>notice of disagreement</w:t>
      </w:r>
      <w:r>
        <w:rPr>
          <w:lang w:val="en-CA"/>
        </w:rPr>
        <w:t xml:space="preserve"> </w:t>
      </w:r>
      <w:r w:rsidR="00D47361">
        <w:rPr>
          <w:lang w:val="en-CA"/>
        </w:rPr>
        <w:t>form through Online</w:t>
      </w:r>
      <w:r w:rsidR="001722A3">
        <w:rPr>
          <w:lang w:val="en-CA"/>
        </w:rPr>
        <w:t xml:space="preserve"> </w:t>
      </w:r>
      <w:r w:rsidR="00D47361">
        <w:rPr>
          <w:lang w:val="en-CA"/>
        </w:rPr>
        <w:t>IESO</w:t>
      </w:r>
      <w:r>
        <w:rPr>
          <w:lang w:val="en-CA"/>
        </w:rPr>
        <w:t xml:space="preserve">, contact your organization’s </w:t>
      </w:r>
      <w:r w:rsidR="001722A3">
        <w:rPr>
          <w:lang w:val="en-CA"/>
        </w:rPr>
        <w:t>a</w:t>
      </w:r>
      <w:r>
        <w:rPr>
          <w:lang w:val="en-CA"/>
        </w:rPr>
        <w:t xml:space="preserve">pplicant </w:t>
      </w:r>
      <w:r w:rsidR="001722A3">
        <w:rPr>
          <w:lang w:val="en-CA"/>
        </w:rPr>
        <w:t>r</w:t>
      </w:r>
      <w:r>
        <w:rPr>
          <w:lang w:val="en-CA"/>
        </w:rPr>
        <w:t>epresentative</w:t>
      </w:r>
      <w:r w:rsidR="002829D0">
        <w:rPr>
          <w:lang w:val="en-CA"/>
        </w:rPr>
        <w:t xml:space="preserve"> to register and assign you as a </w:t>
      </w:r>
      <w:r w:rsidR="001A0693" w:rsidRPr="00F66F6C">
        <w:rPr>
          <w:i/>
          <w:lang w:val="en-CA"/>
        </w:rPr>
        <w:t>notice of disagreement</w:t>
      </w:r>
      <w:r w:rsidR="002829D0">
        <w:rPr>
          <w:lang w:val="en-CA"/>
        </w:rPr>
        <w:t xml:space="preserve"> contact.  Once you</w:t>
      </w:r>
      <w:r w:rsidR="002829D0" w:rsidRPr="002829D0">
        <w:t xml:space="preserve"> </w:t>
      </w:r>
      <w:r w:rsidR="002829D0">
        <w:rPr>
          <w:lang w:val="en-CA"/>
        </w:rPr>
        <w:t xml:space="preserve">are registered, you </w:t>
      </w:r>
      <w:r w:rsidR="002829D0" w:rsidRPr="002829D0">
        <w:rPr>
          <w:lang w:val="en-CA"/>
        </w:rPr>
        <w:t>will automatically</w:t>
      </w:r>
      <w:r w:rsidR="002829D0">
        <w:rPr>
          <w:lang w:val="en-CA"/>
        </w:rPr>
        <w:t xml:space="preserve"> </w:t>
      </w:r>
      <w:r w:rsidR="002829D0" w:rsidRPr="002829D0">
        <w:rPr>
          <w:lang w:val="en-CA"/>
        </w:rPr>
        <w:t>receive a u</w:t>
      </w:r>
      <w:r w:rsidR="002829D0">
        <w:rPr>
          <w:lang w:val="en-CA"/>
        </w:rPr>
        <w:t>ser name and password to access Online</w:t>
      </w:r>
      <w:r w:rsidR="001722A3">
        <w:rPr>
          <w:lang w:val="en-CA"/>
        </w:rPr>
        <w:t xml:space="preserve"> </w:t>
      </w:r>
      <w:r w:rsidR="002829D0">
        <w:rPr>
          <w:lang w:val="en-CA"/>
        </w:rPr>
        <w:t>IESO.</w:t>
      </w:r>
    </w:p>
    <w:p w14:paraId="56337AD9" w14:textId="77777777" w:rsidR="00855CB7" w:rsidRDefault="00855CB7">
      <w:pPr>
        <w:pStyle w:val="BodyText"/>
        <w:rPr>
          <w:lang w:val="en-CA"/>
        </w:rPr>
      </w:pPr>
      <w:r>
        <w:rPr>
          <w:lang w:val="en-CA"/>
        </w:rPr>
        <w:t xml:space="preserve">If </w:t>
      </w:r>
      <w:r w:rsidR="00826D3B">
        <w:rPr>
          <w:lang w:val="en-CA"/>
        </w:rPr>
        <w:t>you</w:t>
      </w:r>
      <w:r>
        <w:rPr>
          <w:lang w:val="en-CA"/>
        </w:rPr>
        <w:t xml:space="preserve"> disagree with an item or calculation in </w:t>
      </w:r>
      <w:r w:rsidR="00826D3B">
        <w:rPr>
          <w:lang w:val="en-CA"/>
        </w:rPr>
        <w:t>your</w:t>
      </w:r>
      <w:r>
        <w:rPr>
          <w:lang w:val="en-CA"/>
        </w:rPr>
        <w:t xml:space="preserve"> </w:t>
      </w:r>
      <w:r>
        <w:rPr>
          <w:i/>
          <w:lang w:val="en-CA"/>
        </w:rPr>
        <w:t>preliminary settlement statement</w:t>
      </w:r>
      <w:r>
        <w:rPr>
          <w:lang w:val="en-CA"/>
        </w:rPr>
        <w:t xml:space="preserve"> for a single </w:t>
      </w:r>
      <w:r>
        <w:rPr>
          <w:i/>
          <w:lang w:val="en-CA"/>
        </w:rPr>
        <w:t>trading day</w:t>
      </w:r>
      <w:r w:rsidR="00826D3B">
        <w:rPr>
          <w:lang w:val="en-CA"/>
        </w:rPr>
        <w:t>, you can submit</w:t>
      </w:r>
      <w:r>
        <w:rPr>
          <w:lang w:val="en-CA"/>
        </w:rPr>
        <w:t xml:space="preserve"> a </w:t>
      </w:r>
      <w:r>
        <w:rPr>
          <w:i/>
          <w:lang w:val="en-CA"/>
        </w:rPr>
        <w:t>notice of disagreement</w:t>
      </w:r>
      <w:r>
        <w:rPr>
          <w:lang w:val="en-CA"/>
        </w:rPr>
        <w:t xml:space="preserve">.  </w:t>
      </w:r>
      <w:r w:rsidR="00826D3B">
        <w:rPr>
          <w:lang w:val="en-CA"/>
        </w:rPr>
        <w:t>You</w:t>
      </w:r>
      <w:r>
        <w:rPr>
          <w:lang w:val="en-CA"/>
        </w:rPr>
        <w:t xml:space="preserve"> may not submit a </w:t>
      </w:r>
      <w:r>
        <w:rPr>
          <w:i/>
          <w:lang w:val="en-CA"/>
        </w:rPr>
        <w:t>notice of disagreement</w:t>
      </w:r>
      <w:r>
        <w:rPr>
          <w:lang w:val="en-CA"/>
        </w:rPr>
        <w:t xml:space="preserve"> </w:t>
      </w:r>
      <w:r w:rsidR="00826D3B">
        <w:rPr>
          <w:lang w:val="en-CA"/>
        </w:rPr>
        <w:t>regarding</w:t>
      </w:r>
      <w:r>
        <w:rPr>
          <w:lang w:val="en-CA"/>
        </w:rPr>
        <w:t xml:space="preserve"> the calculation of:</w:t>
      </w:r>
    </w:p>
    <w:p w14:paraId="0FFCB206" w14:textId="77777777" w:rsidR="00855CB7" w:rsidRDefault="00E2265F" w:rsidP="003853C6">
      <w:pPr>
        <w:pStyle w:val="ListBullet"/>
        <w:numPr>
          <w:ilvl w:val="0"/>
          <w:numId w:val="16"/>
        </w:numPr>
        <w:rPr>
          <w:lang w:val="en-CA"/>
        </w:rPr>
      </w:pPr>
      <w:r>
        <w:rPr>
          <w:lang w:val="en-CA"/>
        </w:rPr>
        <w:t xml:space="preserve">the </w:t>
      </w:r>
      <w:r w:rsidR="00855CB7">
        <w:rPr>
          <w:lang w:val="en-CA"/>
        </w:rPr>
        <w:t xml:space="preserve">5-minute </w:t>
      </w:r>
      <w:r w:rsidR="00855CB7">
        <w:rPr>
          <w:i/>
          <w:lang w:val="en-CA"/>
        </w:rPr>
        <w:t>energy market</w:t>
      </w:r>
      <w:r w:rsidR="00855CB7">
        <w:rPr>
          <w:lang w:val="en-CA"/>
        </w:rPr>
        <w:t xml:space="preserve"> price for any </w:t>
      </w:r>
      <w:r w:rsidR="00855CB7">
        <w:rPr>
          <w:i/>
          <w:lang w:val="en-CA"/>
        </w:rPr>
        <w:t>dispatch interval</w:t>
      </w:r>
      <w:r w:rsidR="00855CB7">
        <w:rPr>
          <w:lang w:val="en-CA"/>
        </w:rPr>
        <w:t xml:space="preserve"> in a given </w:t>
      </w:r>
      <w:r w:rsidR="00855CB7" w:rsidRPr="00AA3D99">
        <w:rPr>
          <w:i/>
          <w:lang w:val="en-CA"/>
        </w:rPr>
        <w:t>settlement hour</w:t>
      </w:r>
      <w:r w:rsidR="00855CB7">
        <w:rPr>
          <w:lang w:val="en-CA"/>
        </w:rPr>
        <w:t>;</w:t>
      </w:r>
    </w:p>
    <w:p w14:paraId="6C4645D3" w14:textId="77777777" w:rsidR="00855CB7" w:rsidRDefault="00E2265F" w:rsidP="003853C6">
      <w:pPr>
        <w:pStyle w:val="ListBullet"/>
        <w:numPr>
          <w:ilvl w:val="0"/>
          <w:numId w:val="16"/>
        </w:numPr>
        <w:rPr>
          <w:lang w:val="en-CA"/>
        </w:rPr>
      </w:pPr>
      <w:r>
        <w:rPr>
          <w:lang w:val="en-CA"/>
        </w:rPr>
        <w:t xml:space="preserve">the </w:t>
      </w:r>
      <w:r w:rsidR="00855CB7">
        <w:rPr>
          <w:lang w:val="en-CA"/>
        </w:rPr>
        <w:t xml:space="preserve">5-minute price for any class of </w:t>
      </w:r>
      <w:r w:rsidR="00855CB7">
        <w:rPr>
          <w:i/>
          <w:lang w:val="en-CA"/>
        </w:rPr>
        <w:t>operating reserve</w:t>
      </w:r>
      <w:r w:rsidR="00855CB7">
        <w:rPr>
          <w:lang w:val="en-CA"/>
        </w:rPr>
        <w:t xml:space="preserve"> for any </w:t>
      </w:r>
      <w:r w:rsidR="00855CB7">
        <w:rPr>
          <w:i/>
          <w:lang w:val="en-CA"/>
        </w:rPr>
        <w:t>dispatch interval</w:t>
      </w:r>
      <w:r w:rsidR="00855CB7">
        <w:rPr>
          <w:lang w:val="en-CA"/>
        </w:rPr>
        <w:t xml:space="preserve"> in a given </w:t>
      </w:r>
      <w:r w:rsidR="00855CB7" w:rsidRPr="00AA3D99">
        <w:rPr>
          <w:i/>
          <w:lang w:val="en-CA"/>
        </w:rPr>
        <w:t>settlement hour</w:t>
      </w:r>
      <w:r w:rsidR="00855CB7">
        <w:rPr>
          <w:lang w:val="en-CA"/>
        </w:rPr>
        <w:t>;</w:t>
      </w:r>
      <w:r w:rsidR="000B41B2">
        <w:rPr>
          <w:lang w:val="en-CA"/>
        </w:rPr>
        <w:t xml:space="preserve"> or</w:t>
      </w:r>
    </w:p>
    <w:p w14:paraId="5EF1B1F3" w14:textId="77777777" w:rsidR="00855CB7" w:rsidRDefault="00E2265F" w:rsidP="003853C6">
      <w:pPr>
        <w:pStyle w:val="ListBullet"/>
        <w:numPr>
          <w:ilvl w:val="0"/>
          <w:numId w:val="16"/>
        </w:numPr>
        <w:rPr>
          <w:lang w:val="en-CA"/>
        </w:rPr>
      </w:pPr>
      <w:r>
        <w:rPr>
          <w:lang w:val="en-CA"/>
        </w:rPr>
        <w:t xml:space="preserve">the </w:t>
      </w:r>
      <w:r w:rsidR="00855CB7">
        <w:rPr>
          <w:i/>
          <w:lang w:val="en-CA"/>
        </w:rPr>
        <w:t>hourly Ontario energy price</w:t>
      </w:r>
      <w:r w:rsidR="00855CB7">
        <w:rPr>
          <w:lang w:val="en-CA"/>
        </w:rPr>
        <w:t xml:space="preserve"> for a given </w:t>
      </w:r>
      <w:r w:rsidR="00855CB7" w:rsidRPr="00AA3D99">
        <w:rPr>
          <w:i/>
          <w:lang w:val="en-CA"/>
        </w:rPr>
        <w:t>settlement hour</w:t>
      </w:r>
      <w:r w:rsidR="00855CB7">
        <w:rPr>
          <w:lang w:val="en-CA"/>
        </w:rPr>
        <w:t>.</w:t>
      </w:r>
    </w:p>
    <w:p w14:paraId="7944B2AE" w14:textId="77777777" w:rsidR="00855CB7" w:rsidRDefault="00855CB7">
      <w:pPr>
        <w:pStyle w:val="BodyText"/>
        <w:rPr>
          <w:lang w:val="en-CA"/>
        </w:rPr>
      </w:pPr>
      <w:r>
        <w:rPr>
          <w:lang w:val="en-CA"/>
        </w:rPr>
        <w:t xml:space="preserve">However, </w:t>
      </w:r>
      <w:r w:rsidR="00826D3B">
        <w:rPr>
          <w:lang w:val="en-CA"/>
        </w:rPr>
        <w:t>you</w:t>
      </w:r>
      <w:r>
        <w:rPr>
          <w:lang w:val="en-CA"/>
        </w:rPr>
        <w:t xml:space="preserve"> can submit a </w:t>
      </w:r>
      <w:r>
        <w:rPr>
          <w:i/>
          <w:lang w:val="en-CA"/>
        </w:rPr>
        <w:t>notice of disagreement</w:t>
      </w:r>
      <w:r>
        <w:rPr>
          <w:lang w:val="en-CA"/>
        </w:rPr>
        <w:t xml:space="preserve"> with respect to the manner in which any of these prices have been applied </w:t>
      </w:r>
      <w:r w:rsidR="00826D3B">
        <w:rPr>
          <w:lang w:val="en-CA"/>
        </w:rPr>
        <w:t>in</w:t>
      </w:r>
      <w:r>
        <w:rPr>
          <w:lang w:val="en-CA"/>
        </w:rPr>
        <w:t xml:space="preserve"> the calculation of </w:t>
      </w:r>
      <w:r w:rsidR="00826D3B">
        <w:rPr>
          <w:lang w:val="en-CA"/>
        </w:rPr>
        <w:t>your</w:t>
      </w:r>
      <w:r>
        <w:rPr>
          <w:i/>
          <w:lang w:val="en-CA"/>
        </w:rPr>
        <w:t xml:space="preserve"> settlement amounts</w:t>
      </w:r>
      <w:r>
        <w:rPr>
          <w:lang w:val="en-CA"/>
        </w:rPr>
        <w:t>.</w:t>
      </w:r>
    </w:p>
    <w:p w14:paraId="5B87C3A2" w14:textId="77777777" w:rsidR="00855CB7" w:rsidRDefault="00281ABD" w:rsidP="00F630EF">
      <w:pPr>
        <w:pStyle w:val="BodyText"/>
        <w:rPr>
          <w:lang w:val="en-CA"/>
        </w:rPr>
      </w:pPr>
      <w:r>
        <w:rPr>
          <w:lang w:val="en-CA"/>
        </w:rPr>
        <w:t xml:space="preserve">Your </w:t>
      </w:r>
      <w:r w:rsidR="00855CB7">
        <w:rPr>
          <w:i/>
          <w:lang w:val="en-CA"/>
        </w:rPr>
        <w:t>notice of disagreement</w:t>
      </w:r>
      <w:r w:rsidR="00F630EF">
        <w:rPr>
          <w:lang w:val="en-CA"/>
        </w:rPr>
        <w:t xml:space="preserve"> </w:t>
      </w:r>
      <w:r w:rsidR="00855CB7">
        <w:rPr>
          <w:lang w:val="en-CA"/>
        </w:rPr>
        <w:t>may only pertain to one item (or issue).  For example, a disagreement about an AQE</w:t>
      </w:r>
      <w:r w:rsidR="008B6AF0">
        <w:rPr>
          <w:lang w:val="en-CA"/>
        </w:rPr>
        <w:t>I</w:t>
      </w:r>
      <w:r w:rsidR="00855CB7">
        <w:rPr>
          <w:lang w:val="en-CA"/>
        </w:rPr>
        <w:t xml:space="preserve"> (</w:t>
      </w:r>
      <w:r w:rsidR="001722A3">
        <w:rPr>
          <w:lang w:val="en-CA"/>
        </w:rPr>
        <w:t xml:space="preserve">allocated quantity </w:t>
      </w:r>
      <w:r w:rsidR="00855CB7">
        <w:rPr>
          <w:lang w:val="en-CA"/>
        </w:rPr>
        <w:t xml:space="preserve">of </w:t>
      </w:r>
      <w:r w:rsidR="001722A3">
        <w:rPr>
          <w:i/>
          <w:lang w:val="en-CA"/>
        </w:rPr>
        <w:t>energy</w:t>
      </w:r>
      <w:r w:rsidR="001722A3">
        <w:rPr>
          <w:lang w:val="en-CA"/>
        </w:rPr>
        <w:t xml:space="preserve"> </w:t>
      </w:r>
      <w:r w:rsidR="008B6AF0">
        <w:rPr>
          <w:lang w:val="en-CA"/>
        </w:rPr>
        <w:t>injected</w:t>
      </w:r>
      <w:r w:rsidR="00855CB7">
        <w:rPr>
          <w:lang w:val="en-CA"/>
        </w:rPr>
        <w:t xml:space="preserve">) </w:t>
      </w:r>
      <w:r w:rsidR="008B6AF0">
        <w:rPr>
          <w:lang w:val="en-CA"/>
        </w:rPr>
        <w:t>and RSVC (reactive support and voltage control)</w:t>
      </w:r>
      <w:r w:rsidR="00855CB7">
        <w:rPr>
          <w:lang w:val="en-CA"/>
        </w:rPr>
        <w:t xml:space="preserve"> </w:t>
      </w:r>
      <w:r w:rsidR="008B6AF0">
        <w:rPr>
          <w:lang w:val="en-CA"/>
        </w:rPr>
        <w:t xml:space="preserve">during the same trading period </w:t>
      </w:r>
      <w:r w:rsidR="00855CB7">
        <w:rPr>
          <w:lang w:val="en-CA"/>
        </w:rPr>
        <w:t xml:space="preserve">must be submitted as two separate </w:t>
      </w:r>
      <w:r w:rsidR="00855CB7">
        <w:rPr>
          <w:i/>
          <w:lang w:val="en-CA"/>
        </w:rPr>
        <w:t>notices of disagreement</w:t>
      </w:r>
      <w:r w:rsidR="00855CB7">
        <w:rPr>
          <w:lang w:val="en-CA"/>
        </w:rPr>
        <w:t xml:space="preserve">, so that </w:t>
      </w:r>
      <w:r w:rsidR="00B70D71">
        <w:rPr>
          <w:lang w:val="en-CA"/>
        </w:rPr>
        <w:t>we</w:t>
      </w:r>
      <w:r w:rsidR="00855CB7">
        <w:rPr>
          <w:lang w:val="en-CA"/>
        </w:rPr>
        <w:t xml:space="preserve"> can investigate each item or issue. </w:t>
      </w:r>
      <w:r w:rsidR="00236C69">
        <w:rPr>
          <w:lang w:val="en-CA"/>
        </w:rPr>
        <w:t>However, w</w:t>
      </w:r>
      <w:r w:rsidR="00855CB7">
        <w:rPr>
          <w:lang w:val="en-CA"/>
        </w:rPr>
        <w:t xml:space="preserve">hen a </w:t>
      </w:r>
      <w:r w:rsidR="00855CB7">
        <w:rPr>
          <w:i/>
          <w:lang w:val="en-CA"/>
        </w:rPr>
        <w:t>notice of disagreement</w:t>
      </w:r>
      <w:r w:rsidR="00855CB7">
        <w:rPr>
          <w:lang w:val="en-CA"/>
        </w:rPr>
        <w:t xml:space="preserve"> pertains to input data for multiple </w:t>
      </w:r>
      <w:r w:rsidR="00855CB7">
        <w:rPr>
          <w:i/>
          <w:lang w:val="en-CA"/>
        </w:rPr>
        <w:t>dispatch intervals</w:t>
      </w:r>
      <w:r w:rsidR="00855CB7">
        <w:rPr>
          <w:lang w:val="en-CA"/>
        </w:rPr>
        <w:t xml:space="preserve"> on the same </w:t>
      </w:r>
      <w:r w:rsidR="00855CB7">
        <w:rPr>
          <w:i/>
          <w:lang w:val="en-CA"/>
        </w:rPr>
        <w:t>trading day</w:t>
      </w:r>
      <w:r w:rsidR="00855CB7" w:rsidRPr="00B70D71">
        <w:rPr>
          <w:lang w:val="en-CA"/>
        </w:rPr>
        <w:t xml:space="preserve">, </w:t>
      </w:r>
      <w:r w:rsidR="00B70D71">
        <w:rPr>
          <w:lang w:val="en-CA"/>
        </w:rPr>
        <w:t xml:space="preserve">you only need to submit </w:t>
      </w:r>
      <w:r w:rsidR="00855CB7">
        <w:rPr>
          <w:lang w:val="en-CA"/>
        </w:rPr>
        <w:t xml:space="preserve">one </w:t>
      </w:r>
      <w:r w:rsidR="00855CB7">
        <w:rPr>
          <w:i/>
          <w:lang w:val="en-CA"/>
        </w:rPr>
        <w:t>notice of disagreement</w:t>
      </w:r>
      <w:r w:rsidR="00F630EF">
        <w:rPr>
          <w:lang w:val="en-CA"/>
        </w:rPr>
        <w:t>.</w:t>
      </w:r>
    </w:p>
    <w:p w14:paraId="0268F299" w14:textId="77777777" w:rsidR="00855CB7" w:rsidRDefault="00F630EF" w:rsidP="00F630EF">
      <w:pPr>
        <w:pStyle w:val="ListBullet"/>
        <w:numPr>
          <w:ilvl w:val="0"/>
          <w:numId w:val="0"/>
        </w:numPr>
        <w:rPr>
          <w:lang w:val="en-CA"/>
        </w:rPr>
      </w:pPr>
      <w:r>
        <w:rPr>
          <w:lang w:val="en-CA"/>
        </w:rPr>
        <w:t xml:space="preserve">The </w:t>
      </w:r>
      <w:r w:rsidRPr="00F630EF">
        <w:rPr>
          <w:i/>
          <w:lang w:val="en-CA"/>
        </w:rPr>
        <w:t>notice of disagreement</w:t>
      </w:r>
      <w:r>
        <w:rPr>
          <w:lang w:val="en-CA"/>
        </w:rPr>
        <w:t xml:space="preserve"> must </w:t>
      </w:r>
      <w:r w:rsidR="00855CB7">
        <w:rPr>
          <w:lang w:val="en-CA"/>
        </w:rPr>
        <w:t xml:space="preserve">contain </w:t>
      </w:r>
      <w:r w:rsidR="000F31D4">
        <w:rPr>
          <w:lang w:val="en-CA"/>
        </w:rPr>
        <w:t xml:space="preserve">the </w:t>
      </w:r>
      <w:r w:rsidR="00855CB7">
        <w:rPr>
          <w:lang w:val="en-CA"/>
        </w:rPr>
        <w:t>proposed resolution and supporting documentation</w:t>
      </w:r>
      <w:r w:rsidR="00E2265F">
        <w:rPr>
          <w:lang w:val="en-CA"/>
        </w:rPr>
        <w:t>.</w:t>
      </w:r>
    </w:p>
    <w:p w14:paraId="0F2F9BC5" w14:textId="77777777" w:rsidR="00855CB7" w:rsidRDefault="00F630EF" w:rsidP="002F0A07">
      <w:pPr>
        <w:pStyle w:val="ListBullet"/>
        <w:tabs>
          <w:tab w:val="num" w:pos="360"/>
        </w:tabs>
        <w:ind w:left="360"/>
        <w:rPr>
          <w:lang w:val="en-CA"/>
        </w:rPr>
      </w:pPr>
      <w:r>
        <w:rPr>
          <w:lang w:val="en-CA"/>
        </w:rPr>
        <w:lastRenderedPageBreak/>
        <w:t>If y</w:t>
      </w:r>
      <w:r w:rsidR="000F31D4">
        <w:rPr>
          <w:lang w:val="en-CA"/>
        </w:rPr>
        <w:t xml:space="preserve">our </w:t>
      </w:r>
      <w:r w:rsidR="00855CB7">
        <w:rPr>
          <w:i/>
          <w:lang w:val="en-CA"/>
        </w:rPr>
        <w:t>notice of disagreement</w:t>
      </w:r>
      <w:r w:rsidR="00855CB7">
        <w:rPr>
          <w:lang w:val="en-CA"/>
        </w:rPr>
        <w:t xml:space="preserve"> </w:t>
      </w:r>
      <w:r>
        <w:rPr>
          <w:lang w:val="en-CA"/>
        </w:rPr>
        <w:t xml:space="preserve">relates to </w:t>
      </w:r>
      <w:r w:rsidRPr="00F630EF">
        <w:rPr>
          <w:i/>
          <w:lang w:val="en-CA"/>
        </w:rPr>
        <w:t>metering data</w:t>
      </w:r>
      <w:r>
        <w:rPr>
          <w:lang w:val="en-CA"/>
        </w:rPr>
        <w:t xml:space="preserve">, it </w:t>
      </w:r>
      <w:r w:rsidR="000F31D4">
        <w:rPr>
          <w:lang w:val="en-CA"/>
        </w:rPr>
        <w:t xml:space="preserve">must include </w:t>
      </w:r>
      <w:r w:rsidR="000F31D4" w:rsidRPr="006F2251">
        <w:rPr>
          <w:lang w:val="en-CA"/>
        </w:rPr>
        <w:t xml:space="preserve">a </w:t>
      </w:r>
      <w:r w:rsidR="00DA3379" w:rsidRPr="00DA3379">
        <w:rPr>
          <w:i/>
          <w:lang w:val="en-CA"/>
        </w:rPr>
        <w:t>meter</w:t>
      </w:r>
      <w:r w:rsidR="000F31D4">
        <w:rPr>
          <w:lang w:val="en-CA"/>
        </w:rPr>
        <w:t xml:space="preserve"> trouble report number</w:t>
      </w:r>
      <w:r w:rsidR="00855CB7">
        <w:rPr>
          <w:lang w:val="en-CA"/>
        </w:rPr>
        <w:t xml:space="preserve">.  </w:t>
      </w:r>
      <w:r w:rsidR="008C0281">
        <w:rPr>
          <w:lang w:val="en-CA"/>
        </w:rPr>
        <w:t>You must enter t</w:t>
      </w:r>
      <w:r w:rsidR="000F31D4">
        <w:rPr>
          <w:lang w:val="en-CA"/>
        </w:rPr>
        <w:t xml:space="preserve">he </w:t>
      </w:r>
      <w:r w:rsidR="00DA3379" w:rsidRPr="00DA3379">
        <w:rPr>
          <w:i/>
          <w:lang w:val="en-CA"/>
        </w:rPr>
        <w:t>meter</w:t>
      </w:r>
      <w:r w:rsidR="000F31D4" w:rsidRPr="006F2251">
        <w:rPr>
          <w:lang w:val="en-CA"/>
        </w:rPr>
        <w:t xml:space="preserve"> trouble</w:t>
      </w:r>
      <w:r w:rsidR="000F31D4">
        <w:rPr>
          <w:lang w:val="en-CA"/>
        </w:rPr>
        <w:t xml:space="preserve"> report number (MTR#) </w:t>
      </w:r>
      <w:r w:rsidR="00F12058">
        <w:rPr>
          <w:lang w:val="en-CA"/>
        </w:rPr>
        <w:t xml:space="preserve">under the </w:t>
      </w:r>
      <w:r w:rsidR="001722A3">
        <w:rPr>
          <w:lang w:val="en-CA"/>
        </w:rPr>
        <w:t>r</w:t>
      </w:r>
      <w:r w:rsidR="00F12058">
        <w:rPr>
          <w:lang w:val="en-CA"/>
        </w:rPr>
        <w:t xml:space="preserve">elated </w:t>
      </w:r>
      <w:r w:rsidR="001722A3">
        <w:rPr>
          <w:lang w:val="en-CA"/>
        </w:rPr>
        <w:t>m</w:t>
      </w:r>
      <w:r w:rsidR="00F12058">
        <w:rPr>
          <w:lang w:val="en-CA"/>
        </w:rPr>
        <w:t xml:space="preserve">eter </w:t>
      </w:r>
      <w:r w:rsidR="001722A3">
        <w:rPr>
          <w:lang w:val="en-CA"/>
        </w:rPr>
        <w:t>i</w:t>
      </w:r>
      <w:r w:rsidR="00F12058">
        <w:rPr>
          <w:lang w:val="en-CA"/>
        </w:rPr>
        <w:t>nformation section</w:t>
      </w:r>
      <w:r w:rsidR="000F31D4">
        <w:rPr>
          <w:lang w:val="en-CA"/>
        </w:rPr>
        <w:t xml:space="preserve"> on the </w:t>
      </w:r>
      <w:r w:rsidR="001722A3">
        <w:rPr>
          <w:lang w:val="en-CA"/>
        </w:rPr>
        <w:t xml:space="preserve">Online IESO </w:t>
      </w:r>
      <w:r w:rsidR="000F31D4">
        <w:rPr>
          <w:i/>
          <w:lang w:val="en-CA"/>
        </w:rPr>
        <w:t xml:space="preserve">notice of disagreement </w:t>
      </w:r>
      <w:r w:rsidR="000F31D4">
        <w:rPr>
          <w:lang w:val="en-CA"/>
        </w:rPr>
        <w:t>form.</w:t>
      </w:r>
      <w:r w:rsidR="008C0281">
        <w:rPr>
          <w:lang w:val="en-CA"/>
        </w:rPr>
        <w:t xml:space="preserve"> </w:t>
      </w:r>
      <w:r w:rsidR="00A11CFD">
        <w:rPr>
          <w:lang w:val="en-CA"/>
        </w:rPr>
        <w:t xml:space="preserve"> </w:t>
      </w:r>
      <w:r w:rsidR="00855CB7">
        <w:rPr>
          <w:lang w:val="en-CA"/>
        </w:rPr>
        <w:t xml:space="preserve">The resolution to the </w:t>
      </w:r>
      <w:r w:rsidR="00DA3379" w:rsidRPr="00DA3379">
        <w:rPr>
          <w:i/>
          <w:lang w:val="en-CA"/>
        </w:rPr>
        <w:t>meter</w:t>
      </w:r>
      <w:r w:rsidR="00855CB7" w:rsidRPr="006F2251">
        <w:rPr>
          <w:lang w:val="en-CA"/>
        </w:rPr>
        <w:t xml:space="preserve"> trouble</w:t>
      </w:r>
      <w:r w:rsidR="00855CB7">
        <w:rPr>
          <w:lang w:val="en-CA"/>
        </w:rPr>
        <w:t xml:space="preserve"> report provides the proposed resolution and supporting documentation required.</w:t>
      </w:r>
    </w:p>
    <w:p w14:paraId="30779349" w14:textId="77777777" w:rsidR="002F0A07" w:rsidRDefault="002F0A07" w:rsidP="003853C6">
      <w:pPr>
        <w:pStyle w:val="ListBullet"/>
        <w:numPr>
          <w:ilvl w:val="0"/>
          <w:numId w:val="47"/>
        </w:numPr>
        <w:rPr>
          <w:lang w:val="en-CA"/>
        </w:rPr>
      </w:pPr>
      <w:r>
        <w:rPr>
          <w:lang w:val="en-CA"/>
        </w:rPr>
        <w:t xml:space="preserve">If your </w:t>
      </w:r>
      <w:r>
        <w:rPr>
          <w:i/>
          <w:lang w:val="en-CA"/>
        </w:rPr>
        <w:t xml:space="preserve">notice of disagreement </w:t>
      </w:r>
      <w:r>
        <w:rPr>
          <w:lang w:val="en-CA"/>
        </w:rPr>
        <w:t>pertains</w:t>
      </w:r>
      <w:r>
        <w:rPr>
          <w:i/>
          <w:lang w:val="en-CA"/>
        </w:rPr>
        <w:t xml:space="preserve"> </w:t>
      </w:r>
      <w:r>
        <w:rPr>
          <w:lang w:val="en-CA"/>
        </w:rPr>
        <w:t>to “</w:t>
      </w:r>
      <w:r>
        <w:t>Settlement Amount Adjustments Resulting from Administration of Prices Due to Failure or Planned Outages of Market Systems or Due to Publication of Incorrect Prices</w:t>
      </w:r>
      <w:r>
        <w:rPr>
          <w:lang w:val="en-CA"/>
        </w:rPr>
        <w:t>”</w:t>
      </w:r>
      <w:r>
        <w:rPr>
          <w:rStyle w:val="FootnoteReference"/>
          <w:lang w:val="en-CA"/>
        </w:rPr>
        <w:footnoteReference w:id="8"/>
      </w:r>
      <w:r>
        <w:rPr>
          <w:lang w:val="en-CA"/>
        </w:rPr>
        <w:t xml:space="preserve">, </w:t>
      </w:r>
      <w:r w:rsidR="00236C69">
        <w:rPr>
          <w:lang w:val="en-CA"/>
        </w:rPr>
        <w:t xml:space="preserve">you must provide </w:t>
      </w:r>
      <w:r w:rsidR="00387AE1">
        <w:rPr>
          <w:lang w:val="en-CA"/>
        </w:rPr>
        <w:t xml:space="preserve">a completed </w:t>
      </w:r>
      <w:r w:rsidR="00E33158">
        <w:rPr>
          <w:lang w:val="en-CA"/>
        </w:rPr>
        <w:t xml:space="preserve">IMO_FORM_1549 </w:t>
      </w:r>
      <w:r w:rsidR="00387AE1" w:rsidRPr="00281ABD">
        <w:rPr>
          <w:lang w:val="en-CA"/>
        </w:rPr>
        <w:t>“Administrative Pricing Event Correction”</w:t>
      </w:r>
      <w:r w:rsidR="00387AE1">
        <w:rPr>
          <w:lang w:val="en-CA"/>
        </w:rPr>
        <w:t xml:space="preserve"> </w:t>
      </w:r>
      <w:r>
        <w:rPr>
          <w:lang w:val="en-CA"/>
        </w:rPr>
        <w:t>as a</w:t>
      </w:r>
      <w:r w:rsidR="00387AE1">
        <w:rPr>
          <w:lang w:val="en-CA"/>
        </w:rPr>
        <w:t>n</w:t>
      </w:r>
      <w:r>
        <w:rPr>
          <w:lang w:val="en-CA"/>
        </w:rPr>
        <w:t xml:space="preserve"> attachment to the </w:t>
      </w:r>
      <w:r w:rsidR="001722A3">
        <w:rPr>
          <w:lang w:val="en-CA"/>
        </w:rPr>
        <w:t xml:space="preserve">Online IESO </w:t>
      </w:r>
      <w:r>
        <w:rPr>
          <w:i/>
          <w:lang w:val="en-CA"/>
        </w:rPr>
        <w:t>notice of disagreement</w:t>
      </w:r>
      <w:r w:rsidR="001722A3">
        <w:rPr>
          <w:i/>
          <w:lang w:val="en-CA"/>
        </w:rPr>
        <w:t xml:space="preserve"> </w:t>
      </w:r>
      <w:r w:rsidR="001722A3" w:rsidRPr="00F66F6C">
        <w:rPr>
          <w:lang w:val="en-CA"/>
        </w:rPr>
        <w:t>form</w:t>
      </w:r>
      <w:r w:rsidR="00387AE1">
        <w:rPr>
          <w:lang w:val="en-CA"/>
        </w:rPr>
        <w:t>.</w:t>
      </w:r>
    </w:p>
    <w:p w14:paraId="765A2345" w14:textId="77777777" w:rsidR="008C0281" w:rsidRDefault="00855CB7" w:rsidP="005E5242">
      <w:pPr>
        <w:pStyle w:val="ListBullet"/>
        <w:tabs>
          <w:tab w:val="num" w:pos="360"/>
        </w:tabs>
        <w:ind w:left="360"/>
        <w:rPr>
          <w:lang w:val="en-CA"/>
        </w:rPr>
      </w:pPr>
      <w:r>
        <w:rPr>
          <w:lang w:val="en-CA"/>
        </w:rPr>
        <w:t xml:space="preserve">For other issues, </w:t>
      </w:r>
      <w:r w:rsidR="008C0281">
        <w:rPr>
          <w:lang w:val="en-CA"/>
        </w:rPr>
        <w:t xml:space="preserve">you </w:t>
      </w:r>
      <w:r w:rsidR="00F12058">
        <w:rPr>
          <w:lang w:val="en-CA"/>
        </w:rPr>
        <w:t xml:space="preserve">may </w:t>
      </w:r>
      <w:r w:rsidR="008C0281">
        <w:rPr>
          <w:lang w:val="en-CA"/>
        </w:rPr>
        <w:t xml:space="preserve">provide </w:t>
      </w:r>
      <w:r>
        <w:rPr>
          <w:lang w:val="en-CA"/>
        </w:rPr>
        <w:t xml:space="preserve">the proposed correction and supporting documentation as an attachment to the </w:t>
      </w:r>
      <w:r w:rsidR="001722A3">
        <w:rPr>
          <w:lang w:val="en-CA"/>
        </w:rPr>
        <w:t xml:space="preserve">Online IESO </w:t>
      </w:r>
      <w:r>
        <w:rPr>
          <w:i/>
          <w:lang w:val="en-CA"/>
        </w:rPr>
        <w:t>notice of disagreement</w:t>
      </w:r>
      <w:r>
        <w:rPr>
          <w:lang w:val="en-CA"/>
        </w:rPr>
        <w:t xml:space="preserve"> form. </w:t>
      </w:r>
      <w:r w:rsidR="00A11CFD">
        <w:rPr>
          <w:lang w:val="en-CA"/>
        </w:rPr>
        <w:t xml:space="preserve"> </w:t>
      </w:r>
      <w:r w:rsidR="008F0919">
        <w:rPr>
          <w:lang w:val="en-CA"/>
        </w:rPr>
        <w:t>T</w:t>
      </w:r>
      <w:r>
        <w:rPr>
          <w:lang w:val="en-CA"/>
        </w:rPr>
        <w:t xml:space="preserve">he attachment may be in the form of a table or spreadsheet. </w:t>
      </w:r>
      <w:r w:rsidR="00A11CFD">
        <w:rPr>
          <w:lang w:val="en-CA"/>
        </w:rPr>
        <w:t xml:space="preserve"> </w:t>
      </w:r>
      <w:r>
        <w:rPr>
          <w:lang w:val="en-CA"/>
        </w:rPr>
        <w:t>Table</w:t>
      </w:r>
      <w:r w:rsidR="00BB01C1">
        <w:rPr>
          <w:lang w:val="en-CA"/>
        </w:rPr>
        <w:t> </w:t>
      </w:r>
      <w:r>
        <w:rPr>
          <w:lang w:val="en-CA"/>
        </w:rPr>
        <w:t xml:space="preserve">1-1: </w:t>
      </w:r>
      <w:r w:rsidR="00236C69">
        <w:rPr>
          <w:lang w:val="en-CA"/>
        </w:rPr>
        <w:t>“</w:t>
      </w:r>
      <w:r>
        <w:rPr>
          <w:lang w:val="en-CA"/>
        </w:rPr>
        <w:t>Data Requirement for Notice of Disagreement Submission</w:t>
      </w:r>
      <w:r w:rsidR="00236C69">
        <w:rPr>
          <w:lang w:val="en-CA"/>
        </w:rPr>
        <w:t>”</w:t>
      </w:r>
      <w:r>
        <w:rPr>
          <w:lang w:val="en-CA"/>
        </w:rPr>
        <w:t xml:space="preserve"> provides a template for the data </w:t>
      </w:r>
      <w:r w:rsidR="008C0281">
        <w:rPr>
          <w:lang w:val="en-CA"/>
        </w:rPr>
        <w:t xml:space="preserve">you </w:t>
      </w:r>
      <w:r w:rsidR="00F12058">
        <w:rPr>
          <w:lang w:val="en-CA"/>
        </w:rPr>
        <w:t xml:space="preserve">may </w:t>
      </w:r>
      <w:r w:rsidR="008C0281">
        <w:rPr>
          <w:lang w:val="en-CA"/>
        </w:rPr>
        <w:t>supply</w:t>
      </w:r>
      <w:r>
        <w:rPr>
          <w:lang w:val="en-CA"/>
        </w:rPr>
        <w:t xml:space="preserve"> for specified </w:t>
      </w:r>
      <w:r>
        <w:rPr>
          <w:i/>
          <w:lang w:val="en-CA"/>
        </w:rPr>
        <w:t>notice of disagreement</w:t>
      </w:r>
      <w:r>
        <w:rPr>
          <w:lang w:val="en-CA"/>
        </w:rPr>
        <w:t xml:space="preserve"> issues. </w:t>
      </w:r>
      <w:r w:rsidR="00A11CFD">
        <w:rPr>
          <w:lang w:val="en-CA"/>
        </w:rPr>
        <w:t xml:space="preserve"> </w:t>
      </w:r>
      <w:r w:rsidR="008C0281">
        <w:rPr>
          <w:lang w:val="en-CA"/>
        </w:rPr>
        <w:t xml:space="preserve">If </w:t>
      </w:r>
      <w:r w:rsidR="005E5242">
        <w:rPr>
          <w:lang w:val="en-CA"/>
        </w:rPr>
        <w:t xml:space="preserve">the information you provide in the </w:t>
      </w:r>
      <w:r w:rsidR="00391666" w:rsidRPr="00391666">
        <w:rPr>
          <w:i/>
          <w:lang w:val="en-CA"/>
        </w:rPr>
        <w:t>notice of disagreement</w:t>
      </w:r>
      <w:r w:rsidR="005E5242">
        <w:rPr>
          <w:lang w:val="en-CA"/>
        </w:rPr>
        <w:t xml:space="preserve"> is incomplete or invalid</w:t>
      </w:r>
      <w:r w:rsidR="00E2265F">
        <w:rPr>
          <w:lang w:val="en-CA"/>
        </w:rPr>
        <w:t>,</w:t>
      </w:r>
      <w:r w:rsidR="00CA3C47" w:rsidRPr="00CA3C47">
        <w:rPr>
          <w:lang w:val="en-CA"/>
        </w:rPr>
        <w:t xml:space="preserve"> </w:t>
      </w:r>
      <w:r w:rsidR="00CA3C47">
        <w:rPr>
          <w:lang w:val="en-CA"/>
        </w:rPr>
        <w:t xml:space="preserve">the </w:t>
      </w:r>
      <w:r w:rsidR="00CA3C47">
        <w:rPr>
          <w:i/>
          <w:lang w:val="en-CA"/>
        </w:rPr>
        <w:t>notice of disagreement</w:t>
      </w:r>
      <w:r w:rsidR="00CA3C47">
        <w:rPr>
          <w:lang w:val="en-CA"/>
        </w:rPr>
        <w:t xml:space="preserve"> processing may be delayed.</w:t>
      </w:r>
    </w:p>
    <w:p w14:paraId="7B080067" w14:textId="77777777" w:rsidR="00855CB7" w:rsidRDefault="00AC2C05">
      <w:pPr>
        <w:pStyle w:val="TableCaption"/>
        <w:rPr>
          <w:lang w:val="en-CA"/>
        </w:rPr>
      </w:pPr>
      <w:bookmarkStart w:id="96" w:name="_Toc159396885"/>
      <w:bookmarkStart w:id="97" w:name="_Toc173213639"/>
      <w:bookmarkStart w:id="98" w:name="_Toc400369591"/>
      <w:bookmarkStart w:id="99" w:name="_Toc35796425"/>
      <w:bookmarkStart w:id="100" w:name="_Toc79657832"/>
      <w:r>
        <w:rPr>
          <w:lang w:val="en-CA"/>
        </w:rPr>
        <w:t>Table 1–</w:t>
      </w:r>
      <w:r w:rsidR="00855CB7">
        <w:rPr>
          <w:lang w:val="en-CA"/>
        </w:rPr>
        <w:t xml:space="preserve">1: </w:t>
      </w:r>
      <w:r w:rsidR="00395FFD">
        <w:rPr>
          <w:lang w:val="en-CA"/>
        </w:rPr>
        <w:t xml:space="preserve"> </w:t>
      </w:r>
      <w:r w:rsidR="00855CB7">
        <w:rPr>
          <w:lang w:val="en-CA"/>
        </w:rPr>
        <w:t>Data Requirement for Notice of Disagreement Submission</w:t>
      </w:r>
      <w:bookmarkEnd w:id="96"/>
      <w:bookmarkEnd w:id="97"/>
      <w:bookmarkEnd w:id="98"/>
      <w:bookmarkEnd w:id="99"/>
      <w:bookmarkEnd w:id="10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18"/>
        <w:gridCol w:w="3686"/>
        <w:gridCol w:w="1417"/>
        <w:gridCol w:w="1418"/>
      </w:tblGrid>
      <w:tr w:rsidR="00855CB7" w14:paraId="49C864CC" w14:textId="77777777" w:rsidTr="005F4390">
        <w:trPr>
          <w:cantSplit/>
          <w:tblHeader/>
        </w:trPr>
        <w:tc>
          <w:tcPr>
            <w:tcW w:w="2518" w:type="dxa"/>
            <w:tcBorders>
              <w:bottom w:val="single" w:sz="4" w:space="0" w:color="auto"/>
            </w:tcBorders>
            <w:shd w:val="clear" w:color="auto" w:fill="D9D9D9" w:themeFill="background1" w:themeFillShade="D9"/>
            <w:vAlign w:val="center"/>
          </w:tcPr>
          <w:p w14:paraId="7D0476CF" w14:textId="77777777" w:rsidR="00274BEB" w:rsidRDefault="00855CB7">
            <w:pPr>
              <w:pStyle w:val="TableHead"/>
              <w:spacing w:before="0" w:after="0"/>
              <w:rPr>
                <w:lang w:val="en-CA"/>
              </w:rPr>
            </w:pPr>
            <w:r>
              <w:rPr>
                <w:lang w:val="en-CA"/>
              </w:rPr>
              <w:t>Notice of Disagreement</w:t>
            </w:r>
          </w:p>
          <w:p w14:paraId="2F4EEC18" w14:textId="77777777" w:rsidR="00274BEB" w:rsidRDefault="00855CB7">
            <w:pPr>
              <w:pStyle w:val="TableHead"/>
              <w:spacing w:before="0" w:after="0"/>
              <w:rPr>
                <w:lang w:val="en-CA"/>
              </w:rPr>
            </w:pPr>
            <w:r>
              <w:rPr>
                <w:lang w:val="en-CA"/>
              </w:rPr>
              <w:t>Issue Type</w:t>
            </w:r>
          </w:p>
        </w:tc>
        <w:tc>
          <w:tcPr>
            <w:tcW w:w="3686" w:type="dxa"/>
            <w:shd w:val="clear" w:color="auto" w:fill="D9D9D9" w:themeFill="background1" w:themeFillShade="D9"/>
            <w:vAlign w:val="center"/>
          </w:tcPr>
          <w:p w14:paraId="01C4292B" w14:textId="77777777" w:rsidR="00274BEB" w:rsidRDefault="00855CB7">
            <w:pPr>
              <w:pStyle w:val="TableHead"/>
              <w:spacing w:before="40" w:after="40"/>
              <w:rPr>
                <w:lang w:val="en-CA"/>
              </w:rPr>
            </w:pPr>
            <w:r>
              <w:rPr>
                <w:lang w:val="en-CA"/>
              </w:rPr>
              <w:t>Data Requirements</w:t>
            </w:r>
          </w:p>
        </w:tc>
        <w:tc>
          <w:tcPr>
            <w:tcW w:w="1417" w:type="dxa"/>
            <w:shd w:val="clear" w:color="auto" w:fill="D9D9D9" w:themeFill="background1" w:themeFillShade="D9"/>
            <w:vAlign w:val="center"/>
          </w:tcPr>
          <w:p w14:paraId="5D6BFEEE" w14:textId="77777777" w:rsidR="00274BEB" w:rsidRDefault="00855CB7">
            <w:pPr>
              <w:pStyle w:val="TableHead"/>
              <w:spacing w:before="40" w:after="40"/>
              <w:rPr>
                <w:lang w:val="en-CA"/>
              </w:rPr>
            </w:pPr>
            <w:r>
              <w:rPr>
                <w:lang w:val="en-CA"/>
              </w:rPr>
              <w:t>IESO Data</w:t>
            </w:r>
          </w:p>
        </w:tc>
        <w:tc>
          <w:tcPr>
            <w:tcW w:w="1418" w:type="dxa"/>
            <w:shd w:val="clear" w:color="auto" w:fill="D9D9D9" w:themeFill="background1" w:themeFillShade="D9"/>
            <w:vAlign w:val="center"/>
          </w:tcPr>
          <w:p w14:paraId="131FE607" w14:textId="77777777" w:rsidR="00274BEB" w:rsidRDefault="00855CB7">
            <w:pPr>
              <w:pStyle w:val="TableHead"/>
              <w:spacing w:before="40" w:after="40"/>
              <w:rPr>
                <w:lang w:val="en-CA"/>
              </w:rPr>
            </w:pPr>
            <w:r>
              <w:rPr>
                <w:lang w:val="en-CA"/>
              </w:rPr>
              <w:t>Participant Data</w:t>
            </w:r>
          </w:p>
        </w:tc>
      </w:tr>
      <w:tr w:rsidR="00855CB7" w14:paraId="0AED4F32" w14:textId="77777777" w:rsidTr="00AA6386">
        <w:trPr>
          <w:cantSplit/>
        </w:trPr>
        <w:tc>
          <w:tcPr>
            <w:tcW w:w="2518" w:type="dxa"/>
            <w:vMerge w:val="restart"/>
            <w:tcBorders>
              <w:top w:val="single" w:sz="4" w:space="0" w:color="auto"/>
            </w:tcBorders>
          </w:tcPr>
          <w:p w14:paraId="27CFC02D" w14:textId="77777777" w:rsidR="00855CB7" w:rsidRDefault="00855CB7">
            <w:pPr>
              <w:pStyle w:val="DocumentNumber"/>
              <w:rPr>
                <w:rFonts w:ascii="Times New Roman" w:hAnsi="Times New Roman"/>
                <w:lang w:val="en-CA"/>
              </w:rPr>
            </w:pPr>
            <w:r>
              <w:rPr>
                <w:rFonts w:ascii="Times New Roman" w:hAnsi="Times New Roman"/>
                <w:i/>
                <w:lang w:val="en-CA"/>
              </w:rPr>
              <w:t>Physical Bilateral Contract</w:t>
            </w:r>
            <w:r>
              <w:rPr>
                <w:rFonts w:ascii="Times New Roman" w:hAnsi="Times New Roman"/>
                <w:lang w:val="en-CA"/>
              </w:rPr>
              <w:t xml:space="preserve"> (PBC)</w:t>
            </w:r>
          </w:p>
        </w:tc>
        <w:tc>
          <w:tcPr>
            <w:tcW w:w="3686" w:type="dxa"/>
          </w:tcPr>
          <w:p w14:paraId="680C3E8F" w14:textId="77777777" w:rsidR="00855CB7" w:rsidRDefault="00855CB7">
            <w:pPr>
              <w:rPr>
                <w:lang w:val="en-CA"/>
              </w:rPr>
            </w:pPr>
            <w:r>
              <w:rPr>
                <w:lang w:val="en-CA"/>
              </w:rPr>
              <w:t xml:space="preserve">Seller’s </w:t>
            </w:r>
            <w:r>
              <w:rPr>
                <w:i/>
                <w:lang w:val="en-CA"/>
              </w:rPr>
              <w:t>Market Participant</w:t>
            </w:r>
            <w:r>
              <w:rPr>
                <w:lang w:val="en-CA"/>
              </w:rPr>
              <w:t xml:space="preserve"> ID</w:t>
            </w:r>
          </w:p>
        </w:tc>
        <w:tc>
          <w:tcPr>
            <w:tcW w:w="1417" w:type="dxa"/>
          </w:tcPr>
          <w:p w14:paraId="38C8E757" w14:textId="77777777" w:rsidR="00855CB7" w:rsidRDefault="00855CB7">
            <w:pPr>
              <w:rPr>
                <w:lang w:val="en-CA"/>
              </w:rPr>
            </w:pPr>
          </w:p>
        </w:tc>
        <w:tc>
          <w:tcPr>
            <w:tcW w:w="1418" w:type="dxa"/>
          </w:tcPr>
          <w:p w14:paraId="0E5FC3F5" w14:textId="77777777" w:rsidR="00855CB7" w:rsidRDefault="00855CB7">
            <w:pPr>
              <w:rPr>
                <w:lang w:val="en-CA"/>
              </w:rPr>
            </w:pPr>
          </w:p>
        </w:tc>
      </w:tr>
      <w:tr w:rsidR="00855CB7" w14:paraId="34CBBBE8" w14:textId="77777777">
        <w:trPr>
          <w:cantSplit/>
        </w:trPr>
        <w:tc>
          <w:tcPr>
            <w:tcW w:w="2518" w:type="dxa"/>
            <w:vMerge/>
          </w:tcPr>
          <w:p w14:paraId="4D03E5B0" w14:textId="77777777" w:rsidR="00855CB7" w:rsidRDefault="00855CB7">
            <w:pPr>
              <w:rPr>
                <w:lang w:val="en-CA"/>
              </w:rPr>
            </w:pPr>
          </w:p>
        </w:tc>
        <w:tc>
          <w:tcPr>
            <w:tcW w:w="3686" w:type="dxa"/>
          </w:tcPr>
          <w:p w14:paraId="298F7771" w14:textId="77777777" w:rsidR="00855CB7" w:rsidRDefault="00855CB7">
            <w:pPr>
              <w:rPr>
                <w:lang w:val="en-CA"/>
              </w:rPr>
            </w:pPr>
            <w:r>
              <w:rPr>
                <w:lang w:val="en-CA"/>
              </w:rPr>
              <w:t xml:space="preserve">Buyer’s </w:t>
            </w:r>
            <w:r>
              <w:rPr>
                <w:i/>
                <w:lang w:val="en-CA"/>
              </w:rPr>
              <w:t>Market Participant</w:t>
            </w:r>
            <w:r>
              <w:rPr>
                <w:lang w:val="en-CA"/>
              </w:rPr>
              <w:t xml:space="preserve"> ID</w:t>
            </w:r>
          </w:p>
        </w:tc>
        <w:tc>
          <w:tcPr>
            <w:tcW w:w="1417" w:type="dxa"/>
          </w:tcPr>
          <w:p w14:paraId="7FE5F01B" w14:textId="77777777" w:rsidR="00855CB7" w:rsidRDefault="00855CB7">
            <w:pPr>
              <w:rPr>
                <w:lang w:val="en-CA"/>
              </w:rPr>
            </w:pPr>
          </w:p>
        </w:tc>
        <w:tc>
          <w:tcPr>
            <w:tcW w:w="1418" w:type="dxa"/>
          </w:tcPr>
          <w:p w14:paraId="333935A5" w14:textId="77777777" w:rsidR="00855CB7" w:rsidRDefault="00855CB7">
            <w:pPr>
              <w:rPr>
                <w:lang w:val="en-CA"/>
              </w:rPr>
            </w:pPr>
          </w:p>
        </w:tc>
      </w:tr>
      <w:tr w:rsidR="00855CB7" w14:paraId="71A40D38" w14:textId="77777777">
        <w:trPr>
          <w:cantSplit/>
        </w:trPr>
        <w:tc>
          <w:tcPr>
            <w:tcW w:w="2518" w:type="dxa"/>
            <w:vMerge/>
          </w:tcPr>
          <w:p w14:paraId="06F47945" w14:textId="77777777" w:rsidR="00855CB7" w:rsidRDefault="00855CB7">
            <w:pPr>
              <w:rPr>
                <w:lang w:val="en-CA"/>
              </w:rPr>
            </w:pPr>
          </w:p>
        </w:tc>
        <w:tc>
          <w:tcPr>
            <w:tcW w:w="3686" w:type="dxa"/>
          </w:tcPr>
          <w:p w14:paraId="6BDCF234" w14:textId="77777777" w:rsidR="00855CB7" w:rsidRDefault="00855CB7">
            <w:pPr>
              <w:rPr>
                <w:lang w:val="en-CA"/>
              </w:rPr>
            </w:pPr>
            <w:r>
              <w:rPr>
                <w:lang w:val="en-CA"/>
              </w:rPr>
              <w:t>Location ID of PBC contract</w:t>
            </w:r>
          </w:p>
        </w:tc>
        <w:tc>
          <w:tcPr>
            <w:tcW w:w="1417" w:type="dxa"/>
          </w:tcPr>
          <w:p w14:paraId="1644A031" w14:textId="77777777" w:rsidR="00855CB7" w:rsidRDefault="00855CB7">
            <w:pPr>
              <w:rPr>
                <w:lang w:val="en-CA"/>
              </w:rPr>
            </w:pPr>
          </w:p>
        </w:tc>
        <w:tc>
          <w:tcPr>
            <w:tcW w:w="1418" w:type="dxa"/>
          </w:tcPr>
          <w:p w14:paraId="61C22F79" w14:textId="77777777" w:rsidR="00855CB7" w:rsidRDefault="00855CB7">
            <w:pPr>
              <w:rPr>
                <w:lang w:val="en-CA"/>
              </w:rPr>
            </w:pPr>
          </w:p>
        </w:tc>
      </w:tr>
      <w:tr w:rsidR="00855CB7" w14:paraId="7AAC4B07" w14:textId="77777777">
        <w:trPr>
          <w:cantSplit/>
        </w:trPr>
        <w:tc>
          <w:tcPr>
            <w:tcW w:w="2518" w:type="dxa"/>
            <w:vMerge/>
          </w:tcPr>
          <w:p w14:paraId="3D9C1C7F" w14:textId="77777777" w:rsidR="00855CB7" w:rsidRDefault="00855CB7">
            <w:pPr>
              <w:rPr>
                <w:lang w:val="en-CA"/>
              </w:rPr>
            </w:pPr>
          </w:p>
        </w:tc>
        <w:tc>
          <w:tcPr>
            <w:tcW w:w="3686" w:type="dxa"/>
          </w:tcPr>
          <w:p w14:paraId="28FE176B" w14:textId="77777777" w:rsidR="00855CB7" w:rsidRDefault="00855CB7">
            <w:pPr>
              <w:rPr>
                <w:lang w:val="en-CA"/>
              </w:rPr>
            </w:pPr>
            <w:r>
              <w:rPr>
                <w:lang w:val="en-CA"/>
              </w:rPr>
              <w:t>Zone ID</w:t>
            </w:r>
          </w:p>
        </w:tc>
        <w:tc>
          <w:tcPr>
            <w:tcW w:w="1417" w:type="dxa"/>
          </w:tcPr>
          <w:p w14:paraId="36D53133" w14:textId="77777777" w:rsidR="00855CB7" w:rsidRDefault="00855CB7">
            <w:pPr>
              <w:rPr>
                <w:lang w:val="en-CA"/>
              </w:rPr>
            </w:pPr>
          </w:p>
        </w:tc>
        <w:tc>
          <w:tcPr>
            <w:tcW w:w="1418" w:type="dxa"/>
          </w:tcPr>
          <w:p w14:paraId="2BCD3663" w14:textId="77777777" w:rsidR="00855CB7" w:rsidRDefault="00855CB7">
            <w:pPr>
              <w:rPr>
                <w:lang w:val="en-CA"/>
              </w:rPr>
            </w:pPr>
          </w:p>
        </w:tc>
      </w:tr>
      <w:tr w:rsidR="00855CB7" w14:paraId="348BE962" w14:textId="77777777">
        <w:trPr>
          <w:cantSplit/>
        </w:trPr>
        <w:tc>
          <w:tcPr>
            <w:tcW w:w="2518" w:type="dxa"/>
            <w:vMerge/>
          </w:tcPr>
          <w:p w14:paraId="3EC74E4B" w14:textId="77777777" w:rsidR="00855CB7" w:rsidRDefault="00855CB7">
            <w:pPr>
              <w:rPr>
                <w:lang w:val="en-CA"/>
              </w:rPr>
            </w:pPr>
          </w:p>
        </w:tc>
        <w:tc>
          <w:tcPr>
            <w:tcW w:w="3686" w:type="dxa"/>
          </w:tcPr>
          <w:p w14:paraId="7F136BBC" w14:textId="77777777" w:rsidR="00855CB7" w:rsidRDefault="00855CB7">
            <w:pPr>
              <w:rPr>
                <w:lang w:val="en-CA"/>
              </w:rPr>
            </w:pPr>
            <w:r>
              <w:rPr>
                <w:lang w:val="en-CA"/>
              </w:rPr>
              <w:t>Trading Hour(s)</w:t>
            </w:r>
          </w:p>
        </w:tc>
        <w:tc>
          <w:tcPr>
            <w:tcW w:w="1417" w:type="dxa"/>
          </w:tcPr>
          <w:p w14:paraId="2718F8FE" w14:textId="77777777" w:rsidR="00855CB7" w:rsidRDefault="00855CB7">
            <w:pPr>
              <w:rPr>
                <w:lang w:val="en-CA"/>
              </w:rPr>
            </w:pPr>
          </w:p>
        </w:tc>
        <w:tc>
          <w:tcPr>
            <w:tcW w:w="1418" w:type="dxa"/>
          </w:tcPr>
          <w:p w14:paraId="0414FF1F" w14:textId="77777777" w:rsidR="00855CB7" w:rsidRDefault="00855CB7">
            <w:pPr>
              <w:rPr>
                <w:lang w:val="en-CA"/>
              </w:rPr>
            </w:pPr>
          </w:p>
        </w:tc>
      </w:tr>
      <w:tr w:rsidR="00855CB7" w14:paraId="1D6AC6E7" w14:textId="77777777">
        <w:trPr>
          <w:cantSplit/>
        </w:trPr>
        <w:tc>
          <w:tcPr>
            <w:tcW w:w="2518" w:type="dxa"/>
            <w:vMerge/>
          </w:tcPr>
          <w:p w14:paraId="76851304" w14:textId="77777777" w:rsidR="00855CB7" w:rsidRDefault="00855CB7">
            <w:pPr>
              <w:rPr>
                <w:lang w:val="en-CA"/>
              </w:rPr>
            </w:pPr>
          </w:p>
        </w:tc>
        <w:tc>
          <w:tcPr>
            <w:tcW w:w="3686" w:type="dxa"/>
          </w:tcPr>
          <w:p w14:paraId="6A37660E" w14:textId="77777777" w:rsidR="00855CB7" w:rsidRDefault="00855CB7">
            <w:pPr>
              <w:rPr>
                <w:lang w:val="en-CA"/>
              </w:rPr>
            </w:pPr>
            <w:r>
              <w:rPr>
                <w:lang w:val="en-CA"/>
              </w:rPr>
              <w:t>Trading Interval(s)</w:t>
            </w:r>
          </w:p>
        </w:tc>
        <w:tc>
          <w:tcPr>
            <w:tcW w:w="1417" w:type="dxa"/>
          </w:tcPr>
          <w:p w14:paraId="6A530C9D" w14:textId="77777777" w:rsidR="00855CB7" w:rsidRDefault="00855CB7">
            <w:pPr>
              <w:rPr>
                <w:lang w:val="en-CA"/>
              </w:rPr>
            </w:pPr>
          </w:p>
        </w:tc>
        <w:tc>
          <w:tcPr>
            <w:tcW w:w="1418" w:type="dxa"/>
          </w:tcPr>
          <w:p w14:paraId="0F17C199" w14:textId="77777777" w:rsidR="00855CB7" w:rsidRDefault="00855CB7">
            <w:pPr>
              <w:rPr>
                <w:lang w:val="en-CA"/>
              </w:rPr>
            </w:pPr>
          </w:p>
        </w:tc>
      </w:tr>
      <w:tr w:rsidR="00855CB7" w14:paraId="5915C3DA" w14:textId="77777777">
        <w:trPr>
          <w:cantSplit/>
        </w:trPr>
        <w:tc>
          <w:tcPr>
            <w:tcW w:w="2518" w:type="dxa"/>
            <w:vMerge/>
          </w:tcPr>
          <w:p w14:paraId="245D47DD" w14:textId="77777777" w:rsidR="00855CB7" w:rsidRDefault="00855CB7">
            <w:pPr>
              <w:rPr>
                <w:lang w:val="en-CA"/>
              </w:rPr>
            </w:pPr>
          </w:p>
        </w:tc>
        <w:tc>
          <w:tcPr>
            <w:tcW w:w="3686" w:type="dxa"/>
          </w:tcPr>
          <w:p w14:paraId="299AA8C0" w14:textId="77777777" w:rsidR="00855CB7" w:rsidRDefault="00855CB7">
            <w:pPr>
              <w:rPr>
                <w:lang w:val="en-CA"/>
              </w:rPr>
            </w:pPr>
            <w:r>
              <w:rPr>
                <w:lang w:val="en-CA"/>
              </w:rPr>
              <w:t xml:space="preserve">NEMSC </w:t>
            </w:r>
            <w:r>
              <w:rPr>
                <w:i/>
                <w:lang w:val="en-CA"/>
              </w:rPr>
              <w:t>Hourly Uplift</w:t>
            </w:r>
            <w:r>
              <w:rPr>
                <w:lang w:val="en-CA"/>
              </w:rPr>
              <w:t xml:space="preserve"> Component reallocation flag (Y/N)</w:t>
            </w:r>
          </w:p>
        </w:tc>
        <w:tc>
          <w:tcPr>
            <w:tcW w:w="1417" w:type="dxa"/>
          </w:tcPr>
          <w:p w14:paraId="2D48A1D2" w14:textId="77777777" w:rsidR="00855CB7" w:rsidRDefault="00855CB7">
            <w:pPr>
              <w:rPr>
                <w:lang w:val="en-CA"/>
              </w:rPr>
            </w:pPr>
          </w:p>
        </w:tc>
        <w:tc>
          <w:tcPr>
            <w:tcW w:w="1418" w:type="dxa"/>
          </w:tcPr>
          <w:p w14:paraId="5674C77C" w14:textId="77777777" w:rsidR="00855CB7" w:rsidRDefault="00855CB7">
            <w:pPr>
              <w:rPr>
                <w:lang w:val="en-CA"/>
              </w:rPr>
            </w:pPr>
          </w:p>
        </w:tc>
      </w:tr>
      <w:tr w:rsidR="00855CB7" w14:paraId="636682B6" w14:textId="77777777">
        <w:trPr>
          <w:cantSplit/>
        </w:trPr>
        <w:tc>
          <w:tcPr>
            <w:tcW w:w="2518" w:type="dxa"/>
            <w:vMerge/>
          </w:tcPr>
          <w:p w14:paraId="330759F0" w14:textId="77777777" w:rsidR="00855CB7" w:rsidRDefault="00855CB7">
            <w:pPr>
              <w:rPr>
                <w:lang w:val="en-CA"/>
              </w:rPr>
            </w:pPr>
          </w:p>
        </w:tc>
        <w:tc>
          <w:tcPr>
            <w:tcW w:w="3686" w:type="dxa"/>
          </w:tcPr>
          <w:p w14:paraId="3C121A90" w14:textId="77777777" w:rsidR="00855CB7" w:rsidRDefault="00855CB7">
            <w:pPr>
              <w:rPr>
                <w:lang w:val="en-CA"/>
              </w:rPr>
            </w:pPr>
            <w:r>
              <w:rPr>
                <w:lang w:val="en-CA"/>
              </w:rPr>
              <w:t xml:space="preserve">ORSC </w:t>
            </w:r>
            <w:r>
              <w:rPr>
                <w:i/>
                <w:lang w:val="en-CA"/>
              </w:rPr>
              <w:t>Hourly Uplift</w:t>
            </w:r>
            <w:r>
              <w:rPr>
                <w:lang w:val="en-CA"/>
              </w:rPr>
              <w:t xml:space="preserve"> Component reallocation flag (Y/N)  </w:t>
            </w:r>
          </w:p>
        </w:tc>
        <w:tc>
          <w:tcPr>
            <w:tcW w:w="1417" w:type="dxa"/>
          </w:tcPr>
          <w:p w14:paraId="1D91E001" w14:textId="77777777" w:rsidR="00855CB7" w:rsidRDefault="00855CB7">
            <w:pPr>
              <w:rPr>
                <w:lang w:val="en-CA"/>
              </w:rPr>
            </w:pPr>
          </w:p>
        </w:tc>
        <w:tc>
          <w:tcPr>
            <w:tcW w:w="1418" w:type="dxa"/>
          </w:tcPr>
          <w:p w14:paraId="004B4A1A" w14:textId="77777777" w:rsidR="00855CB7" w:rsidRDefault="00855CB7">
            <w:pPr>
              <w:rPr>
                <w:lang w:val="en-CA"/>
              </w:rPr>
            </w:pPr>
          </w:p>
        </w:tc>
      </w:tr>
      <w:tr w:rsidR="00855CB7" w14:paraId="6EF6D094" w14:textId="77777777">
        <w:trPr>
          <w:cantSplit/>
        </w:trPr>
        <w:tc>
          <w:tcPr>
            <w:tcW w:w="2518" w:type="dxa"/>
            <w:vMerge/>
          </w:tcPr>
          <w:p w14:paraId="6EB173F5" w14:textId="77777777" w:rsidR="00855CB7" w:rsidRDefault="00855CB7">
            <w:pPr>
              <w:rPr>
                <w:lang w:val="en-CA"/>
              </w:rPr>
            </w:pPr>
          </w:p>
        </w:tc>
        <w:tc>
          <w:tcPr>
            <w:tcW w:w="3686" w:type="dxa"/>
          </w:tcPr>
          <w:p w14:paraId="28BA5F30" w14:textId="77777777" w:rsidR="00855CB7" w:rsidRDefault="00855CB7">
            <w:pPr>
              <w:rPr>
                <w:lang w:val="en-CA"/>
              </w:rPr>
            </w:pPr>
            <w:r>
              <w:rPr>
                <w:lang w:val="en-CA"/>
              </w:rPr>
              <w:t xml:space="preserve">CAPRSC </w:t>
            </w:r>
            <w:r>
              <w:rPr>
                <w:i/>
                <w:lang w:val="en-CA"/>
              </w:rPr>
              <w:t>Hourly Uplift</w:t>
            </w:r>
            <w:r>
              <w:rPr>
                <w:lang w:val="en-CA"/>
              </w:rPr>
              <w:t xml:space="preserve"> Component reallocation flag (Y/N)</w:t>
            </w:r>
          </w:p>
        </w:tc>
        <w:tc>
          <w:tcPr>
            <w:tcW w:w="1417" w:type="dxa"/>
          </w:tcPr>
          <w:p w14:paraId="10E27E8B" w14:textId="77777777" w:rsidR="00855CB7" w:rsidRDefault="00855CB7">
            <w:pPr>
              <w:rPr>
                <w:lang w:val="en-CA"/>
              </w:rPr>
            </w:pPr>
          </w:p>
        </w:tc>
        <w:tc>
          <w:tcPr>
            <w:tcW w:w="1418" w:type="dxa"/>
          </w:tcPr>
          <w:p w14:paraId="5C1D669F" w14:textId="77777777" w:rsidR="00855CB7" w:rsidRDefault="00855CB7">
            <w:pPr>
              <w:rPr>
                <w:lang w:val="en-CA"/>
              </w:rPr>
            </w:pPr>
          </w:p>
        </w:tc>
      </w:tr>
      <w:tr w:rsidR="00855CB7" w14:paraId="1CAA88C9" w14:textId="77777777">
        <w:trPr>
          <w:cantSplit/>
        </w:trPr>
        <w:tc>
          <w:tcPr>
            <w:tcW w:w="2518" w:type="dxa"/>
            <w:vMerge/>
          </w:tcPr>
          <w:p w14:paraId="0DACB069" w14:textId="77777777" w:rsidR="00855CB7" w:rsidRDefault="00855CB7">
            <w:pPr>
              <w:rPr>
                <w:lang w:val="en-CA"/>
              </w:rPr>
            </w:pPr>
          </w:p>
        </w:tc>
        <w:tc>
          <w:tcPr>
            <w:tcW w:w="3686" w:type="dxa"/>
          </w:tcPr>
          <w:p w14:paraId="34F85C53" w14:textId="77777777" w:rsidR="00855CB7" w:rsidRDefault="00855CB7">
            <w:pPr>
              <w:rPr>
                <w:lang w:val="en-CA"/>
              </w:rPr>
            </w:pPr>
            <w:r>
              <w:rPr>
                <w:lang w:val="en-CA"/>
              </w:rPr>
              <w:t xml:space="preserve">CMSC </w:t>
            </w:r>
            <w:r>
              <w:rPr>
                <w:i/>
                <w:lang w:val="en-CA"/>
              </w:rPr>
              <w:t>Hourly Uplift</w:t>
            </w:r>
            <w:r>
              <w:rPr>
                <w:lang w:val="en-CA"/>
              </w:rPr>
              <w:t xml:space="preserve"> Component reallocation flag (Y/N)</w:t>
            </w:r>
          </w:p>
        </w:tc>
        <w:tc>
          <w:tcPr>
            <w:tcW w:w="1417" w:type="dxa"/>
          </w:tcPr>
          <w:p w14:paraId="36FAAE20" w14:textId="77777777" w:rsidR="00855CB7" w:rsidRDefault="00855CB7">
            <w:pPr>
              <w:rPr>
                <w:lang w:val="en-CA"/>
              </w:rPr>
            </w:pPr>
          </w:p>
        </w:tc>
        <w:tc>
          <w:tcPr>
            <w:tcW w:w="1418" w:type="dxa"/>
          </w:tcPr>
          <w:p w14:paraId="49F6D086" w14:textId="77777777" w:rsidR="00855CB7" w:rsidRDefault="00855CB7">
            <w:pPr>
              <w:rPr>
                <w:lang w:val="en-CA"/>
              </w:rPr>
            </w:pPr>
          </w:p>
        </w:tc>
      </w:tr>
      <w:tr w:rsidR="00855CB7" w14:paraId="1E3C9051" w14:textId="77777777">
        <w:trPr>
          <w:cantSplit/>
        </w:trPr>
        <w:tc>
          <w:tcPr>
            <w:tcW w:w="2518" w:type="dxa"/>
            <w:vMerge/>
          </w:tcPr>
          <w:p w14:paraId="554E5445" w14:textId="77777777" w:rsidR="00855CB7" w:rsidRDefault="00855CB7">
            <w:pPr>
              <w:rPr>
                <w:lang w:val="en-CA"/>
              </w:rPr>
            </w:pPr>
          </w:p>
        </w:tc>
        <w:tc>
          <w:tcPr>
            <w:tcW w:w="3686" w:type="dxa"/>
          </w:tcPr>
          <w:p w14:paraId="3903BF52" w14:textId="77777777" w:rsidR="00855CB7" w:rsidRDefault="00855CB7">
            <w:pPr>
              <w:rPr>
                <w:lang w:val="en-CA"/>
              </w:rPr>
            </w:pPr>
            <w:r>
              <w:rPr>
                <w:lang w:val="en-CA"/>
              </w:rPr>
              <w:t xml:space="preserve">CRSSD </w:t>
            </w:r>
            <w:r>
              <w:rPr>
                <w:i/>
                <w:lang w:val="en-CA"/>
              </w:rPr>
              <w:t>Hourly Uplift</w:t>
            </w:r>
            <w:r>
              <w:rPr>
                <w:lang w:val="en-CA"/>
              </w:rPr>
              <w:t xml:space="preserve"> Component reallocation flag (Y/N)</w:t>
            </w:r>
          </w:p>
        </w:tc>
        <w:tc>
          <w:tcPr>
            <w:tcW w:w="1417" w:type="dxa"/>
          </w:tcPr>
          <w:p w14:paraId="5FCF87FA" w14:textId="77777777" w:rsidR="00855CB7" w:rsidRDefault="00855CB7">
            <w:pPr>
              <w:rPr>
                <w:lang w:val="en-CA"/>
              </w:rPr>
            </w:pPr>
          </w:p>
        </w:tc>
        <w:tc>
          <w:tcPr>
            <w:tcW w:w="1418" w:type="dxa"/>
          </w:tcPr>
          <w:p w14:paraId="37A05DD5" w14:textId="77777777" w:rsidR="00855CB7" w:rsidRDefault="00855CB7">
            <w:pPr>
              <w:rPr>
                <w:lang w:val="en-CA"/>
              </w:rPr>
            </w:pPr>
          </w:p>
        </w:tc>
      </w:tr>
      <w:tr w:rsidR="00855CB7" w14:paraId="211C104E" w14:textId="77777777">
        <w:trPr>
          <w:cantSplit/>
        </w:trPr>
        <w:tc>
          <w:tcPr>
            <w:tcW w:w="2518" w:type="dxa"/>
            <w:vMerge/>
          </w:tcPr>
          <w:p w14:paraId="14794866" w14:textId="77777777" w:rsidR="00855CB7" w:rsidRDefault="00855CB7">
            <w:pPr>
              <w:rPr>
                <w:lang w:val="en-CA"/>
              </w:rPr>
            </w:pPr>
          </w:p>
        </w:tc>
        <w:tc>
          <w:tcPr>
            <w:tcW w:w="3686" w:type="dxa"/>
          </w:tcPr>
          <w:p w14:paraId="0BDB23C9" w14:textId="77777777" w:rsidR="00855CB7" w:rsidRDefault="00855CB7">
            <w:pPr>
              <w:rPr>
                <w:lang w:val="en-CA"/>
              </w:rPr>
            </w:pPr>
            <w:r>
              <w:rPr>
                <w:lang w:val="en-CA"/>
              </w:rPr>
              <w:t xml:space="preserve">ORSSD </w:t>
            </w:r>
            <w:r>
              <w:rPr>
                <w:i/>
                <w:lang w:val="en-CA"/>
              </w:rPr>
              <w:t>Hourly Uplift</w:t>
            </w:r>
            <w:r>
              <w:rPr>
                <w:lang w:val="en-CA"/>
              </w:rPr>
              <w:t xml:space="preserve"> Component reallocation flag (Y/N)</w:t>
            </w:r>
          </w:p>
        </w:tc>
        <w:tc>
          <w:tcPr>
            <w:tcW w:w="1417" w:type="dxa"/>
          </w:tcPr>
          <w:p w14:paraId="70F8885E" w14:textId="77777777" w:rsidR="00855CB7" w:rsidRDefault="00855CB7">
            <w:pPr>
              <w:rPr>
                <w:lang w:val="en-CA"/>
              </w:rPr>
            </w:pPr>
          </w:p>
        </w:tc>
        <w:tc>
          <w:tcPr>
            <w:tcW w:w="1418" w:type="dxa"/>
          </w:tcPr>
          <w:p w14:paraId="099480C1" w14:textId="77777777" w:rsidR="00855CB7" w:rsidRDefault="00855CB7">
            <w:pPr>
              <w:rPr>
                <w:lang w:val="en-CA"/>
              </w:rPr>
            </w:pPr>
          </w:p>
        </w:tc>
      </w:tr>
      <w:tr w:rsidR="00855CB7" w14:paraId="49BCC6F5" w14:textId="77777777">
        <w:trPr>
          <w:cantSplit/>
        </w:trPr>
        <w:tc>
          <w:tcPr>
            <w:tcW w:w="2518" w:type="dxa"/>
            <w:vMerge/>
          </w:tcPr>
          <w:p w14:paraId="4CAA4FE9" w14:textId="77777777" w:rsidR="00855CB7" w:rsidRDefault="00855CB7">
            <w:pPr>
              <w:rPr>
                <w:lang w:val="en-CA"/>
              </w:rPr>
            </w:pPr>
          </w:p>
        </w:tc>
        <w:tc>
          <w:tcPr>
            <w:tcW w:w="3686" w:type="dxa"/>
          </w:tcPr>
          <w:p w14:paraId="3CC873BD" w14:textId="77777777" w:rsidR="00855CB7" w:rsidRDefault="00855CB7">
            <w:pPr>
              <w:rPr>
                <w:lang w:val="en-CA"/>
              </w:rPr>
            </w:pPr>
            <w:r>
              <w:rPr>
                <w:lang w:val="en-CA"/>
              </w:rPr>
              <w:t>PBC Percent flag</w:t>
            </w:r>
          </w:p>
        </w:tc>
        <w:tc>
          <w:tcPr>
            <w:tcW w:w="1417" w:type="dxa"/>
          </w:tcPr>
          <w:p w14:paraId="710CE82F" w14:textId="77777777" w:rsidR="00855CB7" w:rsidRDefault="00855CB7">
            <w:pPr>
              <w:rPr>
                <w:lang w:val="en-CA"/>
              </w:rPr>
            </w:pPr>
          </w:p>
        </w:tc>
        <w:tc>
          <w:tcPr>
            <w:tcW w:w="1418" w:type="dxa"/>
          </w:tcPr>
          <w:p w14:paraId="17343AB4" w14:textId="77777777" w:rsidR="00855CB7" w:rsidRDefault="00855CB7">
            <w:pPr>
              <w:rPr>
                <w:lang w:val="en-CA"/>
              </w:rPr>
            </w:pPr>
          </w:p>
        </w:tc>
      </w:tr>
      <w:tr w:rsidR="00855CB7" w14:paraId="614BEA6C" w14:textId="77777777">
        <w:trPr>
          <w:cantSplit/>
        </w:trPr>
        <w:tc>
          <w:tcPr>
            <w:tcW w:w="2518" w:type="dxa"/>
            <w:vMerge/>
          </w:tcPr>
          <w:p w14:paraId="6A298E5A" w14:textId="77777777" w:rsidR="00855CB7" w:rsidRDefault="00855CB7">
            <w:pPr>
              <w:rPr>
                <w:lang w:val="en-CA"/>
              </w:rPr>
            </w:pPr>
          </w:p>
        </w:tc>
        <w:tc>
          <w:tcPr>
            <w:tcW w:w="3686" w:type="dxa"/>
          </w:tcPr>
          <w:p w14:paraId="5746FB5E" w14:textId="77777777" w:rsidR="00855CB7" w:rsidRDefault="00855CB7">
            <w:pPr>
              <w:rPr>
                <w:lang w:val="en-CA"/>
              </w:rPr>
            </w:pPr>
            <w:r>
              <w:rPr>
                <w:lang w:val="en-CA"/>
              </w:rPr>
              <w:t>Traded Quantity (MWh)</w:t>
            </w:r>
          </w:p>
        </w:tc>
        <w:tc>
          <w:tcPr>
            <w:tcW w:w="1417" w:type="dxa"/>
          </w:tcPr>
          <w:p w14:paraId="59263BD5" w14:textId="77777777" w:rsidR="00855CB7" w:rsidRDefault="00855CB7">
            <w:pPr>
              <w:rPr>
                <w:lang w:val="en-CA"/>
              </w:rPr>
            </w:pPr>
          </w:p>
        </w:tc>
        <w:tc>
          <w:tcPr>
            <w:tcW w:w="1418" w:type="dxa"/>
          </w:tcPr>
          <w:p w14:paraId="2AD24FCB" w14:textId="77777777" w:rsidR="00855CB7" w:rsidRDefault="00855CB7">
            <w:pPr>
              <w:rPr>
                <w:lang w:val="en-CA"/>
              </w:rPr>
            </w:pPr>
          </w:p>
        </w:tc>
      </w:tr>
      <w:tr w:rsidR="00855CB7" w14:paraId="53B3DA8E" w14:textId="77777777">
        <w:trPr>
          <w:cantSplit/>
        </w:trPr>
        <w:tc>
          <w:tcPr>
            <w:tcW w:w="2518" w:type="dxa"/>
            <w:vMerge w:val="restart"/>
          </w:tcPr>
          <w:p w14:paraId="386D1C9B" w14:textId="77777777" w:rsidR="00855CB7" w:rsidRDefault="00855CB7">
            <w:pPr>
              <w:rPr>
                <w:lang w:val="en-CA"/>
              </w:rPr>
            </w:pPr>
            <w:r>
              <w:rPr>
                <w:lang w:val="en-CA"/>
              </w:rPr>
              <w:t xml:space="preserve">Schedules, </w:t>
            </w:r>
            <w:r>
              <w:rPr>
                <w:i/>
                <w:lang w:val="en-CA"/>
              </w:rPr>
              <w:t>Bids</w:t>
            </w:r>
            <w:r>
              <w:rPr>
                <w:lang w:val="en-CA"/>
              </w:rPr>
              <w:t xml:space="preserve"> and </w:t>
            </w:r>
            <w:r>
              <w:rPr>
                <w:i/>
                <w:lang w:val="en-CA"/>
              </w:rPr>
              <w:t>Offers, Energy , Operating Reserve</w:t>
            </w:r>
            <w:r>
              <w:rPr>
                <w:lang w:val="en-CA"/>
              </w:rPr>
              <w:t>, CMSC, IOG</w:t>
            </w:r>
            <w:r w:rsidR="00B94CDB">
              <w:rPr>
                <w:lang w:val="en-CA"/>
              </w:rPr>
              <w:t>,</w:t>
            </w:r>
            <w:r>
              <w:rPr>
                <w:lang w:val="en-CA"/>
              </w:rPr>
              <w:t xml:space="preserve"> </w:t>
            </w:r>
            <w:r w:rsidR="00CB7DD5">
              <w:rPr>
                <w:lang w:val="en-CA"/>
              </w:rPr>
              <w:t xml:space="preserve">or </w:t>
            </w:r>
            <w:r w:rsidR="00B94CDB">
              <w:rPr>
                <w:lang w:val="en-CA"/>
              </w:rPr>
              <w:t xml:space="preserve">day-ahead or real-time intertie failure, or day-ahead </w:t>
            </w:r>
            <w:r w:rsidR="00FB2A1D">
              <w:rPr>
                <w:lang w:val="en-CA"/>
              </w:rPr>
              <w:t xml:space="preserve">production </w:t>
            </w:r>
            <w:r w:rsidR="000B1D06">
              <w:rPr>
                <w:lang w:val="en-CA"/>
              </w:rPr>
              <w:t xml:space="preserve">cost </w:t>
            </w:r>
            <w:r w:rsidR="00FB2A1D">
              <w:rPr>
                <w:lang w:val="en-CA"/>
              </w:rPr>
              <w:t xml:space="preserve">guarantee, </w:t>
            </w:r>
            <w:r w:rsidR="00B94CDB">
              <w:rPr>
                <w:lang w:val="en-CA"/>
              </w:rPr>
              <w:t>or real-time generation cost guarantee</w:t>
            </w:r>
            <w:r w:rsidR="00FB2A1D">
              <w:rPr>
                <w:lang w:val="en-CA"/>
              </w:rPr>
              <w:t>, or day ahead withdrawal</w:t>
            </w:r>
            <w:r w:rsidR="00CB7DD5">
              <w:rPr>
                <w:lang w:val="en-CA"/>
              </w:rPr>
              <w:t xml:space="preserve"> </w:t>
            </w:r>
            <w:r>
              <w:rPr>
                <w:i/>
                <w:lang w:val="en-CA"/>
              </w:rPr>
              <w:t>Settlement Amounts</w:t>
            </w:r>
          </w:p>
        </w:tc>
        <w:tc>
          <w:tcPr>
            <w:tcW w:w="3686" w:type="dxa"/>
          </w:tcPr>
          <w:p w14:paraId="4CEF4B50" w14:textId="77777777" w:rsidR="00855CB7" w:rsidRDefault="00855CB7">
            <w:pPr>
              <w:rPr>
                <w:lang w:val="en-CA"/>
              </w:rPr>
            </w:pPr>
            <w:r>
              <w:rPr>
                <w:lang w:val="en-CA"/>
              </w:rPr>
              <w:t>Location ID</w:t>
            </w:r>
          </w:p>
        </w:tc>
        <w:tc>
          <w:tcPr>
            <w:tcW w:w="1417" w:type="dxa"/>
          </w:tcPr>
          <w:p w14:paraId="13291036" w14:textId="77777777" w:rsidR="00855CB7" w:rsidRDefault="00855CB7">
            <w:pPr>
              <w:rPr>
                <w:lang w:val="en-CA"/>
              </w:rPr>
            </w:pPr>
          </w:p>
        </w:tc>
        <w:tc>
          <w:tcPr>
            <w:tcW w:w="1418" w:type="dxa"/>
          </w:tcPr>
          <w:p w14:paraId="295F9A6C" w14:textId="77777777" w:rsidR="00855CB7" w:rsidRDefault="00855CB7">
            <w:pPr>
              <w:rPr>
                <w:lang w:val="en-CA"/>
              </w:rPr>
            </w:pPr>
          </w:p>
        </w:tc>
      </w:tr>
      <w:tr w:rsidR="00855CB7" w14:paraId="43E9EC33" w14:textId="77777777">
        <w:trPr>
          <w:cantSplit/>
        </w:trPr>
        <w:tc>
          <w:tcPr>
            <w:tcW w:w="2518" w:type="dxa"/>
            <w:vMerge/>
          </w:tcPr>
          <w:p w14:paraId="35D451B4" w14:textId="77777777" w:rsidR="00855CB7" w:rsidRDefault="00855CB7">
            <w:pPr>
              <w:rPr>
                <w:lang w:val="en-CA"/>
              </w:rPr>
            </w:pPr>
          </w:p>
        </w:tc>
        <w:tc>
          <w:tcPr>
            <w:tcW w:w="3686" w:type="dxa"/>
          </w:tcPr>
          <w:p w14:paraId="2D4F313F" w14:textId="77777777" w:rsidR="00855CB7" w:rsidRDefault="00855CB7">
            <w:pPr>
              <w:rPr>
                <w:lang w:val="en-CA"/>
              </w:rPr>
            </w:pPr>
            <w:r>
              <w:rPr>
                <w:lang w:val="en-CA"/>
              </w:rPr>
              <w:t>Market Type (</w:t>
            </w:r>
            <w:r>
              <w:rPr>
                <w:i/>
                <w:lang w:val="en-CA"/>
              </w:rPr>
              <w:t>Dispatch</w:t>
            </w:r>
            <w:r>
              <w:rPr>
                <w:lang w:val="en-CA"/>
              </w:rPr>
              <w:t xml:space="preserve"> or Market)</w:t>
            </w:r>
          </w:p>
        </w:tc>
        <w:tc>
          <w:tcPr>
            <w:tcW w:w="1417" w:type="dxa"/>
          </w:tcPr>
          <w:p w14:paraId="522102F8" w14:textId="77777777" w:rsidR="00855CB7" w:rsidRDefault="00855CB7">
            <w:pPr>
              <w:rPr>
                <w:lang w:val="en-CA"/>
              </w:rPr>
            </w:pPr>
          </w:p>
        </w:tc>
        <w:tc>
          <w:tcPr>
            <w:tcW w:w="1418" w:type="dxa"/>
          </w:tcPr>
          <w:p w14:paraId="577BD010" w14:textId="77777777" w:rsidR="00855CB7" w:rsidRDefault="00855CB7">
            <w:pPr>
              <w:rPr>
                <w:lang w:val="en-CA"/>
              </w:rPr>
            </w:pPr>
          </w:p>
        </w:tc>
      </w:tr>
      <w:tr w:rsidR="00855CB7" w14:paraId="3E0F4A60" w14:textId="77777777">
        <w:trPr>
          <w:cantSplit/>
        </w:trPr>
        <w:tc>
          <w:tcPr>
            <w:tcW w:w="2518" w:type="dxa"/>
            <w:vMerge/>
          </w:tcPr>
          <w:p w14:paraId="00173A12" w14:textId="77777777" w:rsidR="00855CB7" w:rsidRDefault="00855CB7">
            <w:pPr>
              <w:rPr>
                <w:lang w:val="en-CA"/>
              </w:rPr>
            </w:pPr>
          </w:p>
        </w:tc>
        <w:tc>
          <w:tcPr>
            <w:tcW w:w="3686" w:type="dxa"/>
          </w:tcPr>
          <w:p w14:paraId="161B7A57" w14:textId="77777777" w:rsidR="00855CB7" w:rsidRDefault="00855CB7" w:rsidP="000B41B2">
            <w:pPr>
              <w:rPr>
                <w:lang w:val="en-CA"/>
              </w:rPr>
            </w:pPr>
            <w:r>
              <w:rPr>
                <w:lang w:val="en-CA"/>
              </w:rPr>
              <w:t>Scheduling Component (</w:t>
            </w:r>
            <w:r>
              <w:rPr>
                <w:i/>
                <w:lang w:val="en-CA"/>
              </w:rPr>
              <w:t>Energy</w:t>
            </w:r>
            <w:r>
              <w:rPr>
                <w:lang w:val="en-CA"/>
              </w:rPr>
              <w:t xml:space="preserve">, 10-minute spinning </w:t>
            </w:r>
            <w:r>
              <w:rPr>
                <w:i/>
                <w:lang w:val="en-CA"/>
              </w:rPr>
              <w:t>Operating Reserve</w:t>
            </w:r>
            <w:r>
              <w:rPr>
                <w:lang w:val="en-CA"/>
              </w:rPr>
              <w:t xml:space="preserve">, 10-minute Non-spinning </w:t>
            </w:r>
            <w:r>
              <w:rPr>
                <w:i/>
                <w:lang w:val="en-CA"/>
              </w:rPr>
              <w:t xml:space="preserve">Operating Reserve, </w:t>
            </w:r>
            <w:r>
              <w:rPr>
                <w:lang w:val="en-CA"/>
              </w:rPr>
              <w:t>30-minute</w:t>
            </w:r>
            <w:r>
              <w:rPr>
                <w:i/>
                <w:lang w:val="en-CA"/>
              </w:rPr>
              <w:t xml:space="preserve"> Operating Reserve</w:t>
            </w:r>
            <w:r>
              <w:rPr>
                <w:lang w:val="en-CA"/>
              </w:rPr>
              <w:t xml:space="preserve">, </w:t>
            </w:r>
            <w:r w:rsidR="00FB2A1D">
              <w:rPr>
                <w:i/>
                <w:lang w:val="en-CA"/>
              </w:rPr>
              <w:t xml:space="preserve">, Schedule of Record, </w:t>
            </w:r>
            <w:r w:rsidR="00FB2A1D">
              <w:rPr>
                <w:lang w:val="en-CA"/>
              </w:rPr>
              <w:t>Hour Ahead Pre-dispatch</w:t>
            </w:r>
            <w:r>
              <w:rPr>
                <w:lang w:val="en-CA"/>
              </w:rPr>
              <w:t xml:space="preserve">) </w:t>
            </w:r>
          </w:p>
        </w:tc>
        <w:tc>
          <w:tcPr>
            <w:tcW w:w="1417" w:type="dxa"/>
          </w:tcPr>
          <w:p w14:paraId="37311F1E" w14:textId="77777777" w:rsidR="00855CB7" w:rsidRDefault="00855CB7">
            <w:pPr>
              <w:rPr>
                <w:lang w:val="en-CA"/>
              </w:rPr>
            </w:pPr>
          </w:p>
        </w:tc>
        <w:tc>
          <w:tcPr>
            <w:tcW w:w="1418" w:type="dxa"/>
          </w:tcPr>
          <w:p w14:paraId="72839C47" w14:textId="77777777" w:rsidR="00855CB7" w:rsidRDefault="00855CB7">
            <w:pPr>
              <w:rPr>
                <w:lang w:val="en-CA"/>
              </w:rPr>
            </w:pPr>
          </w:p>
        </w:tc>
      </w:tr>
      <w:tr w:rsidR="00855CB7" w14:paraId="55318207" w14:textId="77777777">
        <w:trPr>
          <w:cantSplit/>
        </w:trPr>
        <w:tc>
          <w:tcPr>
            <w:tcW w:w="2518" w:type="dxa"/>
            <w:vMerge/>
          </w:tcPr>
          <w:p w14:paraId="6BA52501" w14:textId="77777777" w:rsidR="00855CB7" w:rsidRDefault="00855CB7">
            <w:pPr>
              <w:rPr>
                <w:lang w:val="en-CA"/>
              </w:rPr>
            </w:pPr>
          </w:p>
        </w:tc>
        <w:tc>
          <w:tcPr>
            <w:tcW w:w="3686" w:type="dxa"/>
          </w:tcPr>
          <w:p w14:paraId="3989994A" w14:textId="77777777" w:rsidR="00855CB7" w:rsidRDefault="00855CB7">
            <w:pPr>
              <w:rPr>
                <w:lang w:val="en-CA"/>
              </w:rPr>
            </w:pPr>
            <w:r>
              <w:rPr>
                <w:lang w:val="en-CA"/>
              </w:rPr>
              <w:t>Trading Hour(s)</w:t>
            </w:r>
          </w:p>
        </w:tc>
        <w:tc>
          <w:tcPr>
            <w:tcW w:w="1417" w:type="dxa"/>
          </w:tcPr>
          <w:p w14:paraId="6ECA8485" w14:textId="77777777" w:rsidR="00855CB7" w:rsidRDefault="00855CB7">
            <w:pPr>
              <w:rPr>
                <w:lang w:val="en-CA"/>
              </w:rPr>
            </w:pPr>
          </w:p>
        </w:tc>
        <w:tc>
          <w:tcPr>
            <w:tcW w:w="1418" w:type="dxa"/>
          </w:tcPr>
          <w:p w14:paraId="6A4ADDF2" w14:textId="77777777" w:rsidR="00855CB7" w:rsidRDefault="00855CB7">
            <w:pPr>
              <w:rPr>
                <w:lang w:val="en-CA"/>
              </w:rPr>
            </w:pPr>
          </w:p>
        </w:tc>
      </w:tr>
      <w:tr w:rsidR="00855CB7" w14:paraId="4D22F3A0" w14:textId="77777777">
        <w:trPr>
          <w:cantSplit/>
        </w:trPr>
        <w:tc>
          <w:tcPr>
            <w:tcW w:w="2518" w:type="dxa"/>
            <w:vMerge/>
          </w:tcPr>
          <w:p w14:paraId="67561CB5" w14:textId="77777777" w:rsidR="00855CB7" w:rsidRDefault="00855CB7">
            <w:pPr>
              <w:rPr>
                <w:lang w:val="en-CA"/>
              </w:rPr>
            </w:pPr>
          </w:p>
        </w:tc>
        <w:tc>
          <w:tcPr>
            <w:tcW w:w="3686" w:type="dxa"/>
          </w:tcPr>
          <w:p w14:paraId="6D98479C" w14:textId="77777777" w:rsidR="00855CB7" w:rsidRDefault="00855CB7">
            <w:pPr>
              <w:rPr>
                <w:lang w:val="en-CA"/>
              </w:rPr>
            </w:pPr>
            <w:r>
              <w:rPr>
                <w:lang w:val="en-CA"/>
              </w:rPr>
              <w:t>Trading Interval(s)</w:t>
            </w:r>
          </w:p>
        </w:tc>
        <w:tc>
          <w:tcPr>
            <w:tcW w:w="1417" w:type="dxa"/>
          </w:tcPr>
          <w:p w14:paraId="06000F2E" w14:textId="77777777" w:rsidR="00855CB7" w:rsidRDefault="00855CB7">
            <w:pPr>
              <w:rPr>
                <w:lang w:val="en-CA"/>
              </w:rPr>
            </w:pPr>
          </w:p>
        </w:tc>
        <w:tc>
          <w:tcPr>
            <w:tcW w:w="1418" w:type="dxa"/>
          </w:tcPr>
          <w:p w14:paraId="4B531394" w14:textId="77777777" w:rsidR="00855CB7" w:rsidRDefault="00855CB7">
            <w:pPr>
              <w:rPr>
                <w:lang w:val="en-CA"/>
              </w:rPr>
            </w:pPr>
          </w:p>
        </w:tc>
      </w:tr>
      <w:tr w:rsidR="00855CB7" w14:paraId="690A3161" w14:textId="77777777">
        <w:trPr>
          <w:cantSplit/>
        </w:trPr>
        <w:tc>
          <w:tcPr>
            <w:tcW w:w="2518" w:type="dxa"/>
            <w:vMerge/>
          </w:tcPr>
          <w:p w14:paraId="50E91951" w14:textId="77777777" w:rsidR="00855CB7" w:rsidRDefault="00855CB7">
            <w:pPr>
              <w:rPr>
                <w:lang w:val="en-CA"/>
              </w:rPr>
            </w:pPr>
          </w:p>
        </w:tc>
        <w:tc>
          <w:tcPr>
            <w:tcW w:w="3686" w:type="dxa"/>
          </w:tcPr>
          <w:p w14:paraId="197D0A40" w14:textId="77777777" w:rsidR="00855CB7" w:rsidRDefault="00855CB7">
            <w:pPr>
              <w:rPr>
                <w:lang w:val="en-CA"/>
              </w:rPr>
            </w:pPr>
            <w:r>
              <w:rPr>
                <w:lang w:val="en-CA"/>
              </w:rPr>
              <w:t>Scheduled Quantity (MW)</w:t>
            </w:r>
          </w:p>
        </w:tc>
        <w:tc>
          <w:tcPr>
            <w:tcW w:w="1417" w:type="dxa"/>
          </w:tcPr>
          <w:p w14:paraId="6CFEFA36" w14:textId="77777777" w:rsidR="00855CB7" w:rsidRDefault="00855CB7">
            <w:pPr>
              <w:rPr>
                <w:lang w:val="en-CA"/>
              </w:rPr>
            </w:pPr>
          </w:p>
        </w:tc>
        <w:tc>
          <w:tcPr>
            <w:tcW w:w="1418" w:type="dxa"/>
          </w:tcPr>
          <w:p w14:paraId="0CD1D5F8" w14:textId="77777777" w:rsidR="00855CB7" w:rsidRDefault="00855CB7">
            <w:pPr>
              <w:rPr>
                <w:lang w:val="en-CA"/>
              </w:rPr>
            </w:pPr>
          </w:p>
        </w:tc>
      </w:tr>
      <w:tr w:rsidR="00855CB7" w14:paraId="74B91AA2" w14:textId="77777777">
        <w:trPr>
          <w:cantSplit/>
        </w:trPr>
        <w:tc>
          <w:tcPr>
            <w:tcW w:w="2518" w:type="dxa"/>
            <w:vMerge/>
          </w:tcPr>
          <w:p w14:paraId="47154F79" w14:textId="77777777" w:rsidR="00855CB7" w:rsidRDefault="00855CB7">
            <w:pPr>
              <w:rPr>
                <w:lang w:val="en-CA"/>
              </w:rPr>
            </w:pPr>
          </w:p>
        </w:tc>
        <w:tc>
          <w:tcPr>
            <w:tcW w:w="3686" w:type="dxa"/>
          </w:tcPr>
          <w:p w14:paraId="1796AAC1" w14:textId="77777777" w:rsidR="00855CB7" w:rsidRDefault="00855CB7">
            <w:pPr>
              <w:rPr>
                <w:lang w:val="en-CA"/>
              </w:rPr>
            </w:pPr>
            <w:r>
              <w:rPr>
                <w:lang w:val="en-CA"/>
              </w:rPr>
              <w:t>Tie Point Zone Number</w:t>
            </w:r>
          </w:p>
        </w:tc>
        <w:tc>
          <w:tcPr>
            <w:tcW w:w="1417" w:type="dxa"/>
          </w:tcPr>
          <w:p w14:paraId="0A2160C5" w14:textId="77777777" w:rsidR="00855CB7" w:rsidRDefault="00855CB7">
            <w:pPr>
              <w:rPr>
                <w:lang w:val="en-CA"/>
              </w:rPr>
            </w:pPr>
          </w:p>
        </w:tc>
        <w:tc>
          <w:tcPr>
            <w:tcW w:w="1418" w:type="dxa"/>
          </w:tcPr>
          <w:p w14:paraId="3D8A10F3" w14:textId="77777777" w:rsidR="00855CB7" w:rsidRDefault="00855CB7">
            <w:pPr>
              <w:rPr>
                <w:lang w:val="en-CA"/>
              </w:rPr>
            </w:pPr>
          </w:p>
        </w:tc>
      </w:tr>
      <w:tr w:rsidR="00855CB7" w14:paraId="2E3113BC" w14:textId="77777777">
        <w:trPr>
          <w:cantSplit/>
        </w:trPr>
        <w:tc>
          <w:tcPr>
            <w:tcW w:w="2518" w:type="dxa"/>
            <w:vMerge/>
          </w:tcPr>
          <w:p w14:paraId="7C3FA951" w14:textId="77777777" w:rsidR="00855CB7" w:rsidRDefault="00855CB7">
            <w:pPr>
              <w:rPr>
                <w:lang w:val="en-CA"/>
              </w:rPr>
            </w:pPr>
          </w:p>
        </w:tc>
        <w:tc>
          <w:tcPr>
            <w:tcW w:w="3686" w:type="dxa"/>
          </w:tcPr>
          <w:p w14:paraId="314F7AFE" w14:textId="77777777" w:rsidR="00855CB7" w:rsidRDefault="00855CB7">
            <w:pPr>
              <w:rPr>
                <w:lang w:val="en-CA"/>
              </w:rPr>
            </w:pPr>
            <w:r>
              <w:rPr>
                <w:lang w:val="en-CA"/>
              </w:rPr>
              <w:t>Tie Point Zone ID</w:t>
            </w:r>
          </w:p>
        </w:tc>
        <w:tc>
          <w:tcPr>
            <w:tcW w:w="1417" w:type="dxa"/>
          </w:tcPr>
          <w:p w14:paraId="512E31C6" w14:textId="77777777" w:rsidR="00855CB7" w:rsidRDefault="00855CB7">
            <w:pPr>
              <w:rPr>
                <w:lang w:val="en-CA"/>
              </w:rPr>
            </w:pPr>
          </w:p>
        </w:tc>
        <w:tc>
          <w:tcPr>
            <w:tcW w:w="1418" w:type="dxa"/>
          </w:tcPr>
          <w:p w14:paraId="7438480D" w14:textId="77777777" w:rsidR="00855CB7" w:rsidRDefault="00855CB7">
            <w:pPr>
              <w:rPr>
                <w:lang w:val="en-CA"/>
              </w:rPr>
            </w:pPr>
          </w:p>
        </w:tc>
      </w:tr>
      <w:tr w:rsidR="00855CB7" w14:paraId="0AF5AEC5" w14:textId="77777777">
        <w:trPr>
          <w:cantSplit/>
        </w:trPr>
        <w:tc>
          <w:tcPr>
            <w:tcW w:w="2518" w:type="dxa"/>
            <w:vMerge/>
          </w:tcPr>
          <w:p w14:paraId="2BCED443" w14:textId="77777777" w:rsidR="00855CB7" w:rsidRDefault="00855CB7">
            <w:pPr>
              <w:rPr>
                <w:lang w:val="en-CA"/>
              </w:rPr>
            </w:pPr>
          </w:p>
        </w:tc>
        <w:tc>
          <w:tcPr>
            <w:tcW w:w="3686" w:type="dxa"/>
          </w:tcPr>
          <w:p w14:paraId="38B1D453" w14:textId="77777777" w:rsidR="00855CB7" w:rsidRDefault="00855CB7">
            <w:pPr>
              <w:rPr>
                <w:lang w:val="en-CA"/>
              </w:rPr>
            </w:pPr>
            <w:r>
              <w:rPr>
                <w:lang w:val="en-CA"/>
              </w:rPr>
              <w:t xml:space="preserve">Reason Code (TLRE, TLRI, OTH, ORA, </w:t>
            </w:r>
            <w:r w:rsidR="00CB7DD5">
              <w:rPr>
                <w:lang w:val="en-CA"/>
              </w:rPr>
              <w:t xml:space="preserve">MrNh, ADQh, NY90, </w:t>
            </w:r>
            <w:r w:rsidR="00302CEC">
              <w:rPr>
                <w:lang w:val="en-CA"/>
              </w:rPr>
              <w:t xml:space="preserve">VGNE, VGE1, </w:t>
            </w:r>
            <w:r>
              <w:rPr>
                <w:lang w:val="en-CA"/>
              </w:rPr>
              <w:t>AUTO, {NULL})</w:t>
            </w:r>
          </w:p>
        </w:tc>
        <w:tc>
          <w:tcPr>
            <w:tcW w:w="1417" w:type="dxa"/>
          </w:tcPr>
          <w:p w14:paraId="192B40A8" w14:textId="77777777" w:rsidR="00855CB7" w:rsidRDefault="00855CB7">
            <w:pPr>
              <w:rPr>
                <w:lang w:val="en-CA"/>
              </w:rPr>
            </w:pPr>
          </w:p>
        </w:tc>
        <w:tc>
          <w:tcPr>
            <w:tcW w:w="1418" w:type="dxa"/>
          </w:tcPr>
          <w:p w14:paraId="2B5C31F8" w14:textId="77777777" w:rsidR="00855CB7" w:rsidRDefault="00855CB7">
            <w:pPr>
              <w:rPr>
                <w:lang w:val="en-CA"/>
              </w:rPr>
            </w:pPr>
          </w:p>
        </w:tc>
      </w:tr>
      <w:tr w:rsidR="00855CB7" w14:paraId="43A8B8EE" w14:textId="77777777">
        <w:trPr>
          <w:cantSplit/>
        </w:trPr>
        <w:tc>
          <w:tcPr>
            <w:tcW w:w="2518" w:type="dxa"/>
            <w:vMerge/>
          </w:tcPr>
          <w:p w14:paraId="0E3E6D79" w14:textId="77777777" w:rsidR="00855CB7" w:rsidRDefault="00855CB7">
            <w:pPr>
              <w:rPr>
                <w:lang w:val="en-CA"/>
              </w:rPr>
            </w:pPr>
          </w:p>
        </w:tc>
        <w:tc>
          <w:tcPr>
            <w:tcW w:w="3686" w:type="dxa"/>
          </w:tcPr>
          <w:p w14:paraId="0BFA6D63" w14:textId="77777777" w:rsidR="00855CB7" w:rsidRDefault="00855CB7">
            <w:pPr>
              <w:rPr>
                <w:lang w:val="en-CA"/>
              </w:rPr>
            </w:pPr>
            <w:r>
              <w:rPr>
                <w:i/>
                <w:lang w:val="en-CA"/>
              </w:rPr>
              <w:t>Bid/Offer</w:t>
            </w:r>
            <w:r>
              <w:rPr>
                <w:lang w:val="en-CA"/>
              </w:rPr>
              <w:t xml:space="preserve"> Price</w:t>
            </w:r>
          </w:p>
        </w:tc>
        <w:tc>
          <w:tcPr>
            <w:tcW w:w="1417" w:type="dxa"/>
          </w:tcPr>
          <w:p w14:paraId="21432BCF" w14:textId="77777777" w:rsidR="00855CB7" w:rsidRDefault="00855CB7">
            <w:pPr>
              <w:rPr>
                <w:lang w:val="en-CA"/>
              </w:rPr>
            </w:pPr>
          </w:p>
        </w:tc>
        <w:tc>
          <w:tcPr>
            <w:tcW w:w="1418" w:type="dxa"/>
          </w:tcPr>
          <w:p w14:paraId="28F46A8F" w14:textId="77777777" w:rsidR="00855CB7" w:rsidRDefault="00855CB7">
            <w:pPr>
              <w:rPr>
                <w:lang w:val="en-CA"/>
              </w:rPr>
            </w:pPr>
          </w:p>
        </w:tc>
      </w:tr>
      <w:tr w:rsidR="00855CB7" w14:paraId="443A4F10" w14:textId="77777777">
        <w:trPr>
          <w:cantSplit/>
        </w:trPr>
        <w:tc>
          <w:tcPr>
            <w:tcW w:w="2518" w:type="dxa"/>
            <w:vMerge/>
          </w:tcPr>
          <w:p w14:paraId="3ACB5927" w14:textId="77777777" w:rsidR="00855CB7" w:rsidRDefault="00855CB7">
            <w:pPr>
              <w:rPr>
                <w:lang w:val="en-CA"/>
              </w:rPr>
            </w:pPr>
          </w:p>
        </w:tc>
        <w:tc>
          <w:tcPr>
            <w:tcW w:w="3686" w:type="dxa"/>
          </w:tcPr>
          <w:p w14:paraId="26280D14" w14:textId="77777777" w:rsidR="00855CB7" w:rsidRDefault="00855CB7">
            <w:pPr>
              <w:rPr>
                <w:lang w:val="en-CA"/>
              </w:rPr>
            </w:pPr>
            <w:r>
              <w:rPr>
                <w:i/>
                <w:lang w:val="en-CA"/>
              </w:rPr>
              <w:t>NERC</w:t>
            </w:r>
            <w:r>
              <w:rPr>
                <w:lang w:val="en-CA"/>
              </w:rPr>
              <w:t xml:space="preserve"> Tag ID (if an </w:t>
            </w:r>
            <w:r>
              <w:rPr>
                <w:i/>
                <w:lang w:val="en-CA"/>
              </w:rPr>
              <w:t>intertie</w:t>
            </w:r>
            <w:r>
              <w:rPr>
                <w:lang w:val="en-CA"/>
              </w:rPr>
              <w:t xml:space="preserve"> transaction)</w:t>
            </w:r>
          </w:p>
        </w:tc>
        <w:tc>
          <w:tcPr>
            <w:tcW w:w="1417" w:type="dxa"/>
          </w:tcPr>
          <w:p w14:paraId="698A7EEC" w14:textId="77777777" w:rsidR="00855CB7" w:rsidRDefault="00855CB7">
            <w:pPr>
              <w:rPr>
                <w:lang w:val="en-CA"/>
              </w:rPr>
            </w:pPr>
          </w:p>
        </w:tc>
        <w:tc>
          <w:tcPr>
            <w:tcW w:w="1418" w:type="dxa"/>
          </w:tcPr>
          <w:p w14:paraId="01340898" w14:textId="77777777" w:rsidR="00855CB7" w:rsidRDefault="00855CB7">
            <w:pPr>
              <w:rPr>
                <w:lang w:val="en-CA"/>
              </w:rPr>
            </w:pPr>
          </w:p>
        </w:tc>
      </w:tr>
    </w:tbl>
    <w:p w14:paraId="0BF7FA39" w14:textId="77777777" w:rsidR="00855CB7" w:rsidRDefault="00855CB7">
      <w:pPr>
        <w:rPr>
          <w:lang w:val="en-CA"/>
        </w:rPr>
      </w:pPr>
    </w:p>
    <w:p w14:paraId="434720BE" w14:textId="77777777" w:rsidR="00855CB7" w:rsidRDefault="00855CB7">
      <w:pPr>
        <w:pStyle w:val="BodyText"/>
        <w:rPr>
          <w:lang w:val="en-CA"/>
        </w:rPr>
      </w:pPr>
      <w:r>
        <w:rPr>
          <w:lang w:val="en-CA"/>
        </w:rPr>
        <w:t xml:space="preserve">Samples of the </w:t>
      </w:r>
      <w:r w:rsidR="00CA3C47">
        <w:rPr>
          <w:lang w:val="en-CA"/>
        </w:rPr>
        <w:t xml:space="preserve">Online IESO </w:t>
      </w:r>
      <w:r>
        <w:rPr>
          <w:i/>
          <w:lang w:val="en-CA"/>
        </w:rPr>
        <w:t>notice of disagreement</w:t>
      </w:r>
      <w:r>
        <w:rPr>
          <w:lang w:val="en-CA"/>
        </w:rPr>
        <w:t xml:space="preserve"> form appear in Appendix B.  </w:t>
      </w:r>
      <w:r w:rsidR="005E5242">
        <w:rPr>
          <w:lang w:val="en-CA"/>
        </w:rPr>
        <w:t>You should send s</w:t>
      </w:r>
      <w:r>
        <w:rPr>
          <w:lang w:val="en-CA"/>
        </w:rPr>
        <w:t xml:space="preserve">upporting materials as attachments to the form </w:t>
      </w:r>
      <w:r w:rsidR="008E5505">
        <w:rPr>
          <w:lang w:val="en-CA"/>
        </w:rPr>
        <w:t xml:space="preserve">when </w:t>
      </w:r>
      <w:r w:rsidR="005E5242">
        <w:rPr>
          <w:lang w:val="en-CA"/>
        </w:rPr>
        <w:t xml:space="preserve">you submit </w:t>
      </w:r>
      <w:r>
        <w:rPr>
          <w:lang w:val="en-CA"/>
        </w:rPr>
        <w:t xml:space="preserve">the </w:t>
      </w:r>
      <w:r>
        <w:rPr>
          <w:i/>
          <w:lang w:val="en-CA"/>
        </w:rPr>
        <w:t>notice of disagreement</w:t>
      </w:r>
      <w:r>
        <w:rPr>
          <w:lang w:val="en-CA"/>
        </w:rPr>
        <w:t xml:space="preserve"> form </w:t>
      </w:r>
      <w:r w:rsidR="005E5242">
        <w:rPr>
          <w:lang w:val="en-CA"/>
        </w:rPr>
        <w:t xml:space="preserve">to us </w:t>
      </w:r>
      <w:r>
        <w:rPr>
          <w:lang w:val="en-CA"/>
        </w:rPr>
        <w:t xml:space="preserve">through </w:t>
      </w:r>
      <w:r w:rsidR="001722A3">
        <w:rPr>
          <w:lang w:val="en-CA"/>
        </w:rPr>
        <w:t>Online IESO</w:t>
      </w:r>
      <w:r>
        <w:rPr>
          <w:lang w:val="en-CA"/>
        </w:rPr>
        <w:t>.</w:t>
      </w:r>
    </w:p>
    <w:p w14:paraId="1ABFF02B" w14:textId="77777777" w:rsidR="008161F8" w:rsidRDefault="004C6115">
      <w:pPr>
        <w:pStyle w:val="BodyText"/>
        <w:rPr>
          <w:lang w:val="en-CA"/>
        </w:rPr>
      </w:pPr>
      <w:r>
        <w:rPr>
          <w:lang w:val="en-CA"/>
        </w:rPr>
        <w:t xml:space="preserve">An e-mail confirmation will be sent to you upon your </w:t>
      </w:r>
      <w:r w:rsidR="00871478">
        <w:rPr>
          <w:i/>
          <w:lang w:val="en-CA"/>
        </w:rPr>
        <w:t>NOD</w:t>
      </w:r>
      <w:r>
        <w:rPr>
          <w:lang w:val="en-CA"/>
        </w:rPr>
        <w:t xml:space="preserve"> submission. </w:t>
      </w:r>
      <w:r w:rsidR="00240AE0">
        <w:rPr>
          <w:lang w:val="en-CA"/>
        </w:rPr>
        <w:t xml:space="preserve">The email will include a unique identifier for your submission. </w:t>
      </w:r>
      <w:r w:rsidR="005E5242" w:rsidRPr="005E5242">
        <w:rPr>
          <w:lang w:val="en-CA"/>
        </w:rPr>
        <w:t>You</w:t>
      </w:r>
      <w:r w:rsidR="00855CB7" w:rsidRPr="005E5242">
        <w:rPr>
          <w:lang w:val="en-CA"/>
        </w:rPr>
        <w:t xml:space="preserve"> c</w:t>
      </w:r>
      <w:r w:rsidR="00855CB7">
        <w:rPr>
          <w:lang w:val="en-CA"/>
        </w:rPr>
        <w:t>an</w:t>
      </w:r>
      <w:r>
        <w:rPr>
          <w:lang w:val="en-CA"/>
        </w:rPr>
        <w:t xml:space="preserve"> </w:t>
      </w:r>
      <w:r w:rsidR="00F12058">
        <w:rPr>
          <w:lang w:val="en-CA"/>
        </w:rPr>
        <w:t xml:space="preserve">check the </w:t>
      </w:r>
      <w:r w:rsidR="00CA3C47">
        <w:rPr>
          <w:lang w:val="en-CA"/>
        </w:rPr>
        <w:t>status and</w:t>
      </w:r>
      <w:r w:rsidR="00871478">
        <w:rPr>
          <w:lang w:val="en-CA"/>
        </w:rPr>
        <w:t xml:space="preserve"> the</w:t>
      </w:r>
      <w:r w:rsidR="00CA3C47">
        <w:rPr>
          <w:lang w:val="en-CA"/>
        </w:rPr>
        <w:t xml:space="preserve"> history </w:t>
      </w:r>
      <w:r w:rsidR="00F12058">
        <w:rPr>
          <w:lang w:val="en-CA"/>
        </w:rPr>
        <w:t>of</w:t>
      </w:r>
      <w:r w:rsidR="005E5242">
        <w:rPr>
          <w:lang w:val="en-CA"/>
        </w:rPr>
        <w:t xml:space="preserve"> your </w:t>
      </w:r>
      <w:r w:rsidR="00855CB7">
        <w:rPr>
          <w:i/>
          <w:lang w:val="en-CA"/>
        </w:rPr>
        <w:t>notice of disagreement</w:t>
      </w:r>
      <w:r w:rsidR="00240AE0">
        <w:rPr>
          <w:i/>
          <w:lang w:val="en-CA"/>
        </w:rPr>
        <w:t>,</w:t>
      </w:r>
      <w:r w:rsidR="00855CB7">
        <w:rPr>
          <w:lang w:val="en-CA"/>
        </w:rPr>
        <w:t xml:space="preserve"> </w:t>
      </w:r>
      <w:r w:rsidR="00240AE0">
        <w:rPr>
          <w:lang w:val="en-CA"/>
        </w:rPr>
        <w:t xml:space="preserve">provide additional information requested by the IESO </w:t>
      </w:r>
      <w:r w:rsidR="00CA3C47">
        <w:rPr>
          <w:lang w:val="en-CA"/>
        </w:rPr>
        <w:t>and respond to decision notification through</w:t>
      </w:r>
      <w:r w:rsidR="005C3095">
        <w:rPr>
          <w:lang w:val="en-CA"/>
        </w:rPr>
        <w:t xml:space="preserve"> </w:t>
      </w:r>
      <w:r w:rsidR="00B81052">
        <w:rPr>
          <w:lang w:val="en-CA"/>
        </w:rPr>
        <w:t>the Online</w:t>
      </w:r>
      <w:r w:rsidR="00F04E93">
        <w:rPr>
          <w:lang w:val="en-CA"/>
        </w:rPr>
        <w:t xml:space="preserve"> IESO</w:t>
      </w:r>
      <w:r w:rsidR="00CA3C47">
        <w:rPr>
          <w:lang w:val="en-CA"/>
        </w:rPr>
        <w:t xml:space="preserve"> </w:t>
      </w:r>
      <w:r w:rsidR="00CA3C47" w:rsidRPr="00F66F6C">
        <w:rPr>
          <w:i/>
          <w:lang w:val="en-CA"/>
        </w:rPr>
        <w:t>notice of disagreement</w:t>
      </w:r>
      <w:r w:rsidR="00CA3C47">
        <w:rPr>
          <w:lang w:val="en-CA"/>
        </w:rPr>
        <w:t xml:space="preserve"> form</w:t>
      </w:r>
      <w:r w:rsidR="00855CB7">
        <w:rPr>
          <w:lang w:val="en-CA"/>
        </w:rPr>
        <w:t xml:space="preserve">.  During </w:t>
      </w:r>
      <w:r w:rsidR="00B714D7">
        <w:rPr>
          <w:lang w:val="en-CA"/>
        </w:rPr>
        <w:t xml:space="preserve">our </w:t>
      </w:r>
      <w:r w:rsidR="00855CB7">
        <w:rPr>
          <w:lang w:val="en-CA"/>
        </w:rPr>
        <w:t xml:space="preserve">initial investigation of the </w:t>
      </w:r>
      <w:r w:rsidR="00855CB7">
        <w:rPr>
          <w:i/>
          <w:lang w:val="en-CA"/>
        </w:rPr>
        <w:t xml:space="preserve">notice of disagreement, </w:t>
      </w:r>
      <w:r w:rsidR="00B714D7">
        <w:rPr>
          <w:lang w:val="en-CA"/>
        </w:rPr>
        <w:t>we</w:t>
      </w:r>
      <w:r w:rsidR="00855CB7">
        <w:rPr>
          <w:i/>
          <w:lang w:val="en-CA"/>
        </w:rPr>
        <w:t xml:space="preserve"> </w:t>
      </w:r>
      <w:r w:rsidR="00855CB7">
        <w:rPr>
          <w:lang w:val="en-CA"/>
        </w:rPr>
        <w:t>will</w:t>
      </w:r>
      <w:r w:rsidR="00855CB7">
        <w:rPr>
          <w:i/>
          <w:lang w:val="en-CA"/>
        </w:rPr>
        <w:t xml:space="preserve"> </w:t>
      </w:r>
      <w:r w:rsidR="00855CB7">
        <w:rPr>
          <w:lang w:val="en-CA"/>
        </w:rPr>
        <w:t xml:space="preserve">determine whether affected parties exist.  For </w:t>
      </w:r>
      <w:r w:rsidR="00855CB7">
        <w:rPr>
          <w:i/>
          <w:lang w:val="en-CA"/>
        </w:rPr>
        <w:t>notices of disagreement</w:t>
      </w:r>
      <w:r w:rsidR="00855CB7">
        <w:rPr>
          <w:lang w:val="en-CA"/>
        </w:rPr>
        <w:t xml:space="preserve"> relating </w:t>
      </w:r>
      <w:r w:rsidR="00855CB7">
        <w:rPr>
          <w:i/>
          <w:lang w:val="en-CA"/>
        </w:rPr>
        <w:t xml:space="preserve">to physical bilateral </w:t>
      </w:r>
      <w:r w:rsidR="00634A9B">
        <w:rPr>
          <w:i/>
          <w:lang w:val="en-CA"/>
        </w:rPr>
        <w:t>contracts</w:t>
      </w:r>
      <w:r w:rsidR="00634A9B">
        <w:rPr>
          <w:lang w:val="en-CA"/>
        </w:rPr>
        <w:t xml:space="preserve">, </w:t>
      </w:r>
      <w:r w:rsidR="00B714D7">
        <w:rPr>
          <w:lang w:val="en-CA"/>
        </w:rPr>
        <w:t>we</w:t>
      </w:r>
      <w:r w:rsidR="00855CB7">
        <w:rPr>
          <w:lang w:val="en-CA"/>
        </w:rPr>
        <w:t xml:space="preserve"> will notify affected parties that a </w:t>
      </w:r>
      <w:r w:rsidR="00855CB7">
        <w:rPr>
          <w:i/>
          <w:lang w:val="en-CA"/>
        </w:rPr>
        <w:t>notice of disagreement</w:t>
      </w:r>
      <w:r w:rsidR="00855CB7">
        <w:rPr>
          <w:lang w:val="en-CA"/>
        </w:rPr>
        <w:t xml:space="preserve"> has been submitted and, following its investigation, any intended actions.  Where a </w:t>
      </w:r>
      <w:r w:rsidR="00855CB7">
        <w:rPr>
          <w:i/>
          <w:lang w:val="en-CA"/>
        </w:rPr>
        <w:t>notice of disagreement</w:t>
      </w:r>
      <w:r w:rsidR="00855CB7">
        <w:rPr>
          <w:lang w:val="en-CA"/>
        </w:rPr>
        <w:t xml:space="preserve"> relates to a </w:t>
      </w:r>
      <w:r w:rsidR="00855CB7">
        <w:rPr>
          <w:i/>
          <w:lang w:val="en-CA"/>
        </w:rPr>
        <w:t>meter</w:t>
      </w:r>
      <w:r w:rsidR="00855CB7">
        <w:rPr>
          <w:lang w:val="en-CA"/>
        </w:rPr>
        <w:t xml:space="preserve"> that is a contributor to a </w:t>
      </w:r>
      <w:r w:rsidR="00855CB7">
        <w:rPr>
          <w:i/>
          <w:lang w:val="en-CA"/>
        </w:rPr>
        <w:t>delivery point</w:t>
      </w:r>
      <w:r w:rsidR="00855CB7">
        <w:rPr>
          <w:lang w:val="en-CA"/>
        </w:rPr>
        <w:t xml:space="preserve"> for which the submitting </w:t>
      </w:r>
      <w:r w:rsidR="00855CB7">
        <w:rPr>
          <w:i/>
          <w:lang w:val="en-CA"/>
        </w:rPr>
        <w:t>market participant</w:t>
      </w:r>
      <w:r w:rsidR="00855CB7">
        <w:rPr>
          <w:lang w:val="en-CA"/>
        </w:rPr>
        <w:t xml:space="preserve"> is not the </w:t>
      </w:r>
      <w:r w:rsidR="00855CB7">
        <w:rPr>
          <w:i/>
          <w:lang w:val="en-CA"/>
        </w:rPr>
        <w:t>metered market participant</w:t>
      </w:r>
      <w:r w:rsidR="00855CB7">
        <w:rPr>
          <w:lang w:val="en-CA"/>
        </w:rPr>
        <w:t xml:space="preserve">, </w:t>
      </w:r>
      <w:r w:rsidR="00B714D7">
        <w:rPr>
          <w:lang w:val="en-CA"/>
        </w:rPr>
        <w:t>we</w:t>
      </w:r>
      <w:r w:rsidR="00855CB7">
        <w:rPr>
          <w:lang w:val="en-CA"/>
        </w:rPr>
        <w:t xml:space="preserve"> will notify the affected party of the proposed resolution </w:t>
      </w:r>
      <w:r w:rsidR="00B714D7">
        <w:rPr>
          <w:lang w:val="en-CA"/>
        </w:rPr>
        <w:t>when we complete our</w:t>
      </w:r>
      <w:r w:rsidR="00855CB7">
        <w:rPr>
          <w:lang w:val="en-CA"/>
        </w:rPr>
        <w:t xml:space="preserve"> </w:t>
      </w:r>
      <w:r w:rsidR="008161F8">
        <w:rPr>
          <w:lang w:val="en-CA"/>
        </w:rPr>
        <w:t>in</w:t>
      </w:r>
      <w:r w:rsidR="00855CB7">
        <w:rPr>
          <w:lang w:val="en-CA"/>
        </w:rPr>
        <w:t>vestigation.</w:t>
      </w:r>
    </w:p>
    <w:p w14:paraId="506D5E9D" w14:textId="77777777" w:rsidR="00855CB7" w:rsidRDefault="00855CB7">
      <w:pPr>
        <w:pStyle w:val="BodyText"/>
        <w:rPr>
          <w:lang w:val="en-CA"/>
        </w:rPr>
      </w:pPr>
      <w:r>
        <w:rPr>
          <w:lang w:val="en-CA"/>
        </w:rPr>
        <w:t xml:space="preserve">Following </w:t>
      </w:r>
      <w:r w:rsidR="00B714D7">
        <w:rPr>
          <w:lang w:val="en-CA"/>
        </w:rPr>
        <w:t>our</w:t>
      </w:r>
      <w:r>
        <w:rPr>
          <w:lang w:val="en-CA"/>
        </w:rPr>
        <w:t xml:space="preserve"> investigation, </w:t>
      </w:r>
      <w:r w:rsidR="00B714D7">
        <w:rPr>
          <w:lang w:val="en-CA"/>
        </w:rPr>
        <w:t>we</w:t>
      </w:r>
      <w:r>
        <w:rPr>
          <w:lang w:val="en-CA"/>
        </w:rPr>
        <w:t xml:space="preserve"> will inform </w:t>
      </w:r>
      <w:r w:rsidR="00B714D7">
        <w:rPr>
          <w:lang w:val="en-CA"/>
        </w:rPr>
        <w:t>you</w:t>
      </w:r>
      <w:r>
        <w:rPr>
          <w:lang w:val="en-CA"/>
        </w:rPr>
        <w:t xml:space="preserve"> and any affected parties of </w:t>
      </w:r>
      <w:r w:rsidR="00B714D7">
        <w:rPr>
          <w:lang w:val="en-CA"/>
        </w:rPr>
        <w:t xml:space="preserve">our </w:t>
      </w:r>
      <w:r>
        <w:rPr>
          <w:lang w:val="en-CA"/>
        </w:rPr>
        <w:t>intention to undertake one of the following actions:</w:t>
      </w:r>
    </w:p>
    <w:p w14:paraId="0ED38155" w14:textId="77777777" w:rsidR="00855CB7" w:rsidRDefault="00E2265F" w:rsidP="007649B8">
      <w:pPr>
        <w:pStyle w:val="ListBullet"/>
        <w:tabs>
          <w:tab w:val="num" w:pos="360"/>
        </w:tabs>
        <w:ind w:left="360"/>
        <w:rPr>
          <w:lang w:val="en-CA"/>
        </w:rPr>
      </w:pPr>
      <w:r>
        <w:rPr>
          <w:lang w:val="en-CA"/>
        </w:rPr>
        <w:t xml:space="preserve">if </w:t>
      </w:r>
      <w:r w:rsidR="00B714D7">
        <w:rPr>
          <w:lang w:val="en-CA"/>
        </w:rPr>
        <w:t>we</w:t>
      </w:r>
      <w:r w:rsidR="00855CB7">
        <w:rPr>
          <w:lang w:val="en-CA"/>
        </w:rPr>
        <w:t xml:space="preserve"> conclude that no error has occurred in </w:t>
      </w:r>
      <w:r w:rsidR="00914133">
        <w:rPr>
          <w:lang w:val="en-CA"/>
        </w:rPr>
        <w:t>your</w:t>
      </w:r>
      <w:r w:rsidR="00855CB7">
        <w:rPr>
          <w:lang w:val="en-CA"/>
        </w:rPr>
        <w:t xml:space="preserve"> </w:t>
      </w:r>
      <w:r w:rsidR="00855CB7">
        <w:rPr>
          <w:i/>
          <w:lang w:val="en-CA"/>
        </w:rPr>
        <w:t>preliminary settlement statement</w:t>
      </w:r>
      <w:r w:rsidR="00855CB7">
        <w:rPr>
          <w:lang w:val="en-CA"/>
        </w:rPr>
        <w:t xml:space="preserve">, </w:t>
      </w:r>
      <w:r w:rsidR="00B714D7">
        <w:rPr>
          <w:lang w:val="en-CA"/>
        </w:rPr>
        <w:t xml:space="preserve">we </w:t>
      </w:r>
      <w:r w:rsidR="00855CB7">
        <w:rPr>
          <w:lang w:val="en-CA"/>
        </w:rPr>
        <w:t>will take no further action;</w:t>
      </w:r>
    </w:p>
    <w:p w14:paraId="63155A9D" w14:textId="77777777" w:rsidR="00855CB7" w:rsidRDefault="00E2265F" w:rsidP="007649B8">
      <w:pPr>
        <w:pStyle w:val="ListBullet"/>
        <w:tabs>
          <w:tab w:val="num" w:pos="360"/>
        </w:tabs>
        <w:ind w:left="360"/>
        <w:rPr>
          <w:lang w:val="en-CA"/>
        </w:rPr>
      </w:pPr>
      <w:r>
        <w:rPr>
          <w:lang w:val="en-CA"/>
        </w:rPr>
        <w:t xml:space="preserve">if </w:t>
      </w:r>
      <w:r w:rsidR="00B714D7">
        <w:rPr>
          <w:lang w:val="en-CA"/>
        </w:rPr>
        <w:t>we</w:t>
      </w:r>
      <w:r w:rsidR="00855CB7">
        <w:rPr>
          <w:lang w:val="en-CA"/>
        </w:rPr>
        <w:t xml:space="preserve"> concur fully with </w:t>
      </w:r>
      <w:r w:rsidR="00B714D7">
        <w:rPr>
          <w:lang w:val="en-CA"/>
        </w:rPr>
        <w:t>your</w:t>
      </w:r>
      <w:r w:rsidR="00855CB7">
        <w:rPr>
          <w:lang w:val="en-CA"/>
        </w:rPr>
        <w:t xml:space="preserve"> proposed adjustment or correction, </w:t>
      </w:r>
      <w:r w:rsidR="00B714D7">
        <w:rPr>
          <w:lang w:val="en-CA"/>
        </w:rPr>
        <w:t xml:space="preserve">we </w:t>
      </w:r>
      <w:r w:rsidR="00855CB7">
        <w:rPr>
          <w:lang w:val="en-CA"/>
        </w:rPr>
        <w:t xml:space="preserve">will adjust </w:t>
      </w:r>
      <w:r w:rsidR="00914133">
        <w:rPr>
          <w:lang w:val="en-CA"/>
        </w:rPr>
        <w:t>your</w:t>
      </w:r>
      <w:r w:rsidR="00855CB7">
        <w:rPr>
          <w:lang w:val="en-CA"/>
        </w:rPr>
        <w:t xml:space="preserve"> corresponding </w:t>
      </w:r>
      <w:r w:rsidR="00855CB7">
        <w:rPr>
          <w:i/>
          <w:lang w:val="en-CA"/>
        </w:rPr>
        <w:t>final settlement statement</w:t>
      </w:r>
      <w:r w:rsidR="00855CB7">
        <w:rPr>
          <w:lang w:val="en-CA"/>
        </w:rPr>
        <w:t xml:space="preserve"> </w:t>
      </w:r>
      <w:r w:rsidR="00914133">
        <w:rPr>
          <w:lang w:val="en-CA"/>
        </w:rPr>
        <w:t xml:space="preserve">if </w:t>
      </w:r>
      <w:r w:rsidR="000710C6">
        <w:rPr>
          <w:lang w:val="en-CA"/>
        </w:rPr>
        <w:t xml:space="preserve">a manual calculation is not required and </w:t>
      </w:r>
      <w:r w:rsidR="00914133">
        <w:rPr>
          <w:lang w:val="en-CA"/>
        </w:rPr>
        <w:t xml:space="preserve">the deadline for issuing the </w:t>
      </w:r>
      <w:r w:rsidR="00914133" w:rsidRPr="00914133">
        <w:rPr>
          <w:i/>
          <w:lang w:val="en-CA"/>
        </w:rPr>
        <w:t>final settlement statement</w:t>
      </w:r>
      <w:r w:rsidR="00914133">
        <w:rPr>
          <w:lang w:val="en-CA"/>
        </w:rPr>
        <w:t xml:space="preserve"> has not arrived</w:t>
      </w:r>
      <w:r w:rsidR="00855CB7">
        <w:rPr>
          <w:lang w:val="en-CA"/>
        </w:rPr>
        <w:t>;</w:t>
      </w:r>
    </w:p>
    <w:p w14:paraId="454236D7" w14:textId="77777777" w:rsidR="000710C6" w:rsidRDefault="00E2265F" w:rsidP="007649B8">
      <w:pPr>
        <w:pStyle w:val="ListBullet"/>
        <w:tabs>
          <w:tab w:val="num" w:pos="360"/>
        </w:tabs>
        <w:ind w:left="360"/>
        <w:rPr>
          <w:lang w:val="en-CA"/>
        </w:rPr>
      </w:pPr>
      <w:r>
        <w:rPr>
          <w:lang w:val="en-CA"/>
        </w:rPr>
        <w:t xml:space="preserve">if </w:t>
      </w:r>
      <w:r w:rsidR="000710C6">
        <w:rPr>
          <w:lang w:val="en-CA"/>
        </w:rPr>
        <w:t>we concur fully with your proposed adjustment or correction and it requires a manual calculation</w:t>
      </w:r>
      <w:r w:rsidR="00303B6B">
        <w:rPr>
          <w:lang w:val="en-CA"/>
        </w:rPr>
        <w:t xml:space="preserve"> </w:t>
      </w:r>
      <w:r w:rsidR="0044757D" w:rsidRPr="000303AC">
        <w:rPr>
          <w:lang w:val="en-CA"/>
        </w:rPr>
        <w:t xml:space="preserve">or the deadline for issuing the </w:t>
      </w:r>
      <w:r w:rsidR="005541EB" w:rsidRPr="005541EB">
        <w:rPr>
          <w:i/>
          <w:lang w:val="en-CA"/>
        </w:rPr>
        <w:t>final settlement statement</w:t>
      </w:r>
      <w:r w:rsidR="0044757D" w:rsidRPr="000303AC">
        <w:rPr>
          <w:lang w:val="en-CA"/>
        </w:rPr>
        <w:t xml:space="preserve"> has passed</w:t>
      </w:r>
      <w:r w:rsidR="001F254B">
        <w:rPr>
          <w:lang w:val="en-CA"/>
        </w:rPr>
        <w:t>, we will apply the adjustment on the next available</w:t>
      </w:r>
      <w:r w:rsidR="00303B6B">
        <w:rPr>
          <w:lang w:val="en-CA"/>
        </w:rPr>
        <w:t xml:space="preserve"> </w:t>
      </w:r>
      <w:r w:rsidR="000710C6">
        <w:rPr>
          <w:lang w:val="en-CA"/>
        </w:rPr>
        <w:t xml:space="preserve">month-end </w:t>
      </w:r>
      <w:r w:rsidR="005541EB" w:rsidRPr="005541EB">
        <w:rPr>
          <w:i/>
          <w:lang w:val="en-CA"/>
        </w:rPr>
        <w:t>preliminary settlement statement</w:t>
      </w:r>
      <w:r>
        <w:rPr>
          <w:lang w:val="en-CA"/>
        </w:rPr>
        <w:t>;</w:t>
      </w:r>
    </w:p>
    <w:p w14:paraId="183EAEF9" w14:textId="77777777" w:rsidR="00855CB7" w:rsidRDefault="00E2265F" w:rsidP="007649B8">
      <w:pPr>
        <w:pStyle w:val="ListBullet"/>
        <w:tabs>
          <w:tab w:val="num" w:pos="360"/>
        </w:tabs>
        <w:ind w:left="360"/>
        <w:rPr>
          <w:lang w:val="en-CA"/>
        </w:rPr>
      </w:pPr>
      <w:r>
        <w:rPr>
          <w:lang w:val="en-CA"/>
        </w:rPr>
        <w:lastRenderedPageBreak/>
        <w:t xml:space="preserve">if </w:t>
      </w:r>
      <w:r w:rsidR="00B714D7">
        <w:rPr>
          <w:lang w:val="en-CA"/>
        </w:rPr>
        <w:t>we do</w:t>
      </w:r>
      <w:r w:rsidR="00855CB7">
        <w:rPr>
          <w:lang w:val="en-CA"/>
        </w:rPr>
        <w:t xml:space="preserve"> not concur fully with </w:t>
      </w:r>
      <w:r w:rsidR="00B714D7">
        <w:rPr>
          <w:lang w:val="en-CA"/>
        </w:rPr>
        <w:t>your</w:t>
      </w:r>
      <w:r w:rsidR="00855CB7">
        <w:rPr>
          <w:lang w:val="en-CA"/>
        </w:rPr>
        <w:t xml:space="preserve"> proposed adjustment or correction but do conclude that some adjustment is required,</w:t>
      </w:r>
      <w:r w:rsidR="00914133" w:rsidRPr="00914133">
        <w:rPr>
          <w:lang w:val="en-CA"/>
        </w:rPr>
        <w:t xml:space="preserve"> </w:t>
      </w:r>
      <w:r w:rsidR="00914133">
        <w:rPr>
          <w:lang w:val="en-CA"/>
        </w:rPr>
        <w:t xml:space="preserve">we will adjust your corresponding </w:t>
      </w:r>
      <w:r w:rsidR="00914133">
        <w:rPr>
          <w:i/>
          <w:lang w:val="en-CA"/>
        </w:rPr>
        <w:t>final settlement statement</w:t>
      </w:r>
      <w:r w:rsidR="00914133">
        <w:rPr>
          <w:lang w:val="en-CA"/>
        </w:rPr>
        <w:t xml:space="preserve"> if the deadline for issuing the </w:t>
      </w:r>
      <w:r w:rsidR="00914133" w:rsidRPr="00914133">
        <w:rPr>
          <w:i/>
          <w:lang w:val="en-CA"/>
        </w:rPr>
        <w:t>final settlement statement</w:t>
      </w:r>
      <w:r w:rsidR="00914133">
        <w:rPr>
          <w:lang w:val="en-CA"/>
        </w:rPr>
        <w:t xml:space="preserve"> has not arrived;</w:t>
      </w:r>
      <w:r w:rsidR="00855CB7">
        <w:rPr>
          <w:lang w:val="en-CA"/>
        </w:rPr>
        <w:t xml:space="preserve"> or</w:t>
      </w:r>
    </w:p>
    <w:p w14:paraId="37CB4A45" w14:textId="77777777" w:rsidR="00855CB7" w:rsidRPr="007856CC" w:rsidRDefault="00E2265F" w:rsidP="007649B8">
      <w:pPr>
        <w:pStyle w:val="ListBullet"/>
        <w:tabs>
          <w:tab w:val="num" w:pos="360"/>
        </w:tabs>
        <w:ind w:left="360"/>
        <w:rPr>
          <w:lang w:val="en-CA"/>
        </w:rPr>
      </w:pPr>
      <w:r>
        <w:rPr>
          <w:lang w:val="en-CA"/>
        </w:rPr>
        <w:t>i</w:t>
      </w:r>
      <w:r w:rsidRPr="007856CC">
        <w:rPr>
          <w:lang w:val="en-CA"/>
        </w:rPr>
        <w:t xml:space="preserve">f </w:t>
      </w:r>
      <w:r w:rsidR="00B714D7" w:rsidRPr="007856CC">
        <w:rPr>
          <w:lang w:val="en-CA"/>
        </w:rPr>
        <w:t>we</w:t>
      </w:r>
      <w:r w:rsidR="00855CB7" w:rsidRPr="007856CC">
        <w:rPr>
          <w:lang w:val="en-CA"/>
        </w:rPr>
        <w:t xml:space="preserve"> conclude that some adjustment may be required but that additional time </w:t>
      </w:r>
      <w:r w:rsidR="00B714D7" w:rsidRPr="007856CC">
        <w:rPr>
          <w:lang w:val="en-CA"/>
        </w:rPr>
        <w:t xml:space="preserve">is required </w:t>
      </w:r>
      <w:r w:rsidR="00855CB7" w:rsidRPr="007856CC">
        <w:rPr>
          <w:lang w:val="en-CA"/>
        </w:rPr>
        <w:t xml:space="preserve">to complete </w:t>
      </w:r>
      <w:r w:rsidR="00B714D7" w:rsidRPr="007856CC">
        <w:rPr>
          <w:lang w:val="en-CA"/>
        </w:rPr>
        <w:t>our</w:t>
      </w:r>
      <w:r w:rsidR="00855CB7" w:rsidRPr="007856CC">
        <w:rPr>
          <w:lang w:val="en-CA"/>
        </w:rPr>
        <w:t xml:space="preserve"> investigation, </w:t>
      </w:r>
      <w:r w:rsidR="00914133" w:rsidRPr="007856CC">
        <w:rPr>
          <w:lang w:val="en-CA"/>
        </w:rPr>
        <w:t>we</w:t>
      </w:r>
      <w:r w:rsidR="00B714D7" w:rsidRPr="007856CC">
        <w:rPr>
          <w:lang w:val="en-CA"/>
        </w:rPr>
        <w:t xml:space="preserve"> </w:t>
      </w:r>
      <w:r w:rsidR="00855CB7" w:rsidRPr="007856CC">
        <w:rPr>
          <w:lang w:val="en-CA"/>
        </w:rPr>
        <w:t xml:space="preserve">will notify </w:t>
      </w:r>
      <w:r w:rsidR="00B714D7" w:rsidRPr="007856CC">
        <w:rPr>
          <w:lang w:val="en-CA"/>
        </w:rPr>
        <w:t>you</w:t>
      </w:r>
      <w:r w:rsidR="00855CB7" w:rsidRPr="007856CC">
        <w:rPr>
          <w:lang w:val="en-CA"/>
        </w:rPr>
        <w:t xml:space="preserve"> that additional time is required</w:t>
      </w:r>
      <w:r>
        <w:rPr>
          <w:lang w:val="en-CA"/>
        </w:rPr>
        <w:t>; i</w:t>
      </w:r>
      <w:r w:rsidR="00914133" w:rsidRPr="007856CC">
        <w:rPr>
          <w:lang w:val="en-CA"/>
        </w:rPr>
        <w:t>n addition</w:t>
      </w:r>
      <w:r w:rsidR="00855CB7" w:rsidRPr="007856CC">
        <w:rPr>
          <w:lang w:val="en-CA"/>
        </w:rPr>
        <w:t xml:space="preserve">, within 15 </w:t>
      </w:r>
      <w:r w:rsidR="00855CB7" w:rsidRPr="007856CC">
        <w:rPr>
          <w:i/>
          <w:lang w:val="en-CA"/>
        </w:rPr>
        <w:t>business days</w:t>
      </w:r>
      <w:r w:rsidR="00914133" w:rsidRPr="007856CC">
        <w:rPr>
          <w:lang w:val="en-CA"/>
        </w:rPr>
        <w:t xml:space="preserve"> after we’ve issued </w:t>
      </w:r>
      <w:r w:rsidR="00855CB7" w:rsidRPr="007856CC">
        <w:rPr>
          <w:lang w:val="en-CA"/>
        </w:rPr>
        <w:t xml:space="preserve">the corresponding </w:t>
      </w:r>
      <w:r w:rsidR="00855CB7" w:rsidRPr="007856CC">
        <w:rPr>
          <w:i/>
          <w:lang w:val="en-CA"/>
        </w:rPr>
        <w:t>final settlement statement</w:t>
      </w:r>
      <w:r w:rsidR="00855CB7" w:rsidRPr="007856CC">
        <w:rPr>
          <w:lang w:val="en-CA"/>
        </w:rPr>
        <w:t xml:space="preserve">, </w:t>
      </w:r>
      <w:r w:rsidR="00914133" w:rsidRPr="007856CC">
        <w:rPr>
          <w:lang w:val="en-CA"/>
        </w:rPr>
        <w:t xml:space="preserve">we will </w:t>
      </w:r>
      <w:r w:rsidR="00855CB7" w:rsidRPr="007856CC">
        <w:rPr>
          <w:lang w:val="en-CA"/>
        </w:rPr>
        <w:t>do one of the following:</w:t>
      </w:r>
    </w:p>
    <w:p w14:paraId="0CECFB4E" w14:textId="77777777" w:rsidR="00855CB7" w:rsidRDefault="00E2265F" w:rsidP="007B3371">
      <w:pPr>
        <w:pStyle w:val="ListBullet"/>
        <w:numPr>
          <w:ilvl w:val="0"/>
          <w:numId w:val="90"/>
        </w:numPr>
        <w:rPr>
          <w:lang w:val="en-CA"/>
        </w:rPr>
      </w:pPr>
      <w:r>
        <w:rPr>
          <w:lang w:val="en-CA"/>
        </w:rPr>
        <w:t xml:space="preserve">if </w:t>
      </w:r>
      <w:r w:rsidR="00914133" w:rsidRPr="00914133">
        <w:rPr>
          <w:lang w:val="en-CA"/>
        </w:rPr>
        <w:t>we</w:t>
      </w:r>
      <w:r w:rsidR="00914133">
        <w:rPr>
          <w:lang w:val="en-CA"/>
        </w:rPr>
        <w:t xml:space="preserve"> </w:t>
      </w:r>
      <w:r w:rsidR="00855CB7" w:rsidRPr="00914133">
        <w:rPr>
          <w:lang w:val="en-CA"/>
        </w:rPr>
        <w:t>conclude</w:t>
      </w:r>
      <w:r w:rsidR="00855CB7">
        <w:rPr>
          <w:lang w:val="en-CA"/>
        </w:rPr>
        <w:t xml:space="preserve"> that no error has occurred in </w:t>
      </w:r>
      <w:r w:rsidR="00914133">
        <w:rPr>
          <w:lang w:val="en-CA"/>
        </w:rPr>
        <w:t>your</w:t>
      </w:r>
      <w:r w:rsidR="00855CB7">
        <w:rPr>
          <w:lang w:val="en-CA"/>
        </w:rPr>
        <w:t xml:space="preserve"> </w:t>
      </w:r>
      <w:r w:rsidR="00855CB7">
        <w:rPr>
          <w:i/>
          <w:lang w:val="en-CA"/>
        </w:rPr>
        <w:t>preliminary settlement statement</w:t>
      </w:r>
      <w:r w:rsidR="00855CB7">
        <w:rPr>
          <w:lang w:val="en-CA"/>
        </w:rPr>
        <w:t xml:space="preserve">, </w:t>
      </w:r>
      <w:r w:rsidR="00914133">
        <w:rPr>
          <w:lang w:val="en-CA"/>
        </w:rPr>
        <w:t>we</w:t>
      </w:r>
      <w:r w:rsidR="00855CB7">
        <w:rPr>
          <w:lang w:val="en-CA"/>
        </w:rPr>
        <w:t xml:space="preserve"> will take no further action;</w:t>
      </w:r>
    </w:p>
    <w:p w14:paraId="7A71A8B0" w14:textId="77777777" w:rsidR="00855CB7" w:rsidRDefault="00E2265F" w:rsidP="007B3371">
      <w:pPr>
        <w:pStyle w:val="ListBullet"/>
        <w:numPr>
          <w:ilvl w:val="0"/>
          <w:numId w:val="90"/>
        </w:numPr>
        <w:rPr>
          <w:lang w:val="en-CA"/>
        </w:rPr>
      </w:pPr>
      <w:r>
        <w:rPr>
          <w:lang w:val="en-CA"/>
        </w:rPr>
        <w:t xml:space="preserve">if </w:t>
      </w:r>
      <w:r w:rsidR="00914133">
        <w:rPr>
          <w:lang w:val="en-CA"/>
        </w:rPr>
        <w:t>we</w:t>
      </w:r>
      <w:r w:rsidR="00855CB7">
        <w:rPr>
          <w:lang w:val="en-CA"/>
        </w:rPr>
        <w:t xml:space="preserve"> concur fully with </w:t>
      </w:r>
      <w:r w:rsidR="00914133">
        <w:rPr>
          <w:lang w:val="en-CA"/>
        </w:rPr>
        <w:t>your</w:t>
      </w:r>
      <w:r w:rsidR="00855CB7">
        <w:rPr>
          <w:lang w:val="en-CA"/>
        </w:rPr>
        <w:t xml:space="preserve"> proposed adjustment or correction, </w:t>
      </w:r>
      <w:r w:rsidR="00914133">
        <w:rPr>
          <w:lang w:val="en-CA"/>
        </w:rPr>
        <w:t xml:space="preserve">we will </w:t>
      </w:r>
      <w:r w:rsidR="00B757F8">
        <w:rPr>
          <w:lang w:val="en-CA"/>
        </w:rPr>
        <w:t xml:space="preserve">apply the </w:t>
      </w:r>
      <w:r w:rsidR="00855CB7">
        <w:rPr>
          <w:lang w:val="en-CA"/>
        </w:rPr>
        <w:t>adjust</w:t>
      </w:r>
      <w:r w:rsidR="00B757F8">
        <w:rPr>
          <w:lang w:val="en-CA"/>
        </w:rPr>
        <w:t>ment on</w:t>
      </w:r>
      <w:r w:rsidR="00303B6B">
        <w:rPr>
          <w:lang w:val="en-CA"/>
        </w:rPr>
        <w:t xml:space="preserve"> </w:t>
      </w:r>
      <w:r w:rsidR="007856CC">
        <w:rPr>
          <w:lang w:val="en-CA"/>
        </w:rPr>
        <w:t xml:space="preserve">your </w:t>
      </w:r>
      <w:r w:rsidR="00855CB7">
        <w:rPr>
          <w:lang w:val="en-CA"/>
        </w:rPr>
        <w:t>next available</w:t>
      </w:r>
      <w:r w:rsidR="000710C6">
        <w:rPr>
          <w:lang w:val="en-CA"/>
        </w:rPr>
        <w:t xml:space="preserve"> month-end</w:t>
      </w:r>
      <w:r w:rsidR="00855CB7">
        <w:rPr>
          <w:lang w:val="en-CA"/>
        </w:rPr>
        <w:t xml:space="preserve"> </w:t>
      </w:r>
      <w:r w:rsidR="00855CB7">
        <w:rPr>
          <w:i/>
          <w:lang w:val="en-CA"/>
        </w:rPr>
        <w:t>preliminary settlement statement</w:t>
      </w:r>
      <w:r w:rsidR="00855CB7">
        <w:rPr>
          <w:lang w:val="en-CA"/>
        </w:rPr>
        <w:t xml:space="preserve"> accordingly; or</w:t>
      </w:r>
    </w:p>
    <w:p w14:paraId="75616178" w14:textId="77777777" w:rsidR="00274BEB" w:rsidRDefault="00E2265F" w:rsidP="007B3371">
      <w:pPr>
        <w:pStyle w:val="ListBullet"/>
        <w:numPr>
          <w:ilvl w:val="0"/>
          <w:numId w:val="90"/>
        </w:numPr>
        <w:spacing w:after="120"/>
        <w:rPr>
          <w:lang w:val="en-CA"/>
        </w:rPr>
      </w:pPr>
      <w:r>
        <w:rPr>
          <w:lang w:val="en-CA"/>
        </w:rPr>
        <w:t xml:space="preserve">if </w:t>
      </w:r>
      <w:r w:rsidR="00914133">
        <w:rPr>
          <w:lang w:val="en-CA"/>
        </w:rPr>
        <w:t>we</w:t>
      </w:r>
      <w:r w:rsidR="00855CB7">
        <w:rPr>
          <w:lang w:val="en-CA"/>
        </w:rPr>
        <w:t xml:space="preserve"> do not concur fully with </w:t>
      </w:r>
      <w:r w:rsidR="007856CC">
        <w:rPr>
          <w:lang w:val="en-CA"/>
        </w:rPr>
        <w:t>your</w:t>
      </w:r>
      <w:r w:rsidR="00855CB7">
        <w:rPr>
          <w:lang w:val="en-CA"/>
        </w:rPr>
        <w:t xml:space="preserve"> proposed adjustment or correction but do conclude that some adjustment is required, </w:t>
      </w:r>
      <w:r w:rsidR="007856CC">
        <w:rPr>
          <w:lang w:val="en-CA"/>
        </w:rPr>
        <w:t>we</w:t>
      </w:r>
      <w:r w:rsidR="00855CB7">
        <w:rPr>
          <w:lang w:val="en-CA"/>
        </w:rPr>
        <w:t xml:space="preserve"> will advise </w:t>
      </w:r>
      <w:r w:rsidR="007856CC">
        <w:rPr>
          <w:lang w:val="en-CA"/>
        </w:rPr>
        <w:t xml:space="preserve">you </w:t>
      </w:r>
      <w:r w:rsidR="00855CB7">
        <w:rPr>
          <w:lang w:val="en-CA"/>
        </w:rPr>
        <w:t xml:space="preserve">of the changes </w:t>
      </w:r>
      <w:r w:rsidR="007856CC">
        <w:rPr>
          <w:lang w:val="en-CA"/>
        </w:rPr>
        <w:t>we</w:t>
      </w:r>
      <w:r w:rsidR="00855CB7">
        <w:rPr>
          <w:lang w:val="en-CA"/>
        </w:rPr>
        <w:t xml:space="preserve"> propose to make</w:t>
      </w:r>
      <w:r>
        <w:rPr>
          <w:lang w:val="en-CA"/>
        </w:rPr>
        <w:t>; w</w:t>
      </w:r>
      <w:r w:rsidR="007856CC">
        <w:rPr>
          <w:lang w:val="en-CA"/>
        </w:rPr>
        <w:t>e will also</w:t>
      </w:r>
      <w:r w:rsidR="00855CB7">
        <w:rPr>
          <w:lang w:val="en-CA"/>
        </w:rPr>
        <w:t xml:space="preserve"> adjust </w:t>
      </w:r>
      <w:r w:rsidR="007856CC">
        <w:rPr>
          <w:lang w:val="en-CA"/>
        </w:rPr>
        <w:t>your</w:t>
      </w:r>
      <w:r w:rsidR="00855CB7">
        <w:rPr>
          <w:lang w:val="en-CA"/>
        </w:rPr>
        <w:t xml:space="preserve"> next available </w:t>
      </w:r>
      <w:r w:rsidR="00855CB7">
        <w:rPr>
          <w:i/>
          <w:lang w:val="en-CA"/>
        </w:rPr>
        <w:t>preliminary settlement statement</w:t>
      </w:r>
      <w:r w:rsidR="00855CB7">
        <w:rPr>
          <w:lang w:val="en-CA"/>
        </w:rPr>
        <w:t xml:space="preserve"> accordingly.</w:t>
      </w:r>
    </w:p>
    <w:p w14:paraId="33E52A69" w14:textId="77777777" w:rsidR="00274BEB" w:rsidRDefault="007856CC">
      <w:pPr>
        <w:pStyle w:val="BodyText"/>
        <w:spacing w:after="0"/>
        <w:rPr>
          <w:lang w:val="en-CA"/>
        </w:rPr>
      </w:pPr>
      <w:r>
        <w:rPr>
          <w:lang w:val="en-CA"/>
        </w:rPr>
        <w:t>We</w:t>
      </w:r>
      <w:r w:rsidR="00855CB7">
        <w:rPr>
          <w:lang w:val="en-CA"/>
        </w:rPr>
        <w:t xml:space="preserve"> will notify </w:t>
      </w:r>
      <w:r>
        <w:rPr>
          <w:lang w:val="en-CA"/>
        </w:rPr>
        <w:t>you</w:t>
      </w:r>
      <w:r w:rsidR="00855CB7">
        <w:rPr>
          <w:lang w:val="en-CA"/>
        </w:rPr>
        <w:t xml:space="preserve"> and any affected parties involved of </w:t>
      </w:r>
      <w:r>
        <w:rPr>
          <w:lang w:val="en-CA"/>
        </w:rPr>
        <w:t>our</w:t>
      </w:r>
      <w:r w:rsidR="00855CB7">
        <w:rPr>
          <w:lang w:val="en-CA"/>
        </w:rPr>
        <w:t xml:space="preserve"> intended actions</w:t>
      </w:r>
      <w:r>
        <w:rPr>
          <w:lang w:val="en-CA"/>
        </w:rPr>
        <w:t xml:space="preserve">. </w:t>
      </w:r>
      <w:r w:rsidR="00400143">
        <w:rPr>
          <w:lang w:val="en-CA"/>
        </w:rPr>
        <w:t xml:space="preserve"> </w:t>
      </w:r>
      <w:r>
        <w:rPr>
          <w:lang w:val="en-CA"/>
        </w:rPr>
        <w:t xml:space="preserve">We also </w:t>
      </w:r>
      <w:r w:rsidR="00855CB7">
        <w:rPr>
          <w:lang w:val="en-CA"/>
        </w:rPr>
        <w:t xml:space="preserve">provide </w:t>
      </w:r>
      <w:r>
        <w:rPr>
          <w:lang w:val="en-CA"/>
        </w:rPr>
        <w:t xml:space="preserve">you </w:t>
      </w:r>
      <w:r w:rsidR="00855CB7">
        <w:rPr>
          <w:lang w:val="en-CA"/>
        </w:rPr>
        <w:t xml:space="preserve">with an opportunity to respond to </w:t>
      </w:r>
      <w:r>
        <w:rPr>
          <w:lang w:val="en-CA"/>
        </w:rPr>
        <w:t>our</w:t>
      </w:r>
      <w:r w:rsidR="00855CB7">
        <w:rPr>
          <w:lang w:val="en-CA"/>
        </w:rPr>
        <w:t xml:space="preserve"> intended actions by entering a response in the</w:t>
      </w:r>
      <w:r w:rsidR="001722A3" w:rsidRPr="001722A3">
        <w:rPr>
          <w:lang w:val="en-CA"/>
        </w:rPr>
        <w:t xml:space="preserve"> </w:t>
      </w:r>
      <w:r w:rsidR="001722A3">
        <w:rPr>
          <w:lang w:val="en-CA"/>
        </w:rPr>
        <w:t>Online IESO</w:t>
      </w:r>
      <w:r w:rsidR="00855CB7">
        <w:rPr>
          <w:i/>
          <w:lang w:val="en-CA"/>
        </w:rPr>
        <w:t xml:space="preserve"> notice of disagreement </w:t>
      </w:r>
      <w:r w:rsidR="00855CB7">
        <w:rPr>
          <w:lang w:val="en-CA"/>
        </w:rPr>
        <w:t>form.</w:t>
      </w:r>
      <w:r>
        <w:rPr>
          <w:lang w:val="en-CA"/>
        </w:rPr>
        <w:t xml:space="preserve">  We</w:t>
      </w:r>
      <w:r w:rsidR="00855CB7">
        <w:rPr>
          <w:lang w:val="en-CA"/>
        </w:rPr>
        <w:t xml:space="preserve"> consider any response </w:t>
      </w:r>
      <w:r>
        <w:rPr>
          <w:lang w:val="en-CA"/>
        </w:rPr>
        <w:t xml:space="preserve">we </w:t>
      </w:r>
      <w:r w:rsidR="00855CB7">
        <w:rPr>
          <w:lang w:val="en-CA"/>
        </w:rPr>
        <w:t xml:space="preserve">receive from </w:t>
      </w:r>
      <w:r>
        <w:rPr>
          <w:lang w:val="en-CA"/>
        </w:rPr>
        <w:t>you</w:t>
      </w:r>
      <w:r w:rsidR="00855CB7">
        <w:rPr>
          <w:lang w:val="en-CA"/>
        </w:rPr>
        <w:t xml:space="preserve"> and affected parties prior to closing the </w:t>
      </w:r>
      <w:r w:rsidR="00855CB7">
        <w:rPr>
          <w:i/>
          <w:lang w:val="en-CA"/>
        </w:rPr>
        <w:t>notice of disagreement</w:t>
      </w:r>
      <w:r w:rsidR="00855CB7">
        <w:rPr>
          <w:lang w:val="en-CA"/>
        </w:rPr>
        <w:t>.</w:t>
      </w:r>
    </w:p>
    <w:p w14:paraId="7998D4AF" w14:textId="77777777" w:rsidR="00855CB7" w:rsidRDefault="00855CB7">
      <w:pPr>
        <w:pStyle w:val="BodyText"/>
        <w:rPr>
          <w:lang w:val="en-CA"/>
        </w:rPr>
      </w:pPr>
      <w:r>
        <w:rPr>
          <w:lang w:val="en-CA"/>
        </w:rPr>
        <w:t>If</w:t>
      </w:r>
      <w:r w:rsidR="00B429D9">
        <w:rPr>
          <w:lang w:val="en-CA"/>
        </w:rPr>
        <w:t xml:space="preserve">, </w:t>
      </w:r>
      <w:r>
        <w:rPr>
          <w:lang w:val="en-CA"/>
        </w:rPr>
        <w:t xml:space="preserve">with reasonable efforts, </w:t>
      </w:r>
      <w:r w:rsidR="00B429D9">
        <w:rPr>
          <w:lang w:val="en-CA"/>
        </w:rPr>
        <w:t>we are unable to</w:t>
      </w:r>
      <w:r>
        <w:rPr>
          <w:lang w:val="en-CA"/>
        </w:rPr>
        <w:t xml:space="preserve"> resolve the </w:t>
      </w:r>
      <w:r>
        <w:rPr>
          <w:i/>
          <w:lang w:val="en-CA"/>
        </w:rPr>
        <w:t>notice of disagreement</w:t>
      </w:r>
      <w:r w:rsidR="00B429D9">
        <w:rPr>
          <w:lang w:val="en-CA"/>
        </w:rPr>
        <w:t xml:space="preserve"> with you</w:t>
      </w:r>
      <w:r>
        <w:rPr>
          <w:lang w:val="en-CA"/>
        </w:rPr>
        <w:t xml:space="preserve">, </w:t>
      </w:r>
      <w:r w:rsidR="00B429D9">
        <w:rPr>
          <w:lang w:val="en-CA"/>
        </w:rPr>
        <w:t>we will</w:t>
      </w:r>
      <w:r>
        <w:rPr>
          <w:lang w:val="en-CA"/>
        </w:rPr>
        <w:t xml:space="preserve"> issue the corresponding </w:t>
      </w:r>
      <w:r>
        <w:rPr>
          <w:i/>
          <w:lang w:val="en-CA"/>
        </w:rPr>
        <w:t>final settlement statement</w:t>
      </w:r>
      <w:r>
        <w:rPr>
          <w:lang w:val="en-CA"/>
        </w:rPr>
        <w:t xml:space="preserve"> or the next available </w:t>
      </w:r>
      <w:r>
        <w:rPr>
          <w:i/>
          <w:lang w:val="en-CA"/>
        </w:rPr>
        <w:t>preliminary settlement statement</w:t>
      </w:r>
      <w:r>
        <w:rPr>
          <w:lang w:val="en-CA"/>
        </w:rPr>
        <w:t xml:space="preserve"> incorporating </w:t>
      </w:r>
      <w:r w:rsidR="00B429D9">
        <w:rPr>
          <w:lang w:val="en-CA"/>
        </w:rPr>
        <w:t>our</w:t>
      </w:r>
      <w:r>
        <w:rPr>
          <w:lang w:val="en-CA"/>
        </w:rPr>
        <w:t xml:space="preserve"> decision</w:t>
      </w:r>
      <w:r w:rsidR="00B429D9">
        <w:rPr>
          <w:lang w:val="en-CA"/>
        </w:rPr>
        <w:t xml:space="preserve">. </w:t>
      </w:r>
      <w:r w:rsidR="00400143">
        <w:rPr>
          <w:lang w:val="en-CA"/>
        </w:rPr>
        <w:t xml:space="preserve"> </w:t>
      </w:r>
      <w:r w:rsidR="003843AC">
        <w:rPr>
          <w:lang w:val="en-CA"/>
        </w:rPr>
        <w:t>You</w:t>
      </w:r>
      <w:r>
        <w:rPr>
          <w:lang w:val="en-CA"/>
        </w:rPr>
        <w:t xml:space="preserve"> can </w:t>
      </w:r>
      <w:r w:rsidR="003843AC">
        <w:rPr>
          <w:lang w:val="en-CA"/>
        </w:rPr>
        <w:t xml:space="preserve">then </w:t>
      </w:r>
      <w:r>
        <w:rPr>
          <w:lang w:val="en-CA"/>
        </w:rPr>
        <w:t>pursue the disagreement</w:t>
      </w:r>
      <w:bookmarkStart w:id="101" w:name="_Toc428095554"/>
      <w:bookmarkStart w:id="102" w:name="_Toc428933396"/>
      <w:bookmarkStart w:id="103" w:name="_Toc436020095"/>
      <w:r>
        <w:rPr>
          <w:lang w:val="en-CA"/>
        </w:rPr>
        <w:t xml:space="preserve"> through the </w:t>
      </w:r>
      <w:r w:rsidR="001722A3">
        <w:rPr>
          <w:lang w:val="en-CA"/>
        </w:rPr>
        <w:t>d</w:t>
      </w:r>
      <w:r>
        <w:rPr>
          <w:lang w:val="en-CA"/>
        </w:rPr>
        <w:t xml:space="preserve">ispute </w:t>
      </w:r>
      <w:r w:rsidR="001722A3">
        <w:rPr>
          <w:lang w:val="en-CA"/>
        </w:rPr>
        <w:t>r</w:t>
      </w:r>
      <w:r>
        <w:rPr>
          <w:lang w:val="en-CA"/>
        </w:rPr>
        <w:t>esolution process</w:t>
      </w:r>
      <w:r w:rsidR="00EA752E">
        <w:rPr>
          <w:rStyle w:val="FootnoteReference"/>
          <w:lang w:val="en-CA"/>
        </w:rPr>
        <w:footnoteReference w:id="9"/>
      </w:r>
      <w:r>
        <w:rPr>
          <w:lang w:val="en-CA"/>
        </w:rPr>
        <w:t>.</w:t>
      </w:r>
    </w:p>
    <w:p w14:paraId="772435E8" w14:textId="77777777" w:rsidR="00EA752E" w:rsidRDefault="00EA752E">
      <w:pPr>
        <w:pStyle w:val="BodyText"/>
        <w:rPr>
          <w:lang w:val="en-CA"/>
        </w:rPr>
      </w:pPr>
      <w:r>
        <w:rPr>
          <w:lang w:val="en-CA"/>
        </w:rPr>
        <w:t>You</w:t>
      </w:r>
      <w:r w:rsidR="00855CB7">
        <w:rPr>
          <w:lang w:val="en-CA"/>
        </w:rPr>
        <w:t xml:space="preserve"> must settle an </w:t>
      </w:r>
      <w:r w:rsidRPr="00EA752E">
        <w:rPr>
          <w:i/>
          <w:lang w:val="en-CA"/>
        </w:rPr>
        <w:t>IESO</w:t>
      </w:r>
      <w:r>
        <w:rPr>
          <w:lang w:val="en-CA"/>
        </w:rPr>
        <w:t xml:space="preserve"> </w:t>
      </w:r>
      <w:r w:rsidR="00855CB7">
        <w:rPr>
          <w:i/>
          <w:lang w:val="en-CA"/>
        </w:rPr>
        <w:t>invoice</w:t>
      </w:r>
      <w:r w:rsidR="00855CB7">
        <w:rPr>
          <w:lang w:val="en-CA"/>
        </w:rPr>
        <w:t xml:space="preserve"> regardless of whether </w:t>
      </w:r>
      <w:r>
        <w:rPr>
          <w:lang w:val="en-CA"/>
        </w:rPr>
        <w:t xml:space="preserve">you have </w:t>
      </w:r>
      <w:r w:rsidR="00855CB7">
        <w:rPr>
          <w:lang w:val="en-CA"/>
        </w:rPr>
        <w:t>raised a</w:t>
      </w:r>
      <w:r w:rsidR="00855CB7">
        <w:rPr>
          <w:i/>
          <w:lang w:val="en-CA"/>
        </w:rPr>
        <w:t xml:space="preserve"> notice of disagreement</w:t>
      </w:r>
      <w:r w:rsidR="00855CB7">
        <w:rPr>
          <w:lang w:val="en-CA"/>
        </w:rPr>
        <w:t xml:space="preserve"> against a </w:t>
      </w:r>
      <w:r w:rsidR="00855CB7">
        <w:rPr>
          <w:i/>
          <w:lang w:val="en-CA"/>
        </w:rPr>
        <w:t>settlement statement</w:t>
      </w:r>
      <w:r w:rsidR="00855CB7">
        <w:rPr>
          <w:lang w:val="en-CA"/>
        </w:rPr>
        <w:t xml:space="preserve"> addressed by that </w:t>
      </w:r>
      <w:r w:rsidR="00855CB7">
        <w:rPr>
          <w:i/>
          <w:lang w:val="en-CA"/>
        </w:rPr>
        <w:t>invoice</w:t>
      </w:r>
      <w:r>
        <w:rPr>
          <w:rStyle w:val="FootnoteReference"/>
          <w:i/>
          <w:lang w:val="en-CA"/>
        </w:rPr>
        <w:footnoteReference w:id="10"/>
      </w:r>
      <w:r w:rsidR="00855CB7">
        <w:rPr>
          <w:lang w:val="en-CA"/>
        </w:rPr>
        <w:t>.</w:t>
      </w:r>
      <w:bookmarkEnd w:id="101"/>
      <w:bookmarkEnd w:id="102"/>
      <w:bookmarkEnd w:id="103"/>
    </w:p>
    <w:p w14:paraId="4334FAB2" w14:textId="77777777" w:rsidR="00855CB7" w:rsidRDefault="00855CB7">
      <w:pPr>
        <w:pStyle w:val="BodyText"/>
        <w:rPr>
          <w:lang w:val="en-CA"/>
        </w:rPr>
      </w:pPr>
      <w:r>
        <w:rPr>
          <w:lang w:val="en-CA"/>
        </w:rPr>
        <w:t xml:space="preserve">If </w:t>
      </w:r>
      <w:r w:rsidR="0077323F">
        <w:rPr>
          <w:lang w:val="en-CA"/>
        </w:rPr>
        <w:t>you</w:t>
      </w:r>
      <w:r>
        <w:rPr>
          <w:lang w:val="en-CA"/>
        </w:rPr>
        <w:t xml:space="preserve"> do not agree with </w:t>
      </w:r>
      <w:r w:rsidR="00047A80">
        <w:rPr>
          <w:lang w:val="en-CA"/>
        </w:rPr>
        <w:t>our</w:t>
      </w:r>
      <w:r>
        <w:rPr>
          <w:i/>
          <w:lang w:val="en-CA"/>
        </w:rPr>
        <w:t xml:space="preserve"> </w:t>
      </w:r>
      <w:r>
        <w:rPr>
          <w:lang w:val="en-CA"/>
        </w:rPr>
        <w:t xml:space="preserve">decision </w:t>
      </w:r>
      <w:r w:rsidR="00DA4EF3">
        <w:rPr>
          <w:lang w:val="en-CA"/>
        </w:rPr>
        <w:t>on</w:t>
      </w:r>
      <w:r>
        <w:rPr>
          <w:lang w:val="en-CA"/>
        </w:rPr>
        <w:t xml:space="preserve"> </w:t>
      </w:r>
      <w:r w:rsidR="00047A80">
        <w:rPr>
          <w:lang w:val="en-CA"/>
        </w:rPr>
        <w:t>your</w:t>
      </w:r>
      <w:r>
        <w:rPr>
          <w:i/>
          <w:lang w:val="en-CA"/>
        </w:rPr>
        <w:t xml:space="preserve"> notice of disagreement, </w:t>
      </w:r>
      <w:r w:rsidR="00047A80">
        <w:rPr>
          <w:lang w:val="en-CA"/>
        </w:rPr>
        <w:t>you</w:t>
      </w:r>
      <w:r>
        <w:rPr>
          <w:lang w:val="en-CA"/>
        </w:rPr>
        <w:t xml:space="preserve"> may raise a dispute through the </w:t>
      </w:r>
      <w:r w:rsidR="001722A3">
        <w:rPr>
          <w:lang w:val="en-CA"/>
        </w:rPr>
        <w:t>d</w:t>
      </w:r>
      <w:r>
        <w:rPr>
          <w:lang w:val="en-CA"/>
        </w:rPr>
        <w:t xml:space="preserve">ispute </w:t>
      </w:r>
      <w:r w:rsidR="001722A3">
        <w:rPr>
          <w:lang w:val="en-CA"/>
        </w:rPr>
        <w:t>r</w:t>
      </w:r>
      <w:r>
        <w:rPr>
          <w:lang w:val="en-CA"/>
        </w:rPr>
        <w:t xml:space="preserve">esolution process.  Disputes relating to </w:t>
      </w:r>
      <w:r>
        <w:rPr>
          <w:i/>
          <w:lang w:val="en-CA"/>
        </w:rPr>
        <w:t>settlement statement</w:t>
      </w:r>
      <w:r w:rsidR="00047A80">
        <w:rPr>
          <w:i/>
          <w:lang w:val="en-CA"/>
        </w:rPr>
        <w:t>s</w:t>
      </w:r>
      <w:r>
        <w:rPr>
          <w:lang w:val="en-CA"/>
        </w:rPr>
        <w:t xml:space="preserve"> must be raised within 20 </w:t>
      </w:r>
      <w:r>
        <w:rPr>
          <w:i/>
          <w:lang w:val="en-CA"/>
        </w:rPr>
        <w:t>business days</w:t>
      </w:r>
      <w:r>
        <w:rPr>
          <w:lang w:val="en-CA"/>
        </w:rPr>
        <w:t xml:space="preserve"> </w:t>
      </w:r>
      <w:r w:rsidR="00047A80">
        <w:rPr>
          <w:lang w:val="en-CA"/>
        </w:rPr>
        <w:t xml:space="preserve">after </w:t>
      </w:r>
      <w:r>
        <w:rPr>
          <w:lang w:val="en-CA"/>
        </w:rPr>
        <w:t xml:space="preserve">the </w:t>
      </w:r>
      <w:r>
        <w:rPr>
          <w:i/>
          <w:lang w:val="en-CA"/>
        </w:rPr>
        <w:t>final settlement statement</w:t>
      </w:r>
      <w:r>
        <w:rPr>
          <w:lang w:val="en-CA"/>
        </w:rPr>
        <w:t xml:space="preserve"> </w:t>
      </w:r>
      <w:r w:rsidR="00047A80">
        <w:rPr>
          <w:lang w:val="en-CA"/>
        </w:rPr>
        <w:t xml:space="preserve">has been issued </w:t>
      </w:r>
      <w:r>
        <w:rPr>
          <w:lang w:val="en-CA"/>
        </w:rPr>
        <w:t xml:space="preserve">for the </w:t>
      </w:r>
      <w:r>
        <w:rPr>
          <w:i/>
          <w:lang w:val="en-CA"/>
        </w:rPr>
        <w:t>trading day</w:t>
      </w:r>
      <w:r>
        <w:rPr>
          <w:lang w:val="en-CA"/>
        </w:rPr>
        <w:t xml:space="preserve"> to which the dispute pertains.</w:t>
      </w:r>
    </w:p>
    <w:p w14:paraId="62824A6A" w14:textId="77777777" w:rsidR="00855CB7" w:rsidRDefault="00855CB7" w:rsidP="00614ACA">
      <w:pPr>
        <w:pStyle w:val="Heading3"/>
        <w:rPr>
          <w:lang w:val="en-CA"/>
        </w:rPr>
      </w:pPr>
      <w:bookmarkStart w:id="104" w:name="_Toc483275411"/>
      <w:bookmarkStart w:id="105" w:name="_Toc32038431"/>
      <w:bookmarkStart w:id="106" w:name="_Toc175383878"/>
      <w:bookmarkStart w:id="107" w:name="_Toc400369498"/>
      <w:bookmarkStart w:id="108" w:name="_Toc35796323"/>
      <w:bookmarkStart w:id="109" w:name="_Toc79657924"/>
      <w:r>
        <w:rPr>
          <w:lang w:val="en-CA"/>
        </w:rPr>
        <w:t xml:space="preserve">Issuing the </w:t>
      </w:r>
      <w:r w:rsidRPr="001D4963">
        <w:rPr>
          <w:i/>
          <w:lang w:val="en-CA"/>
        </w:rPr>
        <w:t>Final Settlement Statement</w:t>
      </w:r>
      <w:bookmarkEnd w:id="104"/>
      <w:bookmarkEnd w:id="105"/>
      <w:bookmarkEnd w:id="106"/>
      <w:bookmarkEnd w:id="107"/>
      <w:bookmarkEnd w:id="108"/>
      <w:bookmarkEnd w:id="109"/>
    </w:p>
    <w:p w14:paraId="3B6DB6D9" w14:textId="77777777" w:rsidR="00C30641" w:rsidRDefault="00F82CF8" w:rsidP="00F66F6C">
      <w:pPr>
        <w:pStyle w:val="BodyText"/>
        <w:rPr>
          <w:lang w:val="en-CA"/>
        </w:rPr>
      </w:pPr>
      <w:r>
        <w:rPr>
          <w:lang w:val="en-CA"/>
        </w:rPr>
        <w:t>We issue a</w:t>
      </w:r>
      <w:r w:rsidR="00855CB7">
        <w:rPr>
          <w:lang w:val="en-CA"/>
        </w:rPr>
        <w:t xml:space="preserve"> </w:t>
      </w:r>
      <w:r w:rsidR="00855CB7">
        <w:rPr>
          <w:i/>
          <w:lang w:val="en-CA"/>
        </w:rPr>
        <w:t>final settlement statement</w:t>
      </w:r>
      <w:r w:rsidR="00855CB7">
        <w:rPr>
          <w:lang w:val="en-CA"/>
        </w:rPr>
        <w:t xml:space="preserve"> on the date specified in the </w:t>
      </w:r>
      <w:r w:rsidR="00855CB7">
        <w:rPr>
          <w:i/>
          <w:lang w:val="en-CA"/>
        </w:rPr>
        <w:t>SSPC</w:t>
      </w:r>
      <w:r w:rsidR="00855CB7">
        <w:rPr>
          <w:lang w:val="en-CA"/>
        </w:rPr>
        <w:t xml:space="preserve">.  This is currently 10 </w:t>
      </w:r>
      <w:r w:rsidR="00855CB7">
        <w:rPr>
          <w:i/>
          <w:lang w:val="en-CA"/>
        </w:rPr>
        <w:t>business days</w:t>
      </w:r>
      <w:r w:rsidR="00855CB7">
        <w:rPr>
          <w:lang w:val="en-CA"/>
        </w:rPr>
        <w:t xml:space="preserve"> </w:t>
      </w:r>
      <w:r>
        <w:rPr>
          <w:lang w:val="en-CA"/>
        </w:rPr>
        <w:t xml:space="preserve">after we issue </w:t>
      </w:r>
      <w:r w:rsidR="00855CB7">
        <w:rPr>
          <w:lang w:val="en-CA"/>
        </w:rPr>
        <w:t xml:space="preserve">the </w:t>
      </w:r>
      <w:r w:rsidR="00855CB7">
        <w:rPr>
          <w:i/>
          <w:lang w:val="en-CA"/>
        </w:rPr>
        <w:t>preliminary settlement statement</w:t>
      </w:r>
      <w:r>
        <w:rPr>
          <w:rStyle w:val="FootnoteReference"/>
          <w:i/>
          <w:lang w:val="en-CA"/>
        </w:rPr>
        <w:footnoteReference w:id="11"/>
      </w:r>
      <w:r w:rsidR="00855CB7">
        <w:rPr>
          <w:lang w:val="en-CA"/>
        </w:rPr>
        <w:t xml:space="preserve">.  The </w:t>
      </w:r>
      <w:r w:rsidR="00855CB7">
        <w:rPr>
          <w:i/>
          <w:lang w:val="en-CA"/>
        </w:rPr>
        <w:t xml:space="preserve">final settlement statement </w:t>
      </w:r>
      <w:r w:rsidR="008E5505">
        <w:rPr>
          <w:lang w:val="en-CA"/>
        </w:rPr>
        <w:t>is</w:t>
      </w:r>
      <w:r w:rsidR="00855CB7">
        <w:rPr>
          <w:lang w:val="en-CA"/>
        </w:rPr>
        <w:t xml:space="preserve"> in the same format as the </w:t>
      </w:r>
      <w:r w:rsidR="00855CB7">
        <w:rPr>
          <w:i/>
          <w:lang w:val="en-CA"/>
        </w:rPr>
        <w:t>preliminary settlement statement</w:t>
      </w:r>
      <w:r w:rsidR="00855CB7">
        <w:rPr>
          <w:lang w:val="en-CA"/>
        </w:rPr>
        <w:t xml:space="preserve"> and </w:t>
      </w:r>
      <w:r w:rsidR="008E5505">
        <w:rPr>
          <w:lang w:val="en-CA"/>
        </w:rPr>
        <w:t>is</w:t>
      </w:r>
      <w:r w:rsidR="00855CB7">
        <w:rPr>
          <w:lang w:val="en-CA"/>
        </w:rPr>
        <w:t xml:space="preserve"> available by 17:00 EST</w:t>
      </w:r>
      <w:r w:rsidR="00855CB7">
        <w:rPr>
          <w:b/>
          <w:i/>
          <w:lang w:val="en-CA"/>
        </w:rPr>
        <w:t xml:space="preserve"> </w:t>
      </w:r>
      <w:r w:rsidR="00855CB7">
        <w:rPr>
          <w:lang w:val="en-CA"/>
        </w:rPr>
        <w:t xml:space="preserve">on the issue date.  </w:t>
      </w:r>
      <w:r w:rsidR="00755BEC">
        <w:rPr>
          <w:lang w:val="en-CA"/>
        </w:rPr>
        <w:t xml:space="preserve">You </w:t>
      </w:r>
      <w:r w:rsidR="00855CB7">
        <w:rPr>
          <w:lang w:val="en-CA"/>
        </w:rPr>
        <w:t xml:space="preserve">may download </w:t>
      </w:r>
      <w:r w:rsidR="00755BEC">
        <w:rPr>
          <w:lang w:val="en-CA"/>
        </w:rPr>
        <w:t>your</w:t>
      </w:r>
      <w:r w:rsidR="00855CB7">
        <w:rPr>
          <w:lang w:val="en-CA"/>
        </w:rPr>
        <w:t xml:space="preserve"> </w:t>
      </w:r>
      <w:r w:rsidR="00855CB7">
        <w:rPr>
          <w:i/>
          <w:lang w:val="en-CA"/>
        </w:rPr>
        <w:t>final settlement statement</w:t>
      </w:r>
      <w:r w:rsidR="00855CB7">
        <w:rPr>
          <w:lang w:val="en-CA"/>
        </w:rPr>
        <w:t xml:space="preserve"> </w:t>
      </w:r>
      <w:r w:rsidR="00C43F27">
        <w:rPr>
          <w:lang w:val="en-CA"/>
        </w:rPr>
        <w:t xml:space="preserve">from </w:t>
      </w:r>
      <w:r w:rsidR="008E5505">
        <w:rPr>
          <w:lang w:val="en-CA"/>
        </w:rPr>
        <w:t>the IESO Reports site</w:t>
      </w:r>
      <w:r w:rsidR="00855CB7">
        <w:rPr>
          <w:lang w:val="en-CA"/>
        </w:rPr>
        <w:t>.</w:t>
      </w:r>
    </w:p>
    <w:p w14:paraId="7B0C83B6" w14:textId="77777777" w:rsidR="00A75A62" w:rsidRDefault="00755BEC">
      <w:pPr>
        <w:pStyle w:val="BodyText"/>
        <w:rPr>
          <w:lang w:val="en-CA"/>
        </w:rPr>
      </w:pPr>
      <w:r w:rsidRPr="00A75A62">
        <w:rPr>
          <w:lang w:val="en-CA"/>
        </w:rPr>
        <w:t>Your</w:t>
      </w:r>
      <w:r w:rsidR="00855CB7" w:rsidRPr="00A75A62">
        <w:rPr>
          <w:lang w:val="en-CA"/>
        </w:rPr>
        <w:t xml:space="preserve"> </w:t>
      </w:r>
      <w:r w:rsidR="00855CB7" w:rsidRPr="00A75A62">
        <w:rPr>
          <w:i/>
          <w:lang w:val="en-CA"/>
        </w:rPr>
        <w:t>final settlement statement</w:t>
      </w:r>
      <w:r w:rsidR="00855CB7" w:rsidRPr="00A75A62">
        <w:rPr>
          <w:lang w:val="en-CA"/>
        </w:rPr>
        <w:t xml:space="preserve"> must include</w:t>
      </w:r>
      <w:r w:rsidR="00A75A62">
        <w:rPr>
          <w:lang w:val="en-CA"/>
        </w:rPr>
        <w:t>:</w:t>
      </w:r>
    </w:p>
    <w:p w14:paraId="2A25D800" w14:textId="77777777" w:rsidR="00A75A62" w:rsidRDefault="005947B5" w:rsidP="003853C6">
      <w:pPr>
        <w:pStyle w:val="BodyText"/>
        <w:numPr>
          <w:ilvl w:val="0"/>
          <w:numId w:val="48"/>
        </w:numPr>
        <w:rPr>
          <w:lang w:val="en-CA"/>
        </w:rPr>
      </w:pPr>
      <w:r>
        <w:rPr>
          <w:lang w:val="en-CA"/>
        </w:rPr>
        <w:t>a</w:t>
      </w:r>
      <w:r w:rsidRPr="00A75A62">
        <w:rPr>
          <w:lang w:val="en-CA"/>
        </w:rPr>
        <w:t xml:space="preserve">ll </w:t>
      </w:r>
      <w:r w:rsidR="00855CB7" w:rsidRPr="00A75A62">
        <w:rPr>
          <w:lang w:val="en-CA"/>
        </w:rPr>
        <w:t xml:space="preserve">the information in the </w:t>
      </w:r>
      <w:r w:rsidR="00855CB7" w:rsidRPr="00A75A62">
        <w:rPr>
          <w:i/>
          <w:lang w:val="en-CA"/>
        </w:rPr>
        <w:t>preliminary settlement statement</w:t>
      </w:r>
      <w:r w:rsidR="00A75A62">
        <w:rPr>
          <w:lang w:val="en-CA"/>
        </w:rPr>
        <w:t>;</w:t>
      </w:r>
      <w:r w:rsidR="00855CB7" w:rsidRPr="00A75A62">
        <w:rPr>
          <w:lang w:val="en-CA"/>
        </w:rPr>
        <w:t xml:space="preserve"> and</w:t>
      </w:r>
    </w:p>
    <w:p w14:paraId="08DC4DA6" w14:textId="77777777" w:rsidR="00855CB7" w:rsidRDefault="005947B5" w:rsidP="003853C6">
      <w:pPr>
        <w:pStyle w:val="BodyText"/>
        <w:numPr>
          <w:ilvl w:val="0"/>
          <w:numId w:val="48"/>
        </w:numPr>
        <w:rPr>
          <w:lang w:val="en-CA"/>
        </w:rPr>
      </w:pPr>
      <w:r>
        <w:rPr>
          <w:lang w:val="en-CA"/>
        </w:rPr>
        <w:lastRenderedPageBreak/>
        <w:t>a</w:t>
      </w:r>
      <w:r w:rsidRPr="00A75A62">
        <w:rPr>
          <w:lang w:val="en-CA"/>
        </w:rPr>
        <w:t xml:space="preserve">ny </w:t>
      </w:r>
      <w:r w:rsidR="00855CB7" w:rsidRPr="00A75A62">
        <w:rPr>
          <w:lang w:val="en-CA"/>
        </w:rPr>
        <w:t xml:space="preserve">adjustments resulting from the </w:t>
      </w:r>
      <w:r w:rsidR="00855CB7" w:rsidRPr="00A75A62">
        <w:rPr>
          <w:i/>
          <w:lang w:val="en-CA"/>
        </w:rPr>
        <w:t>notice of disagreement</w:t>
      </w:r>
      <w:r w:rsidR="00855CB7" w:rsidRPr="00A75A62">
        <w:rPr>
          <w:lang w:val="en-CA"/>
        </w:rPr>
        <w:t xml:space="preserve"> process </w:t>
      </w:r>
      <w:r w:rsidR="00A75A62">
        <w:rPr>
          <w:lang w:val="en-CA"/>
        </w:rPr>
        <w:t xml:space="preserve">that were resolved before the </w:t>
      </w:r>
      <w:r w:rsidR="00A75A62" w:rsidRPr="00A75A62">
        <w:rPr>
          <w:i/>
          <w:lang w:val="en-CA"/>
        </w:rPr>
        <w:t>final settlement statements</w:t>
      </w:r>
      <w:r w:rsidR="00A75A62" w:rsidRPr="00A75A62">
        <w:rPr>
          <w:lang w:val="en-CA"/>
        </w:rPr>
        <w:t xml:space="preserve"> </w:t>
      </w:r>
      <w:r w:rsidR="00A75A62">
        <w:rPr>
          <w:lang w:val="en-CA"/>
        </w:rPr>
        <w:t>were issued</w:t>
      </w:r>
      <w:r>
        <w:rPr>
          <w:lang w:val="en-CA"/>
        </w:rPr>
        <w:t>; t</w:t>
      </w:r>
      <w:r w:rsidR="00855CB7" w:rsidRPr="00A75A62">
        <w:rPr>
          <w:lang w:val="en-CA"/>
        </w:rPr>
        <w:t xml:space="preserve">hese adjustments appear as a credit or debit </w:t>
      </w:r>
      <w:r w:rsidR="00A75A62">
        <w:rPr>
          <w:lang w:val="en-CA"/>
        </w:rPr>
        <w:t xml:space="preserve">on your </w:t>
      </w:r>
      <w:r w:rsidR="00A75A62" w:rsidRPr="00A75A62">
        <w:rPr>
          <w:i/>
          <w:lang w:val="en-CA"/>
        </w:rPr>
        <w:t>settlement statement</w:t>
      </w:r>
      <w:r w:rsidR="00A75A62">
        <w:rPr>
          <w:lang w:val="en-CA"/>
        </w:rPr>
        <w:t xml:space="preserve"> and on the </w:t>
      </w:r>
      <w:r w:rsidR="00A75A62" w:rsidRPr="00A75A62">
        <w:rPr>
          <w:i/>
          <w:lang w:val="en-CA"/>
        </w:rPr>
        <w:t xml:space="preserve">settlement statement </w:t>
      </w:r>
      <w:r w:rsidR="00A75A62">
        <w:rPr>
          <w:lang w:val="en-CA"/>
        </w:rPr>
        <w:t>of</w:t>
      </w:r>
      <w:r w:rsidR="00855CB7" w:rsidRPr="00A75A62">
        <w:rPr>
          <w:lang w:val="en-CA"/>
        </w:rPr>
        <w:t xml:space="preserve"> each affected </w:t>
      </w:r>
      <w:r w:rsidR="00855CB7" w:rsidRPr="00A75A62">
        <w:rPr>
          <w:i/>
          <w:lang w:val="en-CA"/>
        </w:rPr>
        <w:t>market participant</w:t>
      </w:r>
      <w:r w:rsidR="00855CB7" w:rsidRPr="00A75A62">
        <w:rPr>
          <w:lang w:val="en-CA"/>
        </w:rPr>
        <w:t>.</w:t>
      </w:r>
    </w:p>
    <w:p w14:paraId="069B7E06" w14:textId="77777777" w:rsidR="00855CB7" w:rsidRDefault="0015246F">
      <w:pPr>
        <w:pStyle w:val="BodyText"/>
        <w:rPr>
          <w:lang w:val="en-CA"/>
        </w:rPr>
      </w:pPr>
      <w:r>
        <w:rPr>
          <w:lang w:val="en-CA"/>
        </w:rPr>
        <w:t>You</w:t>
      </w:r>
      <w:r w:rsidR="00855CB7">
        <w:rPr>
          <w:lang w:val="en-CA"/>
        </w:rPr>
        <w:t xml:space="preserve"> may not submit a</w:t>
      </w:r>
      <w:r w:rsidR="00855CB7">
        <w:rPr>
          <w:i/>
          <w:lang w:val="en-CA"/>
        </w:rPr>
        <w:t xml:space="preserve"> notice of disagreement</w:t>
      </w:r>
      <w:r w:rsidR="00855CB7">
        <w:rPr>
          <w:lang w:val="en-CA"/>
        </w:rPr>
        <w:t xml:space="preserve"> for the </w:t>
      </w:r>
      <w:r w:rsidR="00855CB7">
        <w:rPr>
          <w:i/>
          <w:lang w:val="en-CA"/>
        </w:rPr>
        <w:t>final settlement statement</w:t>
      </w:r>
      <w:r w:rsidR="00855CB7">
        <w:rPr>
          <w:lang w:val="en-CA"/>
        </w:rPr>
        <w:t xml:space="preserve">.  However, </w:t>
      </w:r>
      <w:r w:rsidR="00B14795">
        <w:rPr>
          <w:lang w:val="en-CA"/>
        </w:rPr>
        <w:t xml:space="preserve">in some cases </w:t>
      </w:r>
      <w:r w:rsidR="00855CB7">
        <w:rPr>
          <w:lang w:val="en-CA"/>
        </w:rPr>
        <w:t xml:space="preserve">an item or calculation in the </w:t>
      </w:r>
      <w:r w:rsidR="00855CB7">
        <w:rPr>
          <w:i/>
          <w:lang w:val="en-CA"/>
        </w:rPr>
        <w:t>final settlement statement</w:t>
      </w:r>
      <w:r w:rsidR="00855CB7">
        <w:rPr>
          <w:lang w:val="en-CA"/>
        </w:rPr>
        <w:t xml:space="preserve"> </w:t>
      </w:r>
      <w:r w:rsidR="00FD45E1">
        <w:rPr>
          <w:lang w:val="en-CA"/>
        </w:rPr>
        <w:t xml:space="preserve">may </w:t>
      </w:r>
      <w:r w:rsidR="00855CB7">
        <w:rPr>
          <w:lang w:val="en-CA"/>
        </w:rPr>
        <w:t>either:</w:t>
      </w:r>
    </w:p>
    <w:p w14:paraId="163E5FCF" w14:textId="77777777" w:rsidR="00855CB7" w:rsidRDefault="005947B5">
      <w:pPr>
        <w:pStyle w:val="ListBullet"/>
        <w:rPr>
          <w:lang w:val="en-CA"/>
        </w:rPr>
      </w:pPr>
      <w:r>
        <w:rPr>
          <w:lang w:val="en-CA"/>
        </w:rPr>
        <w:t xml:space="preserve">consist </w:t>
      </w:r>
      <w:r w:rsidR="00855CB7">
        <w:rPr>
          <w:lang w:val="en-CA"/>
        </w:rPr>
        <w:t xml:space="preserve">of an adjustment to the corresponding </w:t>
      </w:r>
      <w:r w:rsidR="00855CB7">
        <w:rPr>
          <w:i/>
          <w:lang w:val="en-CA"/>
        </w:rPr>
        <w:t>preliminary settlement statement</w:t>
      </w:r>
      <w:r w:rsidR="00855CB7">
        <w:rPr>
          <w:lang w:val="en-CA"/>
        </w:rPr>
        <w:t xml:space="preserve"> </w:t>
      </w:r>
      <w:r w:rsidR="00FD45E1">
        <w:rPr>
          <w:lang w:val="en-CA"/>
        </w:rPr>
        <w:t xml:space="preserve">as a result of </w:t>
      </w:r>
      <w:r w:rsidR="00855CB7">
        <w:rPr>
          <w:lang w:val="en-CA"/>
        </w:rPr>
        <w:t xml:space="preserve">a </w:t>
      </w:r>
      <w:r w:rsidR="00855CB7">
        <w:rPr>
          <w:i/>
          <w:lang w:val="en-CA"/>
        </w:rPr>
        <w:t>notice of disagreement</w:t>
      </w:r>
      <w:r w:rsidR="00FD45E1">
        <w:rPr>
          <w:lang w:val="en-CA"/>
        </w:rPr>
        <w:t>, but</w:t>
      </w:r>
      <w:r w:rsidR="00855CB7">
        <w:rPr>
          <w:lang w:val="en-CA"/>
        </w:rPr>
        <w:t xml:space="preserve"> does not reflect the </w:t>
      </w:r>
      <w:r w:rsidR="00FD45E1">
        <w:rPr>
          <w:lang w:val="en-CA"/>
        </w:rPr>
        <w:t>agreed</w:t>
      </w:r>
      <w:r w:rsidR="008E5505">
        <w:rPr>
          <w:lang w:val="en-CA"/>
        </w:rPr>
        <w:t>-</w:t>
      </w:r>
      <w:r w:rsidR="00FD45E1">
        <w:rPr>
          <w:lang w:val="en-CA"/>
        </w:rPr>
        <w:t>to adjustment; or</w:t>
      </w:r>
    </w:p>
    <w:p w14:paraId="71EE4171" w14:textId="77777777" w:rsidR="00855CB7" w:rsidRDefault="005947B5">
      <w:pPr>
        <w:pStyle w:val="ListBullet"/>
        <w:rPr>
          <w:lang w:val="en-CA"/>
        </w:rPr>
      </w:pPr>
      <w:r>
        <w:rPr>
          <w:lang w:val="en-CA"/>
        </w:rPr>
        <w:t xml:space="preserve">differ </w:t>
      </w:r>
      <w:r w:rsidR="00855CB7">
        <w:rPr>
          <w:lang w:val="en-CA"/>
        </w:rPr>
        <w:t xml:space="preserve">in amount from the same item or calculation set forth on the corresponding </w:t>
      </w:r>
      <w:r w:rsidR="00855CB7">
        <w:rPr>
          <w:i/>
          <w:lang w:val="en-CA"/>
        </w:rPr>
        <w:t>preliminary settlement statement</w:t>
      </w:r>
      <w:r w:rsidR="00FD45E1">
        <w:rPr>
          <w:lang w:val="en-CA"/>
        </w:rPr>
        <w:t>,</w:t>
      </w:r>
      <w:r w:rsidR="00855CB7">
        <w:rPr>
          <w:lang w:val="en-CA"/>
        </w:rPr>
        <w:t xml:space="preserve"> </w:t>
      </w:r>
      <w:r w:rsidR="00FD45E1">
        <w:rPr>
          <w:lang w:val="en-CA"/>
        </w:rPr>
        <w:t>but the</w:t>
      </w:r>
      <w:r w:rsidR="00855CB7">
        <w:rPr>
          <w:lang w:val="en-CA"/>
        </w:rPr>
        <w:t xml:space="preserve"> item or calculation on the </w:t>
      </w:r>
      <w:r w:rsidR="00855CB7">
        <w:rPr>
          <w:i/>
          <w:lang w:val="en-CA"/>
        </w:rPr>
        <w:t>final settlement statement</w:t>
      </w:r>
      <w:r w:rsidR="00855CB7">
        <w:rPr>
          <w:lang w:val="en-CA"/>
        </w:rPr>
        <w:t xml:space="preserve"> </w:t>
      </w:r>
      <w:r w:rsidR="00FD45E1">
        <w:rPr>
          <w:lang w:val="en-CA"/>
        </w:rPr>
        <w:t>does not have</w:t>
      </w:r>
      <w:r w:rsidR="00855CB7">
        <w:rPr>
          <w:lang w:val="en-CA"/>
        </w:rPr>
        <w:t xml:space="preserve"> an adjustment flag indicating that an adjustment has been made</w:t>
      </w:r>
      <w:r w:rsidR="00FD45E1">
        <w:rPr>
          <w:lang w:val="en-CA"/>
        </w:rPr>
        <w:t>.</w:t>
      </w:r>
    </w:p>
    <w:p w14:paraId="5C51838F" w14:textId="77777777" w:rsidR="00855CB7" w:rsidRDefault="00FD45E1">
      <w:pPr>
        <w:pStyle w:val="BodyText"/>
        <w:rPr>
          <w:lang w:val="en-CA"/>
        </w:rPr>
      </w:pPr>
      <w:r>
        <w:rPr>
          <w:lang w:val="en-CA"/>
        </w:rPr>
        <w:t xml:space="preserve">In such cases, you </w:t>
      </w:r>
      <w:r w:rsidR="00855CB7">
        <w:rPr>
          <w:lang w:val="en-CA"/>
        </w:rPr>
        <w:t xml:space="preserve">may attempt to resolve the disagreement with </w:t>
      </w:r>
      <w:r>
        <w:rPr>
          <w:lang w:val="en-CA"/>
        </w:rPr>
        <w:t>us</w:t>
      </w:r>
      <w:r w:rsidR="00855CB7">
        <w:rPr>
          <w:lang w:val="en-CA"/>
        </w:rPr>
        <w:t xml:space="preserve"> on an informal basis</w:t>
      </w:r>
      <w:r>
        <w:rPr>
          <w:lang w:val="en-CA"/>
        </w:rPr>
        <w:t xml:space="preserve">, </w:t>
      </w:r>
      <w:r w:rsidR="00855CB7">
        <w:rPr>
          <w:lang w:val="en-CA"/>
        </w:rPr>
        <w:t xml:space="preserve">separate from the formal </w:t>
      </w:r>
      <w:r w:rsidR="00855CB7">
        <w:rPr>
          <w:i/>
          <w:lang w:val="en-CA"/>
        </w:rPr>
        <w:t>notice of disagreement</w:t>
      </w:r>
      <w:r w:rsidR="00855CB7">
        <w:rPr>
          <w:lang w:val="en-CA"/>
        </w:rPr>
        <w:t xml:space="preserve"> process.  If </w:t>
      </w:r>
      <w:r w:rsidR="00B14795">
        <w:rPr>
          <w:lang w:val="en-CA"/>
        </w:rPr>
        <w:t>we cannot</w:t>
      </w:r>
      <w:r w:rsidR="00855CB7">
        <w:rPr>
          <w:lang w:val="en-CA"/>
        </w:rPr>
        <w:t xml:space="preserve"> resolve </w:t>
      </w:r>
      <w:r w:rsidR="00B14795">
        <w:rPr>
          <w:lang w:val="en-CA"/>
        </w:rPr>
        <w:t>the</w:t>
      </w:r>
      <w:r w:rsidR="00855CB7">
        <w:rPr>
          <w:lang w:val="en-CA"/>
        </w:rPr>
        <w:t xml:space="preserve"> disagreement</w:t>
      </w:r>
      <w:r w:rsidR="00B14795">
        <w:rPr>
          <w:lang w:val="en-CA"/>
        </w:rPr>
        <w:t xml:space="preserve"> with you</w:t>
      </w:r>
      <w:r w:rsidR="00855CB7">
        <w:rPr>
          <w:lang w:val="en-CA"/>
        </w:rPr>
        <w:t xml:space="preserve">, </w:t>
      </w:r>
      <w:r w:rsidR="00B14795">
        <w:rPr>
          <w:lang w:val="en-CA"/>
        </w:rPr>
        <w:t>you</w:t>
      </w:r>
      <w:r w:rsidR="00855CB7">
        <w:rPr>
          <w:lang w:val="en-CA"/>
        </w:rPr>
        <w:t xml:space="preserve"> may submit the matter to the dispute resolution process and may request, in the</w:t>
      </w:r>
      <w:r w:rsidR="00855CB7">
        <w:rPr>
          <w:i/>
          <w:lang w:val="en-CA"/>
        </w:rPr>
        <w:t xml:space="preserve"> notice of dispute, </w:t>
      </w:r>
      <w:r w:rsidR="00855CB7">
        <w:rPr>
          <w:lang w:val="en-CA"/>
        </w:rPr>
        <w:t xml:space="preserve">that the </w:t>
      </w:r>
      <w:r w:rsidR="00855CB7">
        <w:rPr>
          <w:i/>
          <w:lang w:val="en-CA"/>
        </w:rPr>
        <w:t>arbitrator</w:t>
      </w:r>
      <w:r w:rsidR="00855CB7">
        <w:rPr>
          <w:lang w:val="en-CA"/>
        </w:rPr>
        <w:t xml:space="preserve"> order that </w:t>
      </w:r>
      <w:r w:rsidR="00B14795">
        <w:rPr>
          <w:lang w:val="en-CA"/>
        </w:rPr>
        <w:t>we</w:t>
      </w:r>
      <w:r w:rsidR="00855CB7">
        <w:rPr>
          <w:i/>
          <w:lang w:val="en-CA"/>
        </w:rPr>
        <w:t xml:space="preserve"> </w:t>
      </w:r>
      <w:r w:rsidR="00112194">
        <w:rPr>
          <w:lang w:val="en-CA"/>
        </w:rPr>
        <w:t xml:space="preserve">undertake </w:t>
      </w:r>
      <w:r w:rsidR="00855CB7">
        <w:rPr>
          <w:lang w:val="en-CA"/>
        </w:rPr>
        <w:t xml:space="preserve">a </w:t>
      </w:r>
      <w:r w:rsidR="00855CB7">
        <w:rPr>
          <w:i/>
          <w:lang w:val="en-CA"/>
        </w:rPr>
        <w:t xml:space="preserve">settlement </w:t>
      </w:r>
      <w:r w:rsidR="00855CB7" w:rsidRPr="002E6CAB">
        <w:rPr>
          <w:i/>
          <w:lang w:val="en-CA"/>
        </w:rPr>
        <w:t>statement re-calculation</w:t>
      </w:r>
      <w:r w:rsidR="00855CB7">
        <w:rPr>
          <w:lang w:val="en-CA"/>
        </w:rPr>
        <w:t>.</w:t>
      </w:r>
    </w:p>
    <w:p w14:paraId="3E30FA5D" w14:textId="77777777" w:rsidR="00855CB7" w:rsidRDefault="00855CB7">
      <w:pPr>
        <w:pStyle w:val="BodyText"/>
        <w:rPr>
          <w:lang w:val="en-CA"/>
        </w:rPr>
      </w:pPr>
      <w:r>
        <w:rPr>
          <w:lang w:val="en-CA"/>
        </w:rPr>
        <w:t xml:space="preserve">If </w:t>
      </w:r>
      <w:r w:rsidR="00112194">
        <w:rPr>
          <w:lang w:val="en-CA"/>
        </w:rPr>
        <w:t>you</w:t>
      </w:r>
      <w:r>
        <w:rPr>
          <w:lang w:val="en-CA"/>
        </w:rPr>
        <w:t xml:space="preserve"> disagree with any other aspect of the </w:t>
      </w:r>
      <w:r>
        <w:rPr>
          <w:i/>
          <w:lang w:val="en-CA"/>
        </w:rPr>
        <w:t>final settlement statement</w:t>
      </w:r>
      <w:r>
        <w:rPr>
          <w:lang w:val="en-CA"/>
        </w:rPr>
        <w:t xml:space="preserve">, </w:t>
      </w:r>
      <w:r w:rsidR="00112194">
        <w:rPr>
          <w:lang w:val="en-CA"/>
        </w:rPr>
        <w:t>you</w:t>
      </w:r>
      <w:r>
        <w:rPr>
          <w:lang w:val="en-CA"/>
        </w:rPr>
        <w:t xml:space="preserve"> may submit the matter to the dispute resolution process and may request, in the </w:t>
      </w:r>
      <w:r>
        <w:rPr>
          <w:i/>
          <w:lang w:val="en-CA"/>
        </w:rPr>
        <w:t xml:space="preserve">notice of dispute, </w:t>
      </w:r>
      <w:r>
        <w:rPr>
          <w:lang w:val="en-CA"/>
        </w:rPr>
        <w:t xml:space="preserve">that </w:t>
      </w:r>
      <w:r w:rsidR="00112194">
        <w:rPr>
          <w:lang w:val="en-CA"/>
        </w:rPr>
        <w:t xml:space="preserve">we undertake a </w:t>
      </w:r>
      <w:r>
        <w:rPr>
          <w:i/>
          <w:lang w:val="en-CA"/>
        </w:rPr>
        <w:t xml:space="preserve">settlement </w:t>
      </w:r>
      <w:r w:rsidRPr="002E6CAB">
        <w:rPr>
          <w:i/>
          <w:lang w:val="en-CA"/>
        </w:rPr>
        <w:t>statement re-calculation</w:t>
      </w:r>
      <w:r>
        <w:rPr>
          <w:lang w:val="en-CA"/>
        </w:rPr>
        <w:t>.</w:t>
      </w:r>
    </w:p>
    <w:p w14:paraId="78018D76" w14:textId="77777777" w:rsidR="00855CB7" w:rsidRDefault="00112194">
      <w:pPr>
        <w:pStyle w:val="BodyText"/>
        <w:rPr>
          <w:lang w:val="en-CA"/>
        </w:rPr>
      </w:pPr>
      <w:r>
        <w:rPr>
          <w:lang w:val="en-CA"/>
        </w:rPr>
        <w:t>You must submit a</w:t>
      </w:r>
      <w:r w:rsidR="00855CB7">
        <w:rPr>
          <w:lang w:val="en-CA"/>
        </w:rPr>
        <w:t>ll</w:t>
      </w:r>
      <w:r w:rsidR="00855CB7">
        <w:rPr>
          <w:i/>
          <w:lang w:val="en-CA"/>
        </w:rPr>
        <w:t xml:space="preserve"> notices of dispute</w:t>
      </w:r>
      <w:r w:rsidR="00855CB7">
        <w:rPr>
          <w:lang w:val="en-CA"/>
        </w:rPr>
        <w:t xml:space="preserve"> relating to an item or calculation on a </w:t>
      </w:r>
      <w:r w:rsidR="00855CB7">
        <w:rPr>
          <w:i/>
          <w:lang w:val="en-CA"/>
        </w:rPr>
        <w:t>settlement statement</w:t>
      </w:r>
      <w:r w:rsidR="00855CB7">
        <w:rPr>
          <w:lang w:val="en-CA"/>
        </w:rPr>
        <w:t xml:space="preserve"> within 20 </w:t>
      </w:r>
      <w:r w:rsidR="00855CB7">
        <w:rPr>
          <w:i/>
          <w:lang w:val="en-CA"/>
        </w:rPr>
        <w:t>business days</w:t>
      </w:r>
      <w:r w:rsidR="00855CB7">
        <w:rPr>
          <w:lang w:val="en-CA"/>
        </w:rPr>
        <w:t xml:space="preserve"> </w:t>
      </w:r>
      <w:r>
        <w:rPr>
          <w:lang w:val="en-CA"/>
        </w:rPr>
        <w:t>after</w:t>
      </w:r>
      <w:r w:rsidR="00855CB7">
        <w:rPr>
          <w:lang w:val="en-CA"/>
        </w:rPr>
        <w:t xml:space="preserve"> the </w:t>
      </w:r>
      <w:r w:rsidR="00855CB7">
        <w:rPr>
          <w:i/>
          <w:lang w:val="en-CA"/>
        </w:rPr>
        <w:t>final settlement statement</w:t>
      </w:r>
      <w:r w:rsidR="00855CB7">
        <w:rPr>
          <w:lang w:val="en-CA"/>
        </w:rPr>
        <w:t xml:space="preserve"> </w:t>
      </w:r>
      <w:r>
        <w:rPr>
          <w:lang w:val="en-CA"/>
        </w:rPr>
        <w:t xml:space="preserve">is issued for that </w:t>
      </w:r>
      <w:r w:rsidR="00855CB7">
        <w:rPr>
          <w:lang w:val="en-CA"/>
        </w:rPr>
        <w:t>item or calculation.</w:t>
      </w:r>
    </w:p>
    <w:p w14:paraId="6E9CD33D" w14:textId="77777777" w:rsidR="00DD4B0E" w:rsidRDefault="00DD4B0E" w:rsidP="00DD4B0E">
      <w:pPr>
        <w:pStyle w:val="Heading3"/>
        <w:rPr>
          <w:lang w:val="en-CA"/>
        </w:rPr>
      </w:pPr>
      <w:bookmarkStart w:id="110" w:name="_Toc35796324"/>
      <w:bookmarkStart w:id="111" w:name="_Toc79657925"/>
      <w:bookmarkStart w:id="112" w:name="_Toc32038432"/>
      <w:bookmarkStart w:id="113" w:name="_Toc175383879"/>
      <w:bookmarkStart w:id="114" w:name="_Toc400369499"/>
      <w:bookmarkStart w:id="115" w:name="_Toc493912107"/>
      <w:r>
        <w:rPr>
          <w:lang w:val="en-CA"/>
        </w:rPr>
        <w:t>Data Files for Transmission Services Charges</w:t>
      </w:r>
      <w:r>
        <w:rPr>
          <w:rStyle w:val="FootnoteReference"/>
          <w:lang w:val="en-CA"/>
        </w:rPr>
        <w:footnoteReference w:id="12"/>
      </w:r>
      <w:bookmarkEnd w:id="110"/>
      <w:bookmarkEnd w:id="111"/>
    </w:p>
    <w:p w14:paraId="1160B03E" w14:textId="77777777" w:rsidR="00DD4B0E" w:rsidRDefault="00DD4B0E" w:rsidP="00DD4B0E">
      <w:pPr>
        <w:pStyle w:val="ListBullet"/>
        <w:numPr>
          <w:ilvl w:val="0"/>
          <w:numId w:val="0"/>
        </w:numPr>
        <w:rPr>
          <w:lang w:val="en-CA"/>
        </w:rPr>
      </w:pPr>
      <w:r>
        <w:rPr>
          <w:lang w:val="en-CA"/>
        </w:rPr>
        <w:t xml:space="preserve">The </w:t>
      </w:r>
      <w:r>
        <w:rPr>
          <w:i/>
          <w:lang w:val="en-CA"/>
        </w:rPr>
        <w:t xml:space="preserve">preliminary settlement statement </w:t>
      </w:r>
      <w:r>
        <w:rPr>
          <w:lang w:val="en-CA"/>
        </w:rPr>
        <w:t xml:space="preserve">contains a number of charges relating to </w:t>
      </w:r>
      <w:r>
        <w:rPr>
          <w:i/>
          <w:lang w:val="en-CA"/>
        </w:rPr>
        <w:t>transmission services</w:t>
      </w:r>
      <w:r>
        <w:rPr>
          <w:lang w:val="en-CA"/>
        </w:rPr>
        <w:t>, which we collect on behalf of transmission companies</w:t>
      </w:r>
      <w:r>
        <w:rPr>
          <w:rStyle w:val="FootnoteReference"/>
          <w:lang w:val="en-CA"/>
        </w:rPr>
        <w:footnoteReference w:id="13"/>
      </w:r>
      <w:r>
        <w:rPr>
          <w:lang w:val="en-CA"/>
        </w:rPr>
        <w:t xml:space="preserve">.  We also make a number of data files available to the </w:t>
      </w:r>
      <w:r>
        <w:rPr>
          <w:i/>
          <w:lang w:val="en-CA"/>
        </w:rPr>
        <w:t>transmission customer</w:t>
      </w:r>
      <w:r>
        <w:rPr>
          <w:rStyle w:val="FootnoteReference"/>
          <w:lang w:val="en-CA"/>
        </w:rPr>
        <w:footnoteReference w:id="14"/>
      </w:r>
      <w:r>
        <w:rPr>
          <w:lang w:val="en-CA"/>
        </w:rPr>
        <w:t xml:space="preserve"> or the </w:t>
      </w:r>
      <w:r>
        <w:rPr>
          <w:i/>
          <w:lang w:val="en-CA"/>
        </w:rPr>
        <w:t>transmitter</w:t>
      </w:r>
      <w:r>
        <w:rPr>
          <w:lang w:val="en-CA"/>
        </w:rPr>
        <w:t xml:space="preserve">, as appropriate, via the IESO Reports site.  These data files allow </w:t>
      </w:r>
      <w:r>
        <w:rPr>
          <w:i/>
          <w:lang w:val="en-CA"/>
        </w:rPr>
        <w:t>transmission customers</w:t>
      </w:r>
      <w:r>
        <w:rPr>
          <w:lang w:val="en-CA"/>
        </w:rPr>
        <w:t xml:space="preserve"> and </w:t>
      </w:r>
      <w:r>
        <w:rPr>
          <w:i/>
          <w:lang w:val="en-CA"/>
        </w:rPr>
        <w:t>transmitters</w:t>
      </w:r>
      <w:r>
        <w:rPr>
          <w:lang w:val="en-CA"/>
        </w:rPr>
        <w:t xml:space="preserve"> to validate the </w:t>
      </w:r>
      <w:r>
        <w:rPr>
          <w:i/>
          <w:lang w:val="en-CA"/>
        </w:rPr>
        <w:t>transmission service charges</w:t>
      </w:r>
      <w:r>
        <w:rPr>
          <w:lang w:val="en-CA"/>
        </w:rPr>
        <w:t xml:space="preserve"> that appear on their </w:t>
      </w:r>
      <w:r>
        <w:rPr>
          <w:i/>
          <w:lang w:val="en-CA"/>
        </w:rPr>
        <w:t>settlement statement</w:t>
      </w:r>
      <w:r>
        <w:rPr>
          <w:lang w:val="en-CA"/>
        </w:rPr>
        <w:t>.</w:t>
      </w:r>
    </w:p>
    <w:p w14:paraId="4555EF59" w14:textId="77777777" w:rsidR="00DD4B0E" w:rsidRPr="00FE24F9" w:rsidRDefault="00DD4B0E" w:rsidP="00DD4B0E">
      <w:pPr>
        <w:pStyle w:val="Heading5"/>
        <w:spacing w:after="120"/>
        <w:rPr>
          <w:b/>
          <w:i/>
          <w:lang w:val="en-CA"/>
        </w:rPr>
      </w:pPr>
      <w:r w:rsidRPr="00444EB6">
        <w:rPr>
          <w:b/>
          <w:i/>
          <w:lang w:val="en-CA"/>
        </w:rPr>
        <w:t>Transmission Customers</w:t>
      </w:r>
    </w:p>
    <w:p w14:paraId="0CCC0559" w14:textId="77777777" w:rsidR="00DD4B0E" w:rsidRDefault="00DD4B0E" w:rsidP="00DD4B0E">
      <w:pPr>
        <w:pStyle w:val="ListBullet"/>
        <w:numPr>
          <w:ilvl w:val="0"/>
          <w:numId w:val="0"/>
        </w:numPr>
        <w:rPr>
          <w:lang w:val="en-CA"/>
        </w:rPr>
      </w:pPr>
      <w:r>
        <w:rPr>
          <w:lang w:val="en-CA"/>
        </w:rPr>
        <w:t xml:space="preserve">We provide two data files with information relevant to </w:t>
      </w:r>
      <w:r w:rsidRPr="008F5478">
        <w:rPr>
          <w:i/>
          <w:lang w:val="en-CA"/>
        </w:rPr>
        <w:t>transmission customers</w:t>
      </w:r>
      <w:r>
        <w:rPr>
          <w:lang w:val="en-CA"/>
        </w:rPr>
        <w:t>.</w:t>
      </w:r>
    </w:p>
    <w:p w14:paraId="09F5DCE9" w14:textId="77777777" w:rsidR="00DD4B0E" w:rsidRDefault="00DD4B0E" w:rsidP="00DD4B0E">
      <w:pPr>
        <w:pStyle w:val="ListBullet"/>
        <w:numPr>
          <w:ilvl w:val="0"/>
          <w:numId w:val="44"/>
        </w:numPr>
        <w:rPr>
          <w:lang w:val="en-CA"/>
        </w:rPr>
      </w:pPr>
      <w:r>
        <w:rPr>
          <w:lang w:val="en-CA"/>
        </w:rPr>
        <w:t>The “Participant Transmission Tariff Data File</w:t>
      </w:r>
      <w:r>
        <w:rPr>
          <w:rStyle w:val="FootnoteReference"/>
          <w:lang w:val="en-CA"/>
        </w:rPr>
        <w:footnoteReference w:id="15"/>
      </w:r>
      <w:r>
        <w:rPr>
          <w:lang w:val="en-CA"/>
        </w:rPr>
        <w:t xml:space="preserve">” is available to </w:t>
      </w:r>
      <w:r>
        <w:rPr>
          <w:i/>
          <w:lang w:val="en-CA"/>
        </w:rPr>
        <w:t>transmission customers</w:t>
      </w:r>
      <w:r>
        <w:rPr>
          <w:lang w:val="en-CA"/>
        </w:rPr>
        <w:t xml:space="preserve">. This file contains the hourly measurements for each </w:t>
      </w:r>
      <w:r>
        <w:rPr>
          <w:i/>
          <w:lang w:val="en-CA"/>
        </w:rPr>
        <w:t xml:space="preserve">delivery point </w:t>
      </w:r>
      <w:r>
        <w:rPr>
          <w:lang w:val="en-CA"/>
        </w:rPr>
        <w:t xml:space="preserve">defined for transmission </w:t>
      </w:r>
      <w:r>
        <w:rPr>
          <w:lang w:val="en-CA"/>
        </w:rPr>
        <w:lastRenderedPageBreak/>
        <w:t xml:space="preserve">network charges or transmission </w:t>
      </w:r>
      <w:r>
        <w:rPr>
          <w:i/>
          <w:lang w:val="en-CA"/>
        </w:rPr>
        <w:t>connection charges</w:t>
      </w:r>
      <w:r>
        <w:rPr>
          <w:lang w:val="en-CA"/>
        </w:rPr>
        <w:t xml:space="preserve"> associated with a specific </w:t>
      </w:r>
      <w:r>
        <w:rPr>
          <w:i/>
          <w:lang w:val="en-CA"/>
        </w:rPr>
        <w:t>market participant</w:t>
      </w:r>
      <w:r>
        <w:rPr>
          <w:lang w:val="en-CA"/>
        </w:rPr>
        <w:t>.</w:t>
      </w:r>
    </w:p>
    <w:p w14:paraId="38288540" w14:textId="77777777" w:rsidR="00DD4B0E" w:rsidRDefault="00DD4B0E" w:rsidP="00DD4B0E">
      <w:pPr>
        <w:pStyle w:val="ListBullet"/>
        <w:numPr>
          <w:ilvl w:val="0"/>
          <w:numId w:val="44"/>
        </w:numPr>
        <w:rPr>
          <w:i/>
          <w:lang w:val="en-CA"/>
        </w:rPr>
      </w:pPr>
      <w:r>
        <w:rPr>
          <w:lang w:val="en-CA"/>
        </w:rPr>
        <w:t xml:space="preserve">The “Transmission Tariff Peak System Demand Data Report” is available to all </w:t>
      </w:r>
      <w:r>
        <w:rPr>
          <w:i/>
          <w:lang w:val="en-CA"/>
        </w:rPr>
        <w:t>market participants</w:t>
      </w:r>
      <w:r>
        <w:rPr>
          <w:lang w:val="en-CA"/>
        </w:rPr>
        <w:t xml:space="preserve">. This report provides the sum of the hourly measurements across all </w:t>
      </w:r>
      <w:r>
        <w:rPr>
          <w:i/>
          <w:lang w:val="en-CA"/>
        </w:rPr>
        <w:t>delivery points</w:t>
      </w:r>
      <w:r>
        <w:rPr>
          <w:lang w:val="en-CA"/>
        </w:rPr>
        <w:t xml:space="preserve"> defined for transmission network charges for each Trading Date / Hour in the reporting month.  This report provides transparency to </w:t>
      </w:r>
      <w:r>
        <w:rPr>
          <w:i/>
          <w:lang w:val="en-CA"/>
        </w:rPr>
        <w:t>market participants</w:t>
      </w:r>
      <w:r>
        <w:rPr>
          <w:lang w:val="en-CA"/>
        </w:rPr>
        <w:t xml:space="preserve"> regarding the measurements that form the basis for our determination of the peak system </w:t>
      </w:r>
      <w:r>
        <w:rPr>
          <w:i/>
          <w:lang w:val="en-CA"/>
        </w:rPr>
        <w:t>demand</w:t>
      </w:r>
      <w:r>
        <w:rPr>
          <w:lang w:val="en-CA"/>
        </w:rPr>
        <w:t xml:space="preserve"> used to calculate </w:t>
      </w:r>
      <w:r>
        <w:rPr>
          <w:i/>
          <w:lang w:val="en-CA"/>
        </w:rPr>
        <w:t>transmission charges</w:t>
      </w:r>
      <w:r>
        <w:rPr>
          <w:rStyle w:val="FootnoteReference"/>
          <w:lang w:val="en-CA"/>
        </w:rPr>
        <w:footnoteReference w:id="16"/>
      </w:r>
      <w:r>
        <w:rPr>
          <w:i/>
          <w:lang w:val="en-CA"/>
        </w:rPr>
        <w:t>.</w:t>
      </w:r>
    </w:p>
    <w:p w14:paraId="058CC158" w14:textId="77777777" w:rsidR="00DD4B0E" w:rsidRPr="00FE24F9" w:rsidRDefault="00DD4B0E" w:rsidP="00DD4B0E">
      <w:pPr>
        <w:pStyle w:val="Heading5"/>
        <w:spacing w:after="120"/>
        <w:rPr>
          <w:b/>
          <w:i/>
          <w:lang w:val="en-CA"/>
        </w:rPr>
      </w:pPr>
      <w:r w:rsidRPr="00444EB6">
        <w:rPr>
          <w:b/>
          <w:i/>
          <w:lang w:val="en-CA"/>
        </w:rPr>
        <w:t>Transmitters</w:t>
      </w:r>
    </w:p>
    <w:p w14:paraId="03E1FF53" w14:textId="77777777" w:rsidR="00DD4B0E" w:rsidRDefault="00DD4B0E" w:rsidP="00DD4B0E">
      <w:pPr>
        <w:pStyle w:val="ListBullet"/>
        <w:numPr>
          <w:ilvl w:val="0"/>
          <w:numId w:val="0"/>
        </w:numPr>
        <w:rPr>
          <w:lang w:val="en-CA"/>
        </w:rPr>
      </w:pPr>
      <w:r>
        <w:rPr>
          <w:lang w:val="en-CA"/>
        </w:rPr>
        <w:t xml:space="preserve">We provide two data files with information relevant to </w:t>
      </w:r>
      <w:r w:rsidRPr="00DA3379">
        <w:rPr>
          <w:i/>
          <w:lang w:val="en-CA"/>
        </w:rPr>
        <w:t>transmitters</w:t>
      </w:r>
      <w:r>
        <w:rPr>
          <w:lang w:val="en-CA"/>
        </w:rPr>
        <w:t>:</w:t>
      </w:r>
    </w:p>
    <w:p w14:paraId="100CC907" w14:textId="77777777" w:rsidR="00DD4B0E" w:rsidRDefault="00DD4B0E" w:rsidP="00DD4B0E">
      <w:pPr>
        <w:pStyle w:val="ListBullet"/>
        <w:numPr>
          <w:ilvl w:val="0"/>
          <w:numId w:val="46"/>
        </w:numPr>
        <w:rPr>
          <w:lang w:val="en-CA"/>
        </w:rPr>
      </w:pPr>
      <w:r>
        <w:rPr>
          <w:lang w:val="en-CA"/>
        </w:rPr>
        <w:t>the “Transmitter Transmission Tariff Data File” which contains:</w:t>
      </w:r>
    </w:p>
    <w:p w14:paraId="5588DC05" w14:textId="77777777" w:rsidR="00DD4B0E" w:rsidRDefault="00DD4B0E" w:rsidP="00DD4B0E">
      <w:pPr>
        <w:pStyle w:val="ListBullet"/>
        <w:numPr>
          <w:ilvl w:val="1"/>
          <w:numId w:val="46"/>
        </w:numPr>
        <w:rPr>
          <w:lang w:val="en-CA"/>
        </w:rPr>
      </w:pPr>
      <w:r>
        <w:rPr>
          <w:lang w:val="en-CA"/>
        </w:rPr>
        <w:t xml:space="preserve">the hourly measurements for every </w:t>
      </w:r>
      <w:r>
        <w:rPr>
          <w:i/>
          <w:lang w:val="en-CA"/>
        </w:rPr>
        <w:t>delivery point</w:t>
      </w:r>
      <w:r>
        <w:rPr>
          <w:lang w:val="en-CA"/>
        </w:rPr>
        <w:t xml:space="preserve"> defined for transmission network charges; or</w:t>
      </w:r>
    </w:p>
    <w:p w14:paraId="7E6D9AC8" w14:textId="77777777" w:rsidR="00DD4B0E" w:rsidRDefault="00DD4B0E" w:rsidP="00DD4B0E">
      <w:pPr>
        <w:pStyle w:val="ListBullet"/>
        <w:numPr>
          <w:ilvl w:val="1"/>
          <w:numId w:val="46"/>
        </w:numPr>
        <w:rPr>
          <w:lang w:val="en-CA"/>
        </w:rPr>
      </w:pPr>
      <w:r>
        <w:rPr>
          <w:lang w:val="en-CA"/>
        </w:rPr>
        <w:t xml:space="preserve">transmission </w:t>
      </w:r>
      <w:r>
        <w:rPr>
          <w:i/>
          <w:lang w:val="en-CA"/>
        </w:rPr>
        <w:t>connection charges</w:t>
      </w:r>
      <w:r>
        <w:rPr>
          <w:lang w:val="en-CA"/>
        </w:rPr>
        <w:t xml:space="preserve"> for which the </w:t>
      </w:r>
      <w:r>
        <w:rPr>
          <w:i/>
          <w:lang w:val="en-CA"/>
        </w:rPr>
        <w:t>transmitter</w:t>
      </w:r>
      <w:r>
        <w:rPr>
          <w:lang w:val="en-CA"/>
        </w:rPr>
        <w:t xml:space="preserve"> is associated as the </w:t>
      </w:r>
      <w:r>
        <w:rPr>
          <w:i/>
          <w:lang w:val="en-CA"/>
        </w:rPr>
        <w:t>transmitter</w:t>
      </w:r>
      <w:r>
        <w:rPr>
          <w:lang w:val="en-CA"/>
        </w:rPr>
        <w:t xml:space="preserve"> during the </w:t>
      </w:r>
      <w:r>
        <w:rPr>
          <w:i/>
          <w:lang w:val="en-CA"/>
        </w:rPr>
        <w:t>meter</w:t>
      </w:r>
      <w:r>
        <w:rPr>
          <w:lang w:val="en-CA"/>
        </w:rPr>
        <w:t xml:space="preserve"> registration process; and</w:t>
      </w:r>
    </w:p>
    <w:p w14:paraId="4DD7EB3C" w14:textId="77777777" w:rsidR="00DD4B0E" w:rsidRDefault="00DD4B0E" w:rsidP="00DD4B0E">
      <w:pPr>
        <w:pStyle w:val="ListBullet"/>
        <w:numPr>
          <w:ilvl w:val="0"/>
          <w:numId w:val="46"/>
        </w:numPr>
        <w:rPr>
          <w:lang w:val="en-CA"/>
        </w:rPr>
      </w:pPr>
      <w:r>
        <w:rPr>
          <w:lang w:val="en-CA"/>
        </w:rPr>
        <w:t xml:space="preserve">the “Transmitter Reconciliation Data File” which contains debit charge details (the </w:t>
      </w:r>
      <w:r>
        <w:rPr>
          <w:i/>
          <w:lang w:val="en-CA"/>
        </w:rPr>
        <w:t>transmitter</w:t>
      </w:r>
      <w:r>
        <w:rPr>
          <w:lang w:val="en-CA"/>
        </w:rPr>
        <w:t xml:space="preserve"> uses the information in this file to verify that the </w:t>
      </w:r>
      <w:r>
        <w:rPr>
          <w:i/>
          <w:lang w:val="en-CA"/>
        </w:rPr>
        <w:t>transmission tariff</w:t>
      </w:r>
      <w:r>
        <w:rPr>
          <w:lang w:val="en-CA"/>
        </w:rPr>
        <w:t xml:space="preserve"> credits reflect the appropriate collection of </w:t>
      </w:r>
      <w:r>
        <w:rPr>
          <w:i/>
          <w:lang w:val="en-CA"/>
        </w:rPr>
        <w:t>transmission tariff</w:t>
      </w:r>
      <w:r>
        <w:rPr>
          <w:lang w:val="en-CA"/>
        </w:rPr>
        <w:t xml:space="preserve"> charges from every </w:t>
      </w:r>
      <w:r>
        <w:rPr>
          <w:i/>
          <w:lang w:val="en-CA"/>
        </w:rPr>
        <w:t>transmission customer</w:t>
      </w:r>
      <w:r>
        <w:rPr>
          <w:lang w:val="en-CA"/>
        </w:rPr>
        <w:t xml:space="preserve"> at every </w:t>
      </w:r>
      <w:r>
        <w:rPr>
          <w:i/>
          <w:lang w:val="en-CA"/>
        </w:rPr>
        <w:t>transmission</w:t>
      </w:r>
      <w:r>
        <w:rPr>
          <w:lang w:val="en-CA"/>
        </w:rPr>
        <w:t xml:space="preserve"> </w:t>
      </w:r>
      <w:r>
        <w:rPr>
          <w:i/>
          <w:lang w:val="en-CA"/>
        </w:rPr>
        <w:t>delivery point</w:t>
      </w:r>
      <w:r>
        <w:rPr>
          <w:lang w:val="en-CA"/>
        </w:rPr>
        <w:t xml:space="preserve"> as specified by the </w:t>
      </w:r>
      <w:r>
        <w:rPr>
          <w:i/>
          <w:lang w:val="en-CA"/>
        </w:rPr>
        <w:t>transmitter</w:t>
      </w:r>
      <w:r w:rsidRPr="00E54AD1">
        <w:rPr>
          <w:rStyle w:val="FootnoteReference"/>
          <w:lang w:val="en-CA"/>
        </w:rPr>
        <w:footnoteReference w:id="17"/>
      </w:r>
      <w:r>
        <w:rPr>
          <w:lang w:val="en-CA"/>
        </w:rPr>
        <w:t>).</w:t>
      </w:r>
    </w:p>
    <w:p w14:paraId="6F682AF2" w14:textId="77777777" w:rsidR="00855CB7" w:rsidRDefault="00855CB7">
      <w:pPr>
        <w:pStyle w:val="Heading2"/>
        <w:rPr>
          <w:lang w:val="en-CA"/>
        </w:rPr>
      </w:pPr>
      <w:bookmarkStart w:id="116" w:name="_Toc35796325"/>
      <w:bookmarkStart w:id="117" w:name="_Toc79657926"/>
      <w:r>
        <w:rPr>
          <w:lang w:val="en-CA"/>
        </w:rPr>
        <w:t>Settlement Delays</w:t>
      </w:r>
      <w:bookmarkEnd w:id="112"/>
      <w:bookmarkEnd w:id="113"/>
      <w:bookmarkEnd w:id="114"/>
      <w:bookmarkEnd w:id="116"/>
      <w:bookmarkEnd w:id="117"/>
    </w:p>
    <w:p w14:paraId="0A447111" w14:textId="77777777" w:rsidR="00855CB7" w:rsidRDefault="00855CB7">
      <w:pPr>
        <w:pStyle w:val="Heading3"/>
        <w:rPr>
          <w:lang w:val="en-CA"/>
        </w:rPr>
      </w:pPr>
      <w:bookmarkStart w:id="118" w:name="_Toc175383880"/>
      <w:bookmarkStart w:id="119" w:name="_Toc400369500"/>
      <w:bookmarkStart w:id="120" w:name="_Toc35796326"/>
      <w:bookmarkStart w:id="121" w:name="_Toc79657927"/>
      <w:r>
        <w:rPr>
          <w:lang w:val="en-CA"/>
        </w:rPr>
        <w:t>Delay in Issuing Settlement Statements</w:t>
      </w:r>
      <w:bookmarkEnd w:id="118"/>
      <w:bookmarkEnd w:id="119"/>
      <w:bookmarkEnd w:id="120"/>
      <w:bookmarkEnd w:id="121"/>
    </w:p>
    <w:p w14:paraId="7EB2430F" w14:textId="77777777" w:rsidR="00855CB7" w:rsidRDefault="002E64EC">
      <w:pPr>
        <w:pStyle w:val="BodyText"/>
        <w:rPr>
          <w:lang w:val="en-CA"/>
        </w:rPr>
      </w:pPr>
      <w:r>
        <w:rPr>
          <w:lang w:val="en-CA"/>
        </w:rPr>
        <w:t xml:space="preserve">We may delay issuing your </w:t>
      </w:r>
      <w:r w:rsidR="00855CB7">
        <w:rPr>
          <w:i/>
          <w:lang w:val="en-CA"/>
        </w:rPr>
        <w:t>preliminary settlement statement</w:t>
      </w:r>
      <w:r w:rsidR="00855CB7">
        <w:rPr>
          <w:lang w:val="en-CA"/>
        </w:rPr>
        <w:t xml:space="preserve"> </w:t>
      </w:r>
      <w:r>
        <w:rPr>
          <w:lang w:val="en-CA"/>
        </w:rPr>
        <w:t xml:space="preserve">and the subsequent </w:t>
      </w:r>
      <w:r>
        <w:rPr>
          <w:i/>
          <w:lang w:val="en-CA"/>
        </w:rPr>
        <w:t>final settlement statement</w:t>
      </w:r>
      <w:r>
        <w:rPr>
          <w:lang w:val="en-CA"/>
        </w:rPr>
        <w:t xml:space="preserve"> </w:t>
      </w:r>
      <w:r w:rsidR="00855CB7">
        <w:rPr>
          <w:lang w:val="en-CA"/>
        </w:rPr>
        <w:t xml:space="preserve">for a </w:t>
      </w:r>
      <w:r w:rsidR="00855CB7">
        <w:rPr>
          <w:i/>
          <w:lang w:val="en-CA"/>
        </w:rPr>
        <w:t>trading day</w:t>
      </w:r>
      <w:r w:rsidR="00855CB7">
        <w:rPr>
          <w:lang w:val="en-CA"/>
        </w:rPr>
        <w:t xml:space="preserve"> from the dates specified in the </w:t>
      </w:r>
      <w:r w:rsidR="00855CB7">
        <w:rPr>
          <w:i/>
          <w:lang w:val="en-CA"/>
        </w:rPr>
        <w:t>SSPC</w:t>
      </w:r>
      <w:r w:rsidRPr="002E64EC">
        <w:rPr>
          <w:lang w:val="en-CA"/>
        </w:rPr>
        <w:t xml:space="preserve"> </w:t>
      </w:r>
      <w:r>
        <w:rPr>
          <w:lang w:val="en-CA"/>
        </w:rPr>
        <w:t>where we determine that significant inaccuracies exist</w:t>
      </w:r>
      <w:r w:rsidR="00855CB7">
        <w:rPr>
          <w:lang w:val="en-CA"/>
        </w:rPr>
        <w:t xml:space="preserve">. In such a situation, </w:t>
      </w:r>
      <w:r>
        <w:rPr>
          <w:lang w:val="en-CA"/>
        </w:rPr>
        <w:t>we</w:t>
      </w:r>
      <w:r w:rsidR="00855CB7">
        <w:rPr>
          <w:lang w:val="en-CA"/>
        </w:rPr>
        <w:t xml:space="preserve"> will </w:t>
      </w:r>
      <w:r w:rsidR="00855CB7">
        <w:rPr>
          <w:i/>
          <w:lang w:val="en-CA"/>
        </w:rPr>
        <w:t>publish</w:t>
      </w:r>
      <w:r w:rsidR="00855CB7">
        <w:rPr>
          <w:lang w:val="en-CA"/>
        </w:rPr>
        <w:t xml:space="preserve"> a notice of delay that details:</w:t>
      </w:r>
    </w:p>
    <w:p w14:paraId="17C384E5" w14:textId="77777777" w:rsidR="00855CB7" w:rsidRDefault="005947B5">
      <w:pPr>
        <w:pStyle w:val="ListBullet"/>
        <w:rPr>
          <w:lang w:val="en-CA"/>
        </w:rPr>
      </w:pPr>
      <w:r>
        <w:rPr>
          <w:lang w:val="en-CA"/>
        </w:rPr>
        <w:t xml:space="preserve">the </w:t>
      </w:r>
      <w:r w:rsidR="00855CB7">
        <w:rPr>
          <w:lang w:val="en-CA"/>
        </w:rPr>
        <w:t xml:space="preserve">date on which </w:t>
      </w:r>
      <w:r w:rsidR="002E64EC">
        <w:rPr>
          <w:lang w:val="en-CA"/>
        </w:rPr>
        <w:t xml:space="preserve">your </w:t>
      </w:r>
      <w:r w:rsidR="00855CB7">
        <w:rPr>
          <w:i/>
          <w:lang w:val="en-CA"/>
        </w:rPr>
        <w:t>preliminary settlement statement</w:t>
      </w:r>
      <w:r w:rsidR="00855CB7">
        <w:rPr>
          <w:lang w:val="en-CA"/>
        </w:rPr>
        <w:t xml:space="preserve"> will now be issued;</w:t>
      </w:r>
    </w:p>
    <w:p w14:paraId="42CE1524" w14:textId="77777777" w:rsidR="00855CB7" w:rsidRDefault="005947B5">
      <w:pPr>
        <w:pStyle w:val="ListBullet"/>
        <w:rPr>
          <w:lang w:val="en-CA"/>
        </w:rPr>
      </w:pPr>
      <w:r>
        <w:rPr>
          <w:lang w:val="en-CA"/>
        </w:rPr>
        <w:t xml:space="preserve">the </w:t>
      </w:r>
      <w:r w:rsidR="00855CB7">
        <w:rPr>
          <w:lang w:val="en-CA"/>
        </w:rPr>
        <w:t xml:space="preserve">date by </w:t>
      </w:r>
      <w:r w:rsidR="00855CB7" w:rsidRPr="002E64EC">
        <w:rPr>
          <w:lang w:val="en-CA"/>
        </w:rPr>
        <w:t xml:space="preserve">which </w:t>
      </w:r>
      <w:r w:rsidR="002E64EC" w:rsidRPr="002E64EC">
        <w:rPr>
          <w:lang w:val="en-CA"/>
        </w:rPr>
        <w:t>you</w:t>
      </w:r>
      <w:r w:rsidR="00855CB7" w:rsidRPr="002E64EC">
        <w:rPr>
          <w:lang w:val="en-CA"/>
        </w:rPr>
        <w:t xml:space="preserve"> must</w:t>
      </w:r>
      <w:r w:rsidR="00855CB7">
        <w:rPr>
          <w:lang w:val="en-CA"/>
        </w:rPr>
        <w:t xml:space="preserve"> raise a </w:t>
      </w:r>
      <w:r w:rsidR="00855CB7">
        <w:rPr>
          <w:i/>
          <w:lang w:val="en-CA"/>
        </w:rPr>
        <w:t xml:space="preserve">notice of disagreement </w:t>
      </w:r>
      <w:r w:rsidR="00855CB7">
        <w:rPr>
          <w:lang w:val="en-CA"/>
        </w:rPr>
        <w:t xml:space="preserve">with regard to the </w:t>
      </w:r>
      <w:r w:rsidR="00855CB7">
        <w:rPr>
          <w:i/>
          <w:lang w:val="en-CA"/>
        </w:rPr>
        <w:t>preliminary settlement statement,</w:t>
      </w:r>
      <w:r w:rsidR="00855CB7">
        <w:rPr>
          <w:lang w:val="en-CA"/>
        </w:rPr>
        <w:t xml:space="preserve"> which </w:t>
      </w:r>
      <w:r w:rsidR="002E64EC">
        <w:rPr>
          <w:lang w:val="en-CA"/>
        </w:rPr>
        <w:t xml:space="preserve">will be </w:t>
      </w:r>
      <w:r w:rsidR="00855CB7">
        <w:rPr>
          <w:lang w:val="en-CA"/>
        </w:rPr>
        <w:t xml:space="preserve">four </w:t>
      </w:r>
      <w:r w:rsidR="00855CB7">
        <w:rPr>
          <w:i/>
          <w:lang w:val="en-CA"/>
        </w:rPr>
        <w:t>business days</w:t>
      </w:r>
      <w:r w:rsidR="00855CB7">
        <w:rPr>
          <w:lang w:val="en-CA"/>
        </w:rPr>
        <w:t xml:space="preserve"> after the date that the </w:t>
      </w:r>
      <w:r w:rsidR="00855CB7">
        <w:rPr>
          <w:i/>
          <w:lang w:val="en-CA"/>
        </w:rPr>
        <w:t>statement</w:t>
      </w:r>
      <w:r w:rsidR="00855CB7">
        <w:rPr>
          <w:lang w:val="en-CA"/>
        </w:rPr>
        <w:t xml:space="preserve"> is issued</w:t>
      </w:r>
      <w:r w:rsidR="002E64EC">
        <w:rPr>
          <w:rStyle w:val="FootnoteReference"/>
          <w:lang w:val="en-CA"/>
        </w:rPr>
        <w:footnoteReference w:id="18"/>
      </w:r>
      <w:r w:rsidR="00855CB7">
        <w:rPr>
          <w:lang w:val="en-CA"/>
        </w:rPr>
        <w:t>;</w:t>
      </w:r>
    </w:p>
    <w:p w14:paraId="770DD8A5" w14:textId="77777777" w:rsidR="00855CB7" w:rsidRDefault="005947B5">
      <w:pPr>
        <w:pStyle w:val="ListBullet"/>
        <w:rPr>
          <w:lang w:val="en-CA"/>
        </w:rPr>
      </w:pPr>
      <w:r>
        <w:rPr>
          <w:lang w:val="en-CA"/>
        </w:rPr>
        <w:t xml:space="preserve">the </w:t>
      </w:r>
      <w:r w:rsidR="00855CB7">
        <w:rPr>
          <w:lang w:val="en-CA"/>
        </w:rPr>
        <w:t xml:space="preserve">date on which </w:t>
      </w:r>
      <w:r w:rsidR="002E64EC">
        <w:rPr>
          <w:lang w:val="en-CA"/>
        </w:rPr>
        <w:t xml:space="preserve">your </w:t>
      </w:r>
      <w:r w:rsidR="00855CB7">
        <w:rPr>
          <w:i/>
          <w:lang w:val="en-CA"/>
        </w:rPr>
        <w:t>final settlement statement</w:t>
      </w:r>
      <w:r w:rsidR="00855CB7">
        <w:rPr>
          <w:lang w:val="en-CA"/>
        </w:rPr>
        <w:t xml:space="preserve"> will now be issued; and</w:t>
      </w:r>
    </w:p>
    <w:p w14:paraId="693D3896" w14:textId="77777777" w:rsidR="00855CB7" w:rsidRDefault="005947B5">
      <w:pPr>
        <w:pStyle w:val="ListBullet"/>
        <w:rPr>
          <w:lang w:val="en-CA"/>
        </w:rPr>
      </w:pPr>
      <w:r>
        <w:rPr>
          <w:lang w:val="en-CA"/>
        </w:rPr>
        <w:t xml:space="preserve">whether </w:t>
      </w:r>
      <w:r w:rsidR="002E64EC">
        <w:rPr>
          <w:lang w:val="en-CA"/>
        </w:rPr>
        <w:t>we</w:t>
      </w:r>
      <w:r w:rsidR="00855CB7">
        <w:rPr>
          <w:lang w:val="en-CA"/>
        </w:rPr>
        <w:t xml:space="preserve"> intend to invoke the estimated </w:t>
      </w:r>
      <w:r w:rsidR="00855CB7">
        <w:rPr>
          <w:i/>
          <w:lang w:val="en-CA"/>
        </w:rPr>
        <w:t>invoice</w:t>
      </w:r>
      <w:r w:rsidR="00855CB7">
        <w:rPr>
          <w:lang w:val="en-CA"/>
        </w:rPr>
        <w:t xml:space="preserve"> process</w:t>
      </w:r>
      <w:r w:rsidR="002E64EC">
        <w:rPr>
          <w:rStyle w:val="FootnoteReference"/>
          <w:lang w:val="en-CA"/>
        </w:rPr>
        <w:footnoteReference w:id="19"/>
      </w:r>
      <w:r w:rsidR="00855CB7">
        <w:rPr>
          <w:lang w:val="en-CA"/>
        </w:rPr>
        <w:t>.</w:t>
      </w:r>
    </w:p>
    <w:p w14:paraId="6CB0BC10" w14:textId="77777777" w:rsidR="00855CB7" w:rsidRDefault="00AA2259">
      <w:pPr>
        <w:pStyle w:val="BodyText"/>
        <w:rPr>
          <w:lang w:val="en-CA"/>
        </w:rPr>
      </w:pPr>
      <w:r>
        <w:rPr>
          <w:lang w:val="en-CA"/>
        </w:rPr>
        <w:t xml:space="preserve">If we experience a </w:t>
      </w:r>
      <w:r w:rsidR="00855CB7">
        <w:rPr>
          <w:lang w:val="en-CA"/>
        </w:rPr>
        <w:t xml:space="preserve">delay </w:t>
      </w:r>
      <w:r w:rsidR="007800AB">
        <w:rPr>
          <w:lang w:val="en-CA"/>
        </w:rPr>
        <w:t xml:space="preserve">in issuing a </w:t>
      </w:r>
      <w:r w:rsidR="00855CB7">
        <w:rPr>
          <w:i/>
          <w:lang w:val="en-CA"/>
        </w:rPr>
        <w:t>preliminary settlement statement</w:t>
      </w:r>
      <w:r>
        <w:rPr>
          <w:lang w:val="en-CA"/>
        </w:rPr>
        <w:t>,</w:t>
      </w:r>
      <w:r w:rsidR="00855CB7">
        <w:rPr>
          <w:lang w:val="en-CA"/>
        </w:rPr>
        <w:t xml:space="preserve"> </w:t>
      </w:r>
      <w:r>
        <w:rPr>
          <w:lang w:val="en-CA"/>
        </w:rPr>
        <w:t xml:space="preserve">it </w:t>
      </w:r>
      <w:r w:rsidR="00855CB7">
        <w:rPr>
          <w:lang w:val="en-CA"/>
        </w:rPr>
        <w:t xml:space="preserve">may impact </w:t>
      </w:r>
      <w:r>
        <w:rPr>
          <w:lang w:val="en-CA"/>
        </w:rPr>
        <w:t xml:space="preserve">the date that we issue </w:t>
      </w:r>
      <w:r w:rsidR="00855CB7">
        <w:rPr>
          <w:lang w:val="en-CA"/>
        </w:rPr>
        <w:t xml:space="preserve">the subsequent </w:t>
      </w:r>
      <w:r w:rsidR="00855CB7">
        <w:rPr>
          <w:i/>
          <w:lang w:val="en-CA"/>
        </w:rPr>
        <w:t>final settlement statement</w:t>
      </w:r>
      <w:r w:rsidR="00855CB7">
        <w:rPr>
          <w:lang w:val="en-CA"/>
        </w:rPr>
        <w:t xml:space="preserve"> for that </w:t>
      </w:r>
      <w:r w:rsidR="00855CB7">
        <w:rPr>
          <w:i/>
          <w:lang w:val="en-CA"/>
        </w:rPr>
        <w:t>trading day</w:t>
      </w:r>
      <w:r w:rsidR="00855CB7">
        <w:rPr>
          <w:lang w:val="en-CA"/>
        </w:rPr>
        <w:t xml:space="preserve"> as well as </w:t>
      </w:r>
      <w:r w:rsidR="00855CB7">
        <w:rPr>
          <w:i/>
          <w:lang w:val="en-CA"/>
        </w:rPr>
        <w:t>preliminary</w:t>
      </w:r>
      <w:r w:rsidR="00855CB7">
        <w:rPr>
          <w:lang w:val="en-CA"/>
        </w:rPr>
        <w:t xml:space="preserve"> and </w:t>
      </w:r>
      <w:r w:rsidR="00855CB7">
        <w:rPr>
          <w:i/>
          <w:lang w:val="en-CA"/>
        </w:rPr>
        <w:t xml:space="preserve">final </w:t>
      </w:r>
      <w:r w:rsidR="00855CB7">
        <w:rPr>
          <w:i/>
          <w:lang w:val="en-CA"/>
        </w:rPr>
        <w:lastRenderedPageBreak/>
        <w:t>settlement statements</w:t>
      </w:r>
      <w:r w:rsidR="00855CB7">
        <w:rPr>
          <w:lang w:val="en-CA"/>
        </w:rPr>
        <w:t xml:space="preserve"> for subsequent </w:t>
      </w:r>
      <w:r w:rsidR="00855CB7">
        <w:rPr>
          <w:i/>
          <w:lang w:val="en-CA"/>
        </w:rPr>
        <w:t>trading days</w:t>
      </w:r>
      <w:r w:rsidR="00855CB7">
        <w:rPr>
          <w:lang w:val="en-CA"/>
        </w:rPr>
        <w:t xml:space="preserve">.  Where this is the case, </w:t>
      </w:r>
      <w:r w:rsidR="007800AB">
        <w:rPr>
          <w:lang w:val="en-CA"/>
        </w:rPr>
        <w:t>we</w:t>
      </w:r>
      <w:r w:rsidR="00855CB7">
        <w:rPr>
          <w:lang w:val="en-CA"/>
        </w:rPr>
        <w:t xml:space="preserve"> will ensure that the notice </w:t>
      </w:r>
      <w:r w:rsidR="00AC2193">
        <w:rPr>
          <w:lang w:val="en-CA"/>
        </w:rPr>
        <w:t xml:space="preserve">of delay applies </w:t>
      </w:r>
      <w:r w:rsidR="00855CB7">
        <w:rPr>
          <w:lang w:val="en-CA"/>
        </w:rPr>
        <w:t xml:space="preserve">to the </w:t>
      </w:r>
      <w:r w:rsidR="00855CB7">
        <w:rPr>
          <w:i/>
          <w:lang w:val="en-CA"/>
        </w:rPr>
        <w:t>settlement statements</w:t>
      </w:r>
      <w:r w:rsidR="00855CB7">
        <w:rPr>
          <w:lang w:val="en-CA"/>
        </w:rPr>
        <w:t xml:space="preserve"> for each </w:t>
      </w:r>
      <w:r w:rsidR="00855CB7">
        <w:rPr>
          <w:i/>
          <w:lang w:val="en-CA"/>
        </w:rPr>
        <w:t>trading day</w:t>
      </w:r>
      <w:r w:rsidR="00855CB7">
        <w:rPr>
          <w:lang w:val="en-CA"/>
        </w:rPr>
        <w:t xml:space="preserve"> impacted by the delay.</w:t>
      </w:r>
    </w:p>
    <w:p w14:paraId="532BAF64" w14:textId="77777777" w:rsidR="00855CB7" w:rsidRDefault="00855CB7">
      <w:pPr>
        <w:rPr>
          <w:snapToGrid w:val="0"/>
          <w:lang w:val="en-CA" w:eastAsia="en-US"/>
        </w:rPr>
      </w:pPr>
      <w:r>
        <w:rPr>
          <w:lang w:val="en-CA"/>
        </w:rPr>
        <w:t xml:space="preserve">The notice of delay will be </w:t>
      </w:r>
      <w:r>
        <w:rPr>
          <w:i/>
          <w:lang w:val="en-CA"/>
        </w:rPr>
        <w:t>published</w:t>
      </w:r>
      <w:r>
        <w:rPr>
          <w:lang w:val="en-CA"/>
        </w:rPr>
        <w:t xml:space="preserve"> on </w:t>
      </w:r>
      <w:r w:rsidR="00AC2193">
        <w:rPr>
          <w:lang w:val="en-CA"/>
        </w:rPr>
        <w:t>our web-</w:t>
      </w:r>
      <w:r>
        <w:rPr>
          <w:lang w:val="en-CA"/>
        </w:rPr>
        <w:t xml:space="preserve">site.  The </w:t>
      </w:r>
      <w:r>
        <w:rPr>
          <w:snapToGrid w:val="0"/>
          <w:lang w:val="en-CA" w:eastAsia="en-US"/>
        </w:rPr>
        <w:t xml:space="preserve">notice of delay will also be sent by email to the </w:t>
      </w:r>
      <w:r>
        <w:rPr>
          <w:i/>
          <w:snapToGrid w:val="0"/>
          <w:lang w:val="en-CA" w:eastAsia="en-US"/>
        </w:rPr>
        <w:t>settlements</w:t>
      </w:r>
      <w:r>
        <w:rPr>
          <w:snapToGrid w:val="0"/>
          <w:lang w:val="en-CA" w:eastAsia="en-US"/>
        </w:rPr>
        <w:t xml:space="preserve"> contact of all </w:t>
      </w:r>
      <w:r>
        <w:rPr>
          <w:i/>
          <w:snapToGrid w:val="0"/>
          <w:lang w:val="en-CA" w:eastAsia="en-US"/>
        </w:rPr>
        <w:t>market participants</w:t>
      </w:r>
      <w:r>
        <w:rPr>
          <w:snapToGrid w:val="0"/>
          <w:lang w:val="en-CA" w:eastAsia="en-US"/>
        </w:rPr>
        <w:t>.</w:t>
      </w:r>
    </w:p>
    <w:p w14:paraId="4DF479A7" w14:textId="77777777" w:rsidR="00855CB7" w:rsidRDefault="00855CB7">
      <w:pPr>
        <w:pStyle w:val="Heading3"/>
        <w:rPr>
          <w:snapToGrid w:val="0"/>
          <w:lang w:val="en-CA" w:eastAsia="en-US"/>
        </w:rPr>
      </w:pPr>
      <w:bookmarkStart w:id="122" w:name="_Toc175383881"/>
      <w:bookmarkStart w:id="123" w:name="_Toc400369501"/>
      <w:bookmarkStart w:id="124" w:name="_Toc35796327"/>
      <w:bookmarkStart w:id="125" w:name="_Toc79657928"/>
      <w:r>
        <w:rPr>
          <w:snapToGrid w:val="0"/>
          <w:lang w:val="en-CA" w:eastAsia="en-US"/>
        </w:rPr>
        <w:t>Failure of Communication System</w:t>
      </w:r>
      <w:bookmarkEnd w:id="122"/>
      <w:bookmarkEnd w:id="123"/>
      <w:bookmarkEnd w:id="124"/>
      <w:bookmarkEnd w:id="125"/>
    </w:p>
    <w:p w14:paraId="36EBCBD8" w14:textId="77777777" w:rsidR="00986CD4" w:rsidRDefault="00052E17">
      <w:pPr>
        <w:rPr>
          <w:lang w:val="en-CA"/>
        </w:rPr>
      </w:pPr>
      <w:r>
        <w:rPr>
          <w:lang w:val="en-CA"/>
        </w:rPr>
        <w:t>If</w:t>
      </w:r>
      <w:r w:rsidR="00855CB7">
        <w:rPr>
          <w:lang w:val="en-CA"/>
        </w:rPr>
        <w:t xml:space="preserve"> the</w:t>
      </w:r>
      <w:r w:rsidR="000B6749">
        <w:rPr>
          <w:lang w:val="en-CA"/>
        </w:rPr>
        <w:t xml:space="preserve"> </w:t>
      </w:r>
      <w:r w:rsidR="00855CB7">
        <w:rPr>
          <w:lang w:val="en-CA"/>
        </w:rPr>
        <w:t xml:space="preserve">communication system </w:t>
      </w:r>
      <w:r w:rsidR="000B6749">
        <w:rPr>
          <w:lang w:val="en-CA"/>
        </w:rPr>
        <w:t xml:space="preserve">fails </w:t>
      </w:r>
      <w:r>
        <w:rPr>
          <w:lang w:val="en-CA"/>
        </w:rPr>
        <w:t xml:space="preserve">so </w:t>
      </w:r>
      <w:r w:rsidR="00855CB7">
        <w:rPr>
          <w:lang w:val="en-CA"/>
        </w:rPr>
        <w:t xml:space="preserve">that </w:t>
      </w:r>
      <w:r w:rsidR="000B6749">
        <w:rPr>
          <w:lang w:val="en-CA"/>
        </w:rPr>
        <w:t xml:space="preserve">we cannot issue </w:t>
      </w:r>
      <w:r w:rsidR="00855CB7">
        <w:rPr>
          <w:i/>
          <w:lang w:val="en-CA"/>
        </w:rPr>
        <w:t>settlement statements</w:t>
      </w:r>
      <w:r w:rsidR="00855CB7">
        <w:rPr>
          <w:lang w:val="en-CA"/>
        </w:rPr>
        <w:t xml:space="preserve"> </w:t>
      </w:r>
      <w:r w:rsidR="000B6749">
        <w:rPr>
          <w:lang w:val="en-CA"/>
        </w:rPr>
        <w:t xml:space="preserve">using </w:t>
      </w:r>
      <w:r w:rsidR="00855CB7">
        <w:rPr>
          <w:lang w:val="en-CA"/>
        </w:rPr>
        <w:t xml:space="preserve">the </w:t>
      </w:r>
      <w:r w:rsidR="00855CB7">
        <w:rPr>
          <w:i/>
          <w:lang w:val="en-CA"/>
        </w:rPr>
        <w:t>electronic information system</w:t>
      </w:r>
      <w:r w:rsidR="00855CB7">
        <w:rPr>
          <w:lang w:val="en-CA"/>
        </w:rPr>
        <w:t xml:space="preserve">, </w:t>
      </w:r>
      <w:r w:rsidR="000B6749">
        <w:rPr>
          <w:lang w:val="en-CA"/>
        </w:rPr>
        <w:t xml:space="preserve">we will </w:t>
      </w:r>
      <w:r>
        <w:rPr>
          <w:lang w:val="en-CA"/>
        </w:rPr>
        <w:t>notify</w:t>
      </w:r>
      <w:r w:rsidR="00855CB7">
        <w:rPr>
          <w:lang w:val="en-CA"/>
        </w:rPr>
        <w:t xml:space="preserve"> </w:t>
      </w:r>
      <w:r w:rsidR="00AA2259">
        <w:rPr>
          <w:lang w:val="en-CA"/>
        </w:rPr>
        <w:t xml:space="preserve">your </w:t>
      </w:r>
      <w:r w:rsidR="00855CB7">
        <w:rPr>
          <w:i/>
          <w:lang w:val="en-CA"/>
        </w:rPr>
        <w:t>settlements</w:t>
      </w:r>
      <w:r w:rsidR="00855CB7">
        <w:rPr>
          <w:lang w:val="en-CA"/>
        </w:rPr>
        <w:t xml:space="preserve"> contact </w:t>
      </w:r>
      <w:r w:rsidR="000B6749">
        <w:rPr>
          <w:lang w:val="en-CA"/>
        </w:rPr>
        <w:t>(</w:t>
      </w:r>
      <w:r w:rsidR="00855CB7">
        <w:rPr>
          <w:lang w:val="en-CA"/>
        </w:rPr>
        <w:t>assuming network communication is still functional</w:t>
      </w:r>
      <w:r w:rsidR="000B6749">
        <w:rPr>
          <w:lang w:val="en-CA"/>
        </w:rPr>
        <w:t>)</w:t>
      </w:r>
      <w:r w:rsidR="000B6749">
        <w:rPr>
          <w:rStyle w:val="FootnoteReference"/>
          <w:lang w:val="en-CA"/>
        </w:rPr>
        <w:footnoteReference w:id="20"/>
      </w:r>
      <w:r w:rsidR="00855CB7">
        <w:rPr>
          <w:lang w:val="en-CA"/>
        </w:rPr>
        <w:t>.</w:t>
      </w:r>
      <w:r w:rsidR="00855CB7">
        <w:rPr>
          <w:i/>
          <w:lang w:val="en-CA"/>
        </w:rPr>
        <w:t xml:space="preserve"> </w:t>
      </w:r>
      <w:r w:rsidR="000B6749">
        <w:rPr>
          <w:lang w:val="en-CA"/>
        </w:rPr>
        <w:t>We</w:t>
      </w:r>
      <w:r w:rsidR="00855CB7">
        <w:rPr>
          <w:lang w:val="en-CA"/>
        </w:rPr>
        <w:t xml:space="preserve"> will assess the value and practicality of issuing statements via an alternate means</w:t>
      </w:r>
      <w:r w:rsidR="000B6749">
        <w:rPr>
          <w:lang w:val="en-CA"/>
        </w:rPr>
        <w:t xml:space="preserve">, </w:t>
      </w:r>
      <w:r>
        <w:rPr>
          <w:lang w:val="en-CA"/>
        </w:rPr>
        <w:t>considering</w:t>
      </w:r>
      <w:r w:rsidR="000B6749" w:rsidRPr="000B6749">
        <w:rPr>
          <w:lang w:val="en-CA"/>
        </w:rPr>
        <w:t xml:space="preserve"> </w:t>
      </w:r>
      <w:r w:rsidR="000B6749">
        <w:rPr>
          <w:lang w:val="en-CA"/>
        </w:rPr>
        <w:t>the nature and extent of the communication problem and the forecast time to restore service</w:t>
      </w:r>
      <w:r w:rsidR="00855CB7">
        <w:rPr>
          <w:lang w:val="en-CA"/>
        </w:rPr>
        <w:t xml:space="preserve">. </w:t>
      </w:r>
      <w:r w:rsidR="00400143">
        <w:rPr>
          <w:lang w:val="en-CA"/>
        </w:rPr>
        <w:t xml:space="preserve"> </w:t>
      </w:r>
      <w:r w:rsidR="00855CB7">
        <w:rPr>
          <w:lang w:val="en-CA"/>
        </w:rPr>
        <w:t xml:space="preserve">If an alternate means is </w:t>
      </w:r>
      <w:r w:rsidR="000B6749">
        <w:rPr>
          <w:lang w:val="en-CA"/>
        </w:rPr>
        <w:t>required</w:t>
      </w:r>
      <w:r w:rsidR="00855CB7">
        <w:rPr>
          <w:lang w:val="en-CA"/>
        </w:rPr>
        <w:t xml:space="preserve">, </w:t>
      </w:r>
      <w:r w:rsidR="000B6749">
        <w:rPr>
          <w:lang w:val="en-CA"/>
        </w:rPr>
        <w:t xml:space="preserve">we will specify </w:t>
      </w:r>
      <w:r>
        <w:rPr>
          <w:lang w:val="en-CA"/>
        </w:rPr>
        <w:t>what it is</w:t>
      </w:r>
      <w:r w:rsidR="000B6749">
        <w:rPr>
          <w:lang w:val="en-CA"/>
        </w:rPr>
        <w:t xml:space="preserve">, and we </w:t>
      </w:r>
      <w:r w:rsidR="00855CB7">
        <w:rPr>
          <w:lang w:val="en-CA"/>
        </w:rPr>
        <w:t xml:space="preserve">will issue statements in the same electronic file format that is currently used. </w:t>
      </w:r>
      <w:r w:rsidR="00400143">
        <w:rPr>
          <w:lang w:val="en-CA"/>
        </w:rPr>
        <w:t xml:space="preserve"> </w:t>
      </w:r>
      <w:r w:rsidR="00855CB7">
        <w:rPr>
          <w:lang w:val="en-CA"/>
        </w:rPr>
        <w:t>These alternate</w:t>
      </w:r>
      <w:r w:rsidR="000B6749">
        <w:rPr>
          <w:lang w:val="en-CA"/>
        </w:rPr>
        <w:t xml:space="preserve"> modes of transmission</w:t>
      </w:r>
      <w:r w:rsidR="00855CB7">
        <w:rPr>
          <w:lang w:val="en-CA"/>
        </w:rPr>
        <w:t xml:space="preserve"> may include</w:t>
      </w:r>
      <w:r w:rsidR="00986CD4">
        <w:rPr>
          <w:lang w:val="en-CA"/>
        </w:rPr>
        <w:t>:</w:t>
      </w:r>
    </w:p>
    <w:p w14:paraId="0EF7DE96" w14:textId="77777777" w:rsidR="00986CD4" w:rsidRDefault="005947B5" w:rsidP="003853C6">
      <w:pPr>
        <w:numPr>
          <w:ilvl w:val="0"/>
          <w:numId w:val="49"/>
        </w:numPr>
        <w:rPr>
          <w:lang w:val="en-CA"/>
        </w:rPr>
      </w:pPr>
      <w:r>
        <w:rPr>
          <w:lang w:val="en-CA"/>
        </w:rPr>
        <w:t xml:space="preserve">compact </w:t>
      </w:r>
      <w:r w:rsidR="00855CB7">
        <w:rPr>
          <w:lang w:val="en-CA"/>
        </w:rPr>
        <w:t>discs via courier</w:t>
      </w:r>
      <w:r w:rsidR="00986CD4">
        <w:rPr>
          <w:lang w:val="en-CA"/>
        </w:rPr>
        <w:t>;</w:t>
      </w:r>
      <w:r w:rsidR="00855CB7">
        <w:rPr>
          <w:lang w:val="en-CA"/>
        </w:rPr>
        <w:t xml:space="preserve"> or</w:t>
      </w:r>
    </w:p>
    <w:p w14:paraId="5622CE0C" w14:textId="77777777" w:rsidR="00986CD4" w:rsidRDefault="005947B5" w:rsidP="003853C6">
      <w:pPr>
        <w:numPr>
          <w:ilvl w:val="0"/>
          <w:numId w:val="49"/>
        </w:numPr>
        <w:rPr>
          <w:lang w:val="en-CA"/>
        </w:rPr>
      </w:pPr>
      <w:r>
        <w:rPr>
          <w:lang w:val="en-CA"/>
        </w:rPr>
        <w:t>e</w:t>
      </w:r>
      <w:r w:rsidR="00855CB7">
        <w:rPr>
          <w:lang w:val="en-CA"/>
        </w:rPr>
        <w:t xml:space="preserve">-mail (if the </w:t>
      </w:r>
      <w:r w:rsidR="00855CB7">
        <w:rPr>
          <w:i/>
          <w:lang w:val="en-CA"/>
        </w:rPr>
        <w:t>market participant</w:t>
      </w:r>
      <w:r w:rsidR="00855CB7">
        <w:rPr>
          <w:lang w:val="en-CA"/>
        </w:rPr>
        <w:t xml:space="preserve"> accepts the confidentiality risks and if the size of the attachment file is feasible).</w:t>
      </w:r>
    </w:p>
    <w:p w14:paraId="10478CFC" w14:textId="77777777" w:rsidR="0071121F" w:rsidRDefault="00855CB7">
      <w:pPr>
        <w:rPr>
          <w:snapToGrid w:val="0"/>
          <w:lang w:val="en-CA" w:eastAsia="en-US"/>
        </w:rPr>
      </w:pPr>
      <w:r>
        <w:rPr>
          <w:lang w:val="en-CA"/>
        </w:rPr>
        <w:t xml:space="preserve">As is required, </w:t>
      </w:r>
      <w:r w:rsidR="00322716">
        <w:rPr>
          <w:lang w:val="en-CA"/>
        </w:rPr>
        <w:t>we</w:t>
      </w:r>
      <w:r>
        <w:rPr>
          <w:lang w:val="en-CA"/>
        </w:rPr>
        <w:t xml:space="preserve"> will communicate the information related to Section 1.</w:t>
      </w:r>
      <w:r w:rsidR="00322716">
        <w:rPr>
          <w:lang w:val="en-CA"/>
        </w:rPr>
        <w:t>4</w:t>
      </w:r>
      <w:r>
        <w:rPr>
          <w:lang w:val="en-CA"/>
        </w:rPr>
        <w:t xml:space="preserve">.1 and the communication method </w:t>
      </w:r>
      <w:r w:rsidR="00052E17">
        <w:rPr>
          <w:lang w:val="en-CA"/>
        </w:rPr>
        <w:t>we will use</w:t>
      </w:r>
      <w:r>
        <w:rPr>
          <w:lang w:val="en-CA"/>
        </w:rPr>
        <w:t>.</w:t>
      </w:r>
    </w:p>
    <w:p w14:paraId="23F8653B" w14:textId="77777777" w:rsidR="00274BEB" w:rsidRDefault="00614ACA">
      <w:pPr>
        <w:pStyle w:val="Heading2"/>
        <w:spacing w:before="360"/>
        <w:rPr>
          <w:lang w:val="en-CA"/>
        </w:rPr>
      </w:pPr>
      <w:bookmarkStart w:id="126" w:name="_Toc175383882"/>
      <w:bookmarkStart w:id="127" w:name="_Toc400369502"/>
      <w:bookmarkStart w:id="128" w:name="_Toc35796328"/>
      <w:bookmarkStart w:id="129" w:name="_Toc79657929"/>
      <w:bookmarkStart w:id="130" w:name="_Toc32038433"/>
      <w:r>
        <w:rPr>
          <w:lang w:val="en-CA"/>
        </w:rPr>
        <w:t>Optional Measurement Data Records</w:t>
      </w:r>
      <w:bookmarkEnd w:id="126"/>
      <w:bookmarkEnd w:id="127"/>
      <w:bookmarkEnd w:id="128"/>
      <w:bookmarkEnd w:id="129"/>
    </w:p>
    <w:p w14:paraId="0B505F6E" w14:textId="77777777" w:rsidR="00614ACA" w:rsidRDefault="00322716" w:rsidP="00614ACA">
      <w:pPr>
        <w:pStyle w:val="BodyText"/>
        <w:rPr>
          <w:lang w:val="en-CA"/>
        </w:rPr>
      </w:pPr>
      <w:r>
        <w:rPr>
          <w:lang w:val="en-CA"/>
        </w:rPr>
        <w:t>You</w:t>
      </w:r>
      <w:r w:rsidR="00614ACA">
        <w:rPr>
          <w:lang w:val="en-CA"/>
        </w:rPr>
        <w:t xml:space="preserve"> can request that optional measurement data records</w:t>
      </w:r>
      <w:r>
        <w:rPr>
          <w:rStyle w:val="FootnoteReference"/>
          <w:lang w:val="en-CA"/>
        </w:rPr>
        <w:footnoteReference w:id="21"/>
      </w:r>
      <w:r w:rsidR="00614ACA">
        <w:rPr>
          <w:lang w:val="en-CA"/>
        </w:rPr>
        <w:t xml:space="preserve"> be included in </w:t>
      </w:r>
      <w:r>
        <w:rPr>
          <w:lang w:val="en-CA"/>
        </w:rPr>
        <w:t xml:space="preserve">your </w:t>
      </w:r>
      <w:r w:rsidR="00614ACA">
        <w:rPr>
          <w:i/>
          <w:lang w:val="en-CA"/>
        </w:rPr>
        <w:t xml:space="preserve">settlement </w:t>
      </w:r>
      <w:r w:rsidR="00614ACA">
        <w:rPr>
          <w:lang w:val="en-CA"/>
        </w:rPr>
        <w:t xml:space="preserve">data file.  These records contain net withdrawal or net injection values for each 5-minute trading interval for each </w:t>
      </w:r>
      <w:r w:rsidR="00614ACA">
        <w:rPr>
          <w:i/>
          <w:lang w:val="en-CA"/>
        </w:rPr>
        <w:t>delivery point</w:t>
      </w:r>
      <w:r w:rsidR="00614ACA">
        <w:rPr>
          <w:lang w:val="en-CA"/>
        </w:rPr>
        <w:t xml:space="preserve"> defined for </w:t>
      </w:r>
      <w:r w:rsidR="00614ACA">
        <w:rPr>
          <w:i/>
          <w:lang w:val="en-CA"/>
        </w:rPr>
        <w:t>physical market</w:t>
      </w:r>
      <w:r w:rsidR="00614ACA">
        <w:rPr>
          <w:lang w:val="en-CA"/>
        </w:rPr>
        <w:t xml:space="preserve"> charges.</w:t>
      </w:r>
    </w:p>
    <w:p w14:paraId="2569AE05" w14:textId="77777777" w:rsidR="00614ACA" w:rsidRDefault="00322716" w:rsidP="00614ACA">
      <w:pPr>
        <w:pStyle w:val="BodyText"/>
        <w:rPr>
          <w:lang w:val="en-CA"/>
        </w:rPr>
      </w:pPr>
      <w:r>
        <w:rPr>
          <w:lang w:val="en-CA"/>
        </w:rPr>
        <w:t>You</w:t>
      </w:r>
      <w:r w:rsidR="00614ACA">
        <w:rPr>
          <w:lang w:val="en-CA"/>
        </w:rPr>
        <w:t xml:space="preserve"> should be aware that requesting these optional records will increase storage requirements and download times of the data file.</w:t>
      </w:r>
    </w:p>
    <w:p w14:paraId="6245ABFD" w14:textId="58D7CCFA" w:rsidR="00614ACA" w:rsidRDefault="00322716" w:rsidP="00614ACA">
      <w:pPr>
        <w:pStyle w:val="BodyText"/>
        <w:rPr>
          <w:b/>
          <w:lang w:val="en-CA"/>
        </w:rPr>
      </w:pPr>
      <w:r w:rsidRPr="00322716">
        <w:rPr>
          <w:lang w:val="en-CA"/>
        </w:rPr>
        <w:t>If you</w:t>
      </w:r>
      <w:r w:rsidR="00614ACA" w:rsidRPr="00322716">
        <w:rPr>
          <w:lang w:val="en-CA"/>
        </w:rPr>
        <w:t xml:space="preserve"> are</w:t>
      </w:r>
      <w:r w:rsidR="00614ACA">
        <w:rPr>
          <w:lang w:val="en-CA"/>
        </w:rPr>
        <w:t xml:space="preserve"> interested in this option</w:t>
      </w:r>
      <w:r>
        <w:rPr>
          <w:lang w:val="en-CA"/>
        </w:rPr>
        <w:t>, you</w:t>
      </w:r>
      <w:r w:rsidR="00614ACA">
        <w:rPr>
          <w:lang w:val="en-CA"/>
        </w:rPr>
        <w:t xml:space="preserve"> should </w:t>
      </w:r>
      <w:r w:rsidR="00C51A68">
        <w:rPr>
          <w:lang w:val="en-CA"/>
        </w:rPr>
        <w:t xml:space="preserve">send a request to </w:t>
      </w:r>
      <w:hyperlink r:id="rId28" w:tooltip="IESOCustomerRelations@ieso.ca" w:history="1">
        <w:r w:rsidR="00C51A68" w:rsidRPr="001C3569">
          <w:rPr>
            <w:rStyle w:val="Hyperlink"/>
            <w:lang w:val="en-CA"/>
          </w:rPr>
          <w:t>IESOCustomerRelations@ieso.ca</w:t>
        </w:r>
      </w:hyperlink>
      <w:r w:rsidR="00C51A68">
        <w:rPr>
          <w:lang w:val="en-CA"/>
        </w:rPr>
        <w:t xml:space="preserve">, indicating that you would like optional measurement data records to be included in your </w:t>
      </w:r>
      <w:r w:rsidR="00C51A68">
        <w:rPr>
          <w:i/>
          <w:lang w:val="en-CA"/>
        </w:rPr>
        <w:t xml:space="preserve">settlement </w:t>
      </w:r>
      <w:r w:rsidR="00C51A68">
        <w:rPr>
          <w:lang w:val="en-CA"/>
        </w:rPr>
        <w:t>data file</w:t>
      </w:r>
      <w:r w:rsidR="00614ACA">
        <w:rPr>
          <w:lang w:val="en-CA"/>
        </w:rPr>
        <w:t xml:space="preserve">.  </w:t>
      </w:r>
      <w:r w:rsidR="00052E17">
        <w:rPr>
          <w:lang w:val="en-CA"/>
        </w:rPr>
        <w:t>Y</w:t>
      </w:r>
      <w:r>
        <w:rPr>
          <w:lang w:val="en-CA"/>
        </w:rPr>
        <w:t>our</w:t>
      </w:r>
      <w:r w:rsidR="00614ACA">
        <w:rPr>
          <w:i/>
          <w:lang w:val="en-CA"/>
        </w:rPr>
        <w:t xml:space="preserve"> </w:t>
      </w:r>
      <w:r w:rsidR="00614ACA">
        <w:rPr>
          <w:lang w:val="en-CA"/>
        </w:rPr>
        <w:t xml:space="preserve">“Settlement”, “Main”, or “Real Time Market Manager” contact identified in </w:t>
      </w:r>
      <w:r>
        <w:rPr>
          <w:lang w:val="en-CA"/>
        </w:rPr>
        <w:t>our</w:t>
      </w:r>
      <w:r w:rsidR="00614ACA">
        <w:rPr>
          <w:lang w:val="en-CA"/>
        </w:rPr>
        <w:t xml:space="preserve"> </w:t>
      </w:r>
      <w:r w:rsidR="00052E17">
        <w:rPr>
          <w:lang w:val="en-CA"/>
        </w:rPr>
        <w:t>Registration</w:t>
      </w:r>
      <w:r w:rsidR="00614ACA">
        <w:rPr>
          <w:lang w:val="en-CA"/>
        </w:rPr>
        <w:t xml:space="preserve"> system</w:t>
      </w:r>
      <w:r w:rsidR="00052E17">
        <w:rPr>
          <w:lang w:val="en-CA"/>
        </w:rPr>
        <w:t xml:space="preserve"> must </w:t>
      </w:r>
      <w:r w:rsidR="00C51A68">
        <w:rPr>
          <w:lang w:val="en-CA"/>
        </w:rPr>
        <w:t>send the request</w:t>
      </w:r>
    </w:p>
    <w:p w14:paraId="25E3EF44" w14:textId="77777777" w:rsidR="00274BEB" w:rsidRDefault="00855CB7">
      <w:pPr>
        <w:pStyle w:val="Heading2"/>
        <w:spacing w:before="360"/>
        <w:rPr>
          <w:lang w:val="en-CA"/>
        </w:rPr>
      </w:pPr>
      <w:bookmarkStart w:id="131" w:name="_Toc175383883"/>
      <w:bookmarkStart w:id="132" w:name="_Toc400369503"/>
      <w:bookmarkStart w:id="133" w:name="_Toc35796329"/>
      <w:bookmarkStart w:id="134" w:name="_Toc79657930"/>
      <w:r>
        <w:rPr>
          <w:lang w:val="en-CA"/>
        </w:rPr>
        <w:t xml:space="preserve">Special </w:t>
      </w:r>
      <w:bookmarkEnd w:id="130"/>
      <w:r w:rsidR="00614ACA">
        <w:rPr>
          <w:lang w:val="en-CA"/>
        </w:rPr>
        <w:t xml:space="preserve">Settlement </w:t>
      </w:r>
      <w:r w:rsidR="00155AF3">
        <w:rPr>
          <w:lang w:val="en-CA"/>
        </w:rPr>
        <w:t>Activities</w:t>
      </w:r>
      <w:bookmarkEnd w:id="131"/>
      <w:bookmarkEnd w:id="132"/>
      <w:bookmarkEnd w:id="133"/>
      <w:bookmarkEnd w:id="134"/>
    </w:p>
    <w:p w14:paraId="345EBBD3" w14:textId="77777777" w:rsidR="00855CB7" w:rsidRDefault="00855CB7">
      <w:pPr>
        <w:pStyle w:val="BodyText"/>
        <w:rPr>
          <w:lang w:val="en-CA"/>
        </w:rPr>
      </w:pPr>
      <w:r w:rsidRPr="00AF4601">
        <w:rPr>
          <w:lang w:val="en-CA"/>
        </w:rPr>
        <w:t xml:space="preserve">Special exemptions, rebates and </w:t>
      </w:r>
      <w:r w:rsidR="00DC0E09" w:rsidRPr="00DC0E09">
        <w:rPr>
          <w:i/>
          <w:lang w:val="en-CA"/>
        </w:rPr>
        <w:t>settlement</w:t>
      </w:r>
      <w:r w:rsidR="00155AF3" w:rsidRPr="00AF4601">
        <w:rPr>
          <w:lang w:val="en-CA"/>
        </w:rPr>
        <w:t xml:space="preserve"> programs</w:t>
      </w:r>
      <w:r w:rsidRPr="00AF4601">
        <w:rPr>
          <w:lang w:val="en-CA"/>
        </w:rPr>
        <w:t xml:space="preserve"> are available to eligible </w:t>
      </w:r>
      <w:r w:rsidRPr="00AF4601">
        <w:rPr>
          <w:i/>
          <w:lang w:val="en-CA"/>
        </w:rPr>
        <w:t>market participants</w:t>
      </w:r>
      <w:r w:rsidRPr="00AF4601">
        <w:rPr>
          <w:lang w:val="en-CA"/>
        </w:rPr>
        <w:t xml:space="preserve">.  </w:t>
      </w:r>
      <w:r w:rsidR="00155AF3" w:rsidRPr="00AF4601">
        <w:rPr>
          <w:lang w:val="en-CA"/>
        </w:rPr>
        <w:t xml:space="preserve">We describe them in the following </w:t>
      </w:r>
      <w:r w:rsidRPr="00AF4601">
        <w:rPr>
          <w:lang w:val="en-CA"/>
        </w:rPr>
        <w:t>sub</w:t>
      </w:r>
      <w:r w:rsidR="00777177">
        <w:rPr>
          <w:lang w:val="en-CA"/>
        </w:rPr>
        <w:t>-</w:t>
      </w:r>
      <w:r w:rsidRPr="00AF4601">
        <w:rPr>
          <w:lang w:val="en-CA"/>
        </w:rPr>
        <w:t>section</w:t>
      </w:r>
      <w:r w:rsidR="00155AF3" w:rsidRPr="00AF4601">
        <w:rPr>
          <w:lang w:val="en-CA"/>
        </w:rPr>
        <w:t>s</w:t>
      </w:r>
      <w:r w:rsidRPr="00AF4601">
        <w:rPr>
          <w:lang w:val="en-CA"/>
        </w:rPr>
        <w:t>.</w:t>
      </w:r>
    </w:p>
    <w:p w14:paraId="3158695E" w14:textId="77777777" w:rsidR="00855CB7" w:rsidRDefault="00161C7C">
      <w:pPr>
        <w:pStyle w:val="Heading3"/>
        <w:rPr>
          <w:lang w:val="en-CA"/>
        </w:rPr>
      </w:pPr>
      <w:bookmarkStart w:id="135" w:name="_Toc32038434"/>
      <w:bookmarkStart w:id="136" w:name="_Toc175383884"/>
      <w:bookmarkStart w:id="137" w:name="_Toc400369504"/>
      <w:bookmarkStart w:id="138" w:name="_Toc35796330"/>
      <w:bookmarkStart w:id="139" w:name="_Toc79657931"/>
      <w:r w:rsidRPr="00161C7C">
        <w:rPr>
          <w:lang w:val="en-CA"/>
        </w:rPr>
        <w:t>Generation Station Service</w:t>
      </w:r>
      <w:r w:rsidR="00855CB7">
        <w:rPr>
          <w:lang w:val="en-CA"/>
        </w:rPr>
        <w:t xml:space="preserve"> Rebate</w:t>
      </w:r>
      <w:bookmarkEnd w:id="135"/>
      <w:bookmarkEnd w:id="136"/>
      <w:bookmarkEnd w:id="137"/>
      <w:bookmarkEnd w:id="138"/>
      <w:bookmarkEnd w:id="139"/>
    </w:p>
    <w:p w14:paraId="27CEFB37" w14:textId="77777777" w:rsidR="00CC0D1D" w:rsidRDefault="00CC0D1D">
      <w:pPr>
        <w:pStyle w:val="BodyText"/>
        <w:rPr>
          <w:lang w:val="en-CA"/>
        </w:rPr>
      </w:pPr>
      <w:r>
        <w:rPr>
          <w:lang w:val="en-CA"/>
        </w:rPr>
        <w:t xml:space="preserve">Some </w:t>
      </w:r>
      <w:r w:rsidRPr="00CC0D1D">
        <w:rPr>
          <w:i/>
          <w:lang w:val="en-CA"/>
        </w:rPr>
        <w:t>generation facilities</w:t>
      </w:r>
      <w:r>
        <w:rPr>
          <w:lang w:val="en-CA"/>
        </w:rPr>
        <w:t xml:space="preserve"> in the </w:t>
      </w:r>
      <w:r w:rsidRPr="00CC0D1D">
        <w:rPr>
          <w:i/>
          <w:lang w:val="en-CA"/>
        </w:rPr>
        <w:t>IESO-administered markets</w:t>
      </w:r>
      <w:r>
        <w:rPr>
          <w:lang w:val="en-CA"/>
        </w:rPr>
        <w:t xml:space="preserve"> consume </w:t>
      </w:r>
      <w:r w:rsidRPr="00CC0D1D">
        <w:rPr>
          <w:i/>
          <w:lang w:val="en-CA"/>
        </w:rPr>
        <w:t>energy</w:t>
      </w:r>
      <w:r>
        <w:rPr>
          <w:lang w:val="en-CA"/>
        </w:rPr>
        <w:t xml:space="preserve"> as </w:t>
      </w:r>
      <w:r w:rsidRPr="00CC0D1D">
        <w:rPr>
          <w:i/>
          <w:lang w:val="en-CA"/>
        </w:rPr>
        <w:t>generation station service</w:t>
      </w:r>
      <w:r>
        <w:rPr>
          <w:lang w:val="en-CA"/>
        </w:rPr>
        <w:t xml:space="preserve">. </w:t>
      </w:r>
      <w:r w:rsidR="000C62BF" w:rsidRPr="000C62BF">
        <w:rPr>
          <w:i/>
          <w:lang w:val="en-CA"/>
        </w:rPr>
        <w:t>Metered market participants</w:t>
      </w:r>
      <w:r w:rsidR="000C62BF">
        <w:rPr>
          <w:lang w:val="en-CA"/>
        </w:rPr>
        <w:t xml:space="preserve"> for c</w:t>
      </w:r>
      <w:r w:rsidR="00855CB7">
        <w:rPr>
          <w:lang w:val="en-CA"/>
        </w:rPr>
        <w:t xml:space="preserve">ertain </w:t>
      </w:r>
      <w:r w:rsidR="00855CB7">
        <w:rPr>
          <w:i/>
          <w:lang w:val="en-CA"/>
        </w:rPr>
        <w:t>generation facilities</w:t>
      </w:r>
      <w:r w:rsidR="00855CB7">
        <w:rPr>
          <w:lang w:val="en-CA"/>
        </w:rPr>
        <w:t xml:space="preserve"> are eligible for a reimbursement of the </w:t>
      </w:r>
      <w:r w:rsidR="00855CB7">
        <w:rPr>
          <w:i/>
          <w:lang w:val="en-CA"/>
        </w:rPr>
        <w:t>hourly uplifts</w:t>
      </w:r>
      <w:r w:rsidR="00855CB7">
        <w:rPr>
          <w:lang w:val="en-CA"/>
        </w:rPr>
        <w:t xml:space="preserve"> and non-hourly </w:t>
      </w:r>
      <w:r w:rsidR="00855CB7">
        <w:rPr>
          <w:i/>
          <w:lang w:val="en-CA"/>
        </w:rPr>
        <w:t>settlement amounts</w:t>
      </w:r>
      <w:r w:rsidR="00855CB7">
        <w:rPr>
          <w:lang w:val="en-CA"/>
        </w:rPr>
        <w:t xml:space="preserve"> related to AQEW consumed as </w:t>
      </w:r>
      <w:r w:rsidR="00855CB7">
        <w:rPr>
          <w:i/>
          <w:lang w:val="en-CA"/>
        </w:rPr>
        <w:t xml:space="preserve">generation </w:t>
      </w:r>
      <w:r w:rsidR="00855CB7">
        <w:rPr>
          <w:i/>
          <w:lang w:val="en-CA"/>
        </w:rPr>
        <w:lastRenderedPageBreak/>
        <w:t>station service</w:t>
      </w:r>
      <w:r w:rsidR="00855CB7">
        <w:rPr>
          <w:lang w:val="en-CA"/>
        </w:rPr>
        <w:t xml:space="preserve">.  </w:t>
      </w:r>
      <w:r w:rsidR="000C62BF">
        <w:rPr>
          <w:lang w:val="en-CA"/>
        </w:rPr>
        <w:t>R</w:t>
      </w:r>
      <w:r w:rsidR="00C80DC3">
        <w:rPr>
          <w:lang w:val="en-CA"/>
        </w:rPr>
        <w:t xml:space="preserve">efer to </w:t>
      </w:r>
      <w:r w:rsidR="00855CB7">
        <w:rPr>
          <w:lang w:val="en-CA"/>
        </w:rPr>
        <w:t>Chapter 9</w:t>
      </w:r>
      <w:r w:rsidR="00F31F09">
        <w:rPr>
          <w:lang w:val="en-CA"/>
        </w:rPr>
        <w:t>,</w:t>
      </w:r>
      <w:r w:rsidR="00855CB7">
        <w:rPr>
          <w:lang w:val="en-CA"/>
        </w:rPr>
        <w:t xml:space="preserve"> Sections 2.1A.9</w:t>
      </w:r>
      <w:r w:rsidR="00C80DC3">
        <w:rPr>
          <w:lang w:val="en-CA"/>
        </w:rPr>
        <w:t>-</w:t>
      </w:r>
      <w:r w:rsidR="00855CB7">
        <w:rPr>
          <w:lang w:val="en-CA"/>
        </w:rPr>
        <w:t>2.1A.</w:t>
      </w:r>
      <w:r w:rsidR="006309A5">
        <w:rPr>
          <w:lang w:val="en-CA"/>
        </w:rPr>
        <w:t xml:space="preserve">14 </w:t>
      </w:r>
      <w:r w:rsidR="00855CB7">
        <w:rPr>
          <w:lang w:val="en-CA"/>
        </w:rPr>
        <w:t xml:space="preserve">of the </w:t>
      </w:r>
      <w:r w:rsidR="00752CC8" w:rsidRPr="00752CC8">
        <w:rPr>
          <w:i/>
          <w:lang w:val="en-CA"/>
        </w:rPr>
        <w:t>market rules</w:t>
      </w:r>
      <w:r w:rsidR="00855CB7">
        <w:rPr>
          <w:lang w:val="en-CA"/>
        </w:rPr>
        <w:t xml:space="preserve"> </w:t>
      </w:r>
      <w:r w:rsidR="00C80DC3">
        <w:rPr>
          <w:lang w:val="en-CA"/>
        </w:rPr>
        <w:t xml:space="preserve">to find </w:t>
      </w:r>
      <w:r w:rsidR="00855CB7">
        <w:rPr>
          <w:lang w:val="en-CA"/>
        </w:rPr>
        <w:t>the eligibility requirements</w:t>
      </w:r>
      <w:r w:rsidR="00C80DC3">
        <w:rPr>
          <w:lang w:val="en-CA"/>
        </w:rPr>
        <w:t xml:space="preserve"> and the specific conditions under which this rebate applies</w:t>
      </w:r>
      <w:r w:rsidR="00855CB7">
        <w:rPr>
          <w:lang w:val="en-CA"/>
        </w:rPr>
        <w:t>.</w:t>
      </w:r>
    </w:p>
    <w:p w14:paraId="4A882C12" w14:textId="77777777" w:rsidR="00AF4601" w:rsidRDefault="000C62BF">
      <w:pPr>
        <w:pStyle w:val="BodyText"/>
        <w:rPr>
          <w:lang w:val="en-CA"/>
        </w:rPr>
      </w:pPr>
      <w:r w:rsidRPr="000C62BF">
        <w:rPr>
          <w:lang w:val="en-CA"/>
        </w:rPr>
        <w:t>If you</w:t>
      </w:r>
      <w:r>
        <w:rPr>
          <w:rStyle w:val="FootnoteReference"/>
          <w:lang w:val="en-CA"/>
        </w:rPr>
        <w:footnoteReference w:id="22"/>
      </w:r>
      <w:r w:rsidRPr="000C62BF">
        <w:rPr>
          <w:lang w:val="en-CA"/>
        </w:rPr>
        <w:t xml:space="preserve"> believe that your</w:t>
      </w:r>
      <w:r>
        <w:rPr>
          <w:i/>
          <w:lang w:val="en-CA"/>
        </w:rPr>
        <w:t xml:space="preserve"> </w:t>
      </w:r>
      <w:r w:rsidR="00855CB7">
        <w:rPr>
          <w:i/>
          <w:lang w:val="en-CA"/>
        </w:rPr>
        <w:t>generation facility</w:t>
      </w:r>
      <w:r w:rsidR="00855CB7">
        <w:rPr>
          <w:lang w:val="en-CA"/>
        </w:rPr>
        <w:t xml:space="preserve"> is eligible </w:t>
      </w:r>
      <w:r>
        <w:rPr>
          <w:lang w:val="en-CA"/>
        </w:rPr>
        <w:t xml:space="preserve">for a </w:t>
      </w:r>
      <w:r w:rsidRPr="000C62BF">
        <w:rPr>
          <w:i/>
          <w:lang w:val="en-CA"/>
        </w:rPr>
        <w:t>generation station service</w:t>
      </w:r>
      <w:r>
        <w:rPr>
          <w:lang w:val="en-CA"/>
        </w:rPr>
        <w:t xml:space="preserve"> rebate, you </w:t>
      </w:r>
      <w:r w:rsidR="00855CB7">
        <w:rPr>
          <w:lang w:val="en-CA"/>
        </w:rPr>
        <w:t>should</w:t>
      </w:r>
      <w:r w:rsidR="00AF4601">
        <w:rPr>
          <w:lang w:val="en-CA"/>
        </w:rPr>
        <w:t>:</w:t>
      </w:r>
    </w:p>
    <w:p w14:paraId="650F8621" w14:textId="77777777" w:rsidR="00AF4601" w:rsidRDefault="005947B5" w:rsidP="003853C6">
      <w:pPr>
        <w:pStyle w:val="BodyText"/>
        <w:numPr>
          <w:ilvl w:val="0"/>
          <w:numId w:val="51"/>
        </w:numPr>
        <w:rPr>
          <w:lang w:val="en-CA"/>
        </w:rPr>
      </w:pPr>
      <w:r>
        <w:rPr>
          <w:lang w:val="en-CA"/>
        </w:rPr>
        <w:t xml:space="preserve">download </w:t>
      </w:r>
      <w:r w:rsidR="00E33158">
        <w:rPr>
          <w:lang w:val="en-CA"/>
        </w:rPr>
        <w:t>IMO_FORM_1419</w:t>
      </w:r>
      <w:r w:rsidR="00855CB7">
        <w:rPr>
          <w:lang w:val="en-CA"/>
        </w:rPr>
        <w:t xml:space="preserve"> “Application for Designation of a Facility for Generation Station Service Rebate” from </w:t>
      </w:r>
      <w:r w:rsidR="000C62BF">
        <w:rPr>
          <w:lang w:val="en-CA"/>
        </w:rPr>
        <w:t>our web</w:t>
      </w:r>
      <w:r w:rsidR="00303887">
        <w:rPr>
          <w:lang w:val="en-CA"/>
        </w:rPr>
        <w:t xml:space="preserve"> </w:t>
      </w:r>
      <w:r w:rsidR="00855CB7">
        <w:rPr>
          <w:lang w:val="en-CA"/>
        </w:rPr>
        <w:t>site</w:t>
      </w:r>
      <w:r w:rsidR="00AF4601">
        <w:rPr>
          <w:lang w:val="en-CA"/>
        </w:rPr>
        <w:t>;</w:t>
      </w:r>
    </w:p>
    <w:p w14:paraId="1F9986CB" w14:textId="77777777" w:rsidR="00AF4601" w:rsidRDefault="005947B5" w:rsidP="003853C6">
      <w:pPr>
        <w:pStyle w:val="BodyText"/>
        <w:numPr>
          <w:ilvl w:val="0"/>
          <w:numId w:val="51"/>
        </w:numPr>
        <w:rPr>
          <w:lang w:val="en-CA"/>
        </w:rPr>
      </w:pPr>
      <w:r>
        <w:rPr>
          <w:lang w:val="en-CA"/>
        </w:rPr>
        <w:t xml:space="preserve">complete </w:t>
      </w:r>
      <w:r w:rsidR="00855CB7">
        <w:rPr>
          <w:lang w:val="en-CA"/>
        </w:rPr>
        <w:t>all applicable sections</w:t>
      </w:r>
      <w:r w:rsidR="00AF4601">
        <w:rPr>
          <w:lang w:val="en-CA"/>
        </w:rPr>
        <w:t>;</w:t>
      </w:r>
      <w:r w:rsidR="00855CB7">
        <w:rPr>
          <w:lang w:val="en-CA"/>
        </w:rPr>
        <w:t xml:space="preserve"> and</w:t>
      </w:r>
    </w:p>
    <w:p w14:paraId="5FD4D550" w14:textId="77777777" w:rsidR="00AF4601" w:rsidRDefault="005947B5" w:rsidP="003853C6">
      <w:pPr>
        <w:pStyle w:val="BodyText"/>
        <w:numPr>
          <w:ilvl w:val="0"/>
          <w:numId w:val="51"/>
        </w:numPr>
        <w:rPr>
          <w:lang w:val="en-CA"/>
        </w:rPr>
      </w:pPr>
      <w:r>
        <w:rPr>
          <w:lang w:val="en-CA"/>
        </w:rPr>
        <w:t xml:space="preserve">submit </w:t>
      </w:r>
      <w:r w:rsidR="00855CB7">
        <w:rPr>
          <w:lang w:val="en-CA"/>
        </w:rPr>
        <w:t xml:space="preserve">the form to </w:t>
      </w:r>
      <w:r w:rsidR="000C62BF">
        <w:rPr>
          <w:lang w:val="en-CA"/>
        </w:rPr>
        <w:t>us</w:t>
      </w:r>
      <w:r w:rsidR="00855CB7">
        <w:rPr>
          <w:lang w:val="en-CA"/>
        </w:rPr>
        <w:t>.</w:t>
      </w:r>
    </w:p>
    <w:p w14:paraId="0308476A" w14:textId="77777777" w:rsidR="000C62BF" w:rsidRDefault="000C62BF" w:rsidP="00AF4601">
      <w:pPr>
        <w:pStyle w:val="BodyText"/>
        <w:rPr>
          <w:lang w:val="en-CA"/>
        </w:rPr>
      </w:pPr>
      <w:r>
        <w:rPr>
          <w:lang w:val="en-CA"/>
        </w:rPr>
        <w:t xml:space="preserve">We </w:t>
      </w:r>
      <w:r w:rsidR="00855CB7">
        <w:rPr>
          <w:lang w:val="en-CA"/>
        </w:rPr>
        <w:t>will</w:t>
      </w:r>
      <w:r>
        <w:rPr>
          <w:lang w:val="en-CA"/>
        </w:rPr>
        <w:t>:</w:t>
      </w:r>
    </w:p>
    <w:p w14:paraId="6FA86FD1" w14:textId="77777777" w:rsidR="000C62BF" w:rsidRDefault="005947B5" w:rsidP="003853C6">
      <w:pPr>
        <w:pStyle w:val="BodyText"/>
        <w:numPr>
          <w:ilvl w:val="0"/>
          <w:numId w:val="50"/>
        </w:numPr>
        <w:rPr>
          <w:lang w:val="en-CA"/>
        </w:rPr>
      </w:pPr>
      <w:r>
        <w:rPr>
          <w:lang w:val="en-CA"/>
        </w:rPr>
        <w:t xml:space="preserve">review </w:t>
      </w:r>
      <w:r w:rsidR="000C62BF">
        <w:rPr>
          <w:lang w:val="en-CA"/>
        </w:rPr>
        <w:t xml:space="preserve">your </w:t>
      </w:r>
      <w:r w:rsidR="00855CB7">
        <w:rPr>
          <w:lang w:val="en-CA"/>
        </w:rPr>
        <w:t>application</w:t>
      </w:r>
      <w:r w:rsidR="000C62BF">
        <w:rPr>
          <w:lang w:val="en-CA"/>
        </w:rPr>
        <w:t>;</w:t>
      </w:r>
    </w:p>
    <w:p w14:paraId="2BD69B9E" w14:textId="77777777" w:rsidR="000C62BF" w:rsidRDefault="005947B5" w:rsidP="003853C6">
      <w:pPr>
        <w:pStyle w:val="BodyText"/>
        <w:numPr>
          <w:ilvl w:val="0"/>
          <w:numId w:val="50"/>
        </w:numPr>
        <w:rPr>
          <w:lang w:val="en-CA"/>
        </w:rPr>
      </w:pPr>
      <w:r>
        <w:rPr>
          <w:lang w:val="en-CA"/>
        </w:rPr>
        <w:t xml:space="preserve">request </w:t>
      </w:r>
      <w:r w:rsidR="00AF4601">
        <w:rPr>
          <w:lang w:val="en-CA"/>
        </w:rPr>
        <w:t>additional information in order to assess the application, if necessary;</w:t>
      </w:r>
    </w:p>
    <w:p w14:paraId="631CBC29" w14:textId="77777777" w:rsidR="00AF4601" w:rsidRDefault="005947B5" w:rsidP="003853C6">
      <w:pPr>
        <w:pStyle w:val="BodyText"/>
        <w:numPr>
          <w:ilvl w:val="0"/>
          <w:numId w:val="50"/>
        </w:numPr>
        <w:rPr>
          <w:lang w:val="en-CA"/>
        </w:rPr>
      </w:pPr>
      <w:r>
        <w:rPr>
          <w:lang w:val="en-CA"/>
        </w:rPr>
        <w:t xml:space="preserve">determine </w:t>
      </w:r>
      <w:r w:rsidR="00855CB7">
        <w:rPr>
          <w:lang w:val="en-CA"/>
        </w:rPr>
        <w:t xml:space="preserve">if </w:t>
      </w:r>
      <w:r w:rsidR="000C62BF">
        <w:rPr>
          <w:lang w:val="en-CA"/>
        </w:rPr>
        <w:t xml:space="preserve">your </w:t>
      </w:r>
      <w:r w:rsidR="00855CB7">
        <w:rPr>
          <w:i/>
          <w:lang w:val="en-CA"/>
        </w:rPr>
        <w:t>generation facility</w:t>
      </w:r>
      <w:r w:rsidR="00855CB7">
        <w:rPr>
          <w:lang w:val="en-CA"/>
        </w:rPr>
        <w:t xml:space="preserve"> meets the requirements for the rebate designation</w:t>
      </w:r>
      <w:r w:rsidR="00AF4601">
        <w:rPr>
          <w:lang w:val="en-CA"/>
        </w:rPr>
        <w:t>; and</w:t>
      </w:r>
    </w:p>
    <w:p w14:paraId="606B60D6" w14:textId="77777777" w:rsidR="00CA25FD" w:rsidRDefault="005947B5" w:rsidP="003853C6">
      <w:pPr>
        <w:pStyle w:val="BodyText"/>
        <w:numPr>
          <w:ilvl w:val="0"/>
          <w:numId w:val="50"/>
        </w:numPr>
        <w:ind w:left="360" w:firstLine="0"/>
        <w:rPr>
          <w:lang w:val="en-CA"/>
        </w:rPr>
      </w:pPr>
      <w:r>
        <w:rPr>
          <w:lang w:val="en-CA"/>
        </w:rPr>
        <w:t xml:space="preserve">notify </w:t>
      </w:r>
      <w:r w:rsidR="00AF4601">
        <w:rPr>
          <w:lang w:val="en-CA"/>
        </w:rPr>
        <w:t>you in writing of our determination</w:t>
      </w:r>
      <w:r w:rsidR="00855CB7">
        <w:rPr>
          <w:lang w:val="en-CA"/>
        </w:rPr>
        <w:t>.</w:t>
      </w:r>
    </w:p>
    <w:p w14:paraId="126ED9D2" w14:textId="77777777" w:rsidR="00CA25FD" w:rsidRDefault="00161C7C">
      <w:r w:rsidRPr="00161C7C">
        <w:rPr>
          <w:lang w:val="en-CA"/>
        </w:rPr>
        <w:t>If you meet the requirement for the rebate designation, we</w:t>
      </w:r>
      <w:r w:rsidR="00077C6B">
        <w:t xml:space="preserve"> will adjust the </w:t>
      </w:r>
      <w:r w:rsidR="00DA3379" w:rsidRPr="00DA3379">
        <w:rPr>
          <w:i/>
        </w:rPr>
        <w:t>hourly uplifts</w:t>
      </w:r>
      <w:r w:rsidR="00077C6B">
        <w:t xml:space="preserve"> and non-hourly </w:t>
      </w:r>
      <w:r w:rsidRPr="00161C7C">
        <w:rPr>
          <w:i/>
        </w:rPr>
        <w:t>settlement amounts</w:t>
      </w:r>
      <w:r w:rsidR="00077C6B">
        <w:t xml:space="preserve"> that may have accumulated at the </w:t>
      </w:r>
      <w:r w:rsidRPr="00161C7C">
        <w:rPr>
          <w:i/>
        </w:rPr>
        <w:t>generation station service</w:t>
      </w:r>
      <w:r w:rsidR="00077C6B">
        <w:t xml:space="preserve"> </w:t>
      </w:r>
      <w:r w:rsidRPr="00161C7C">
        <w:rPr>
          <w:i/>
        </w:rPr>
        <w:t>delivery point</w:t>
      </w:r>
      <w:r w:rsidR="00077C6B">
        <w:t xml:space="preserve"> during the periods where the eligible </w:t>
      </w:r>
      <w:r w:rsidRPr="00161C7C">
        <w:rPr>
          <w:i/>
        </w:rPr>
        <w:t>generation facility</w:t>
      </w:r>
      <w:r w:rsidR="00077C6B">
        <w:t xml:space="preserve"> was a net injection of </w:t>
      </w:r>
      <w:r w:rsidR="00C2447D" w:rsidRPr="00C2447D">
        <w:rPr>
          <w:i/>
        </w:rPr>
        <w:t>energy</w:t>
      </w:r>
      <w:r w:rsidR="00077C6B">
        <w:t xml:space="preserve"> into the </w:t>
      </w:r>
      <w:r w:rsidRPr="00161C7C">
        <w:rPr>
          <w:i/>
        </w:rPr>
        <w:t>IESO-controlled grid</w:t>
      </w:r>
      <w:r w:rsidR="00077C6B">
        <w:t>.</w:t>
      </w:r>
    </w:p>
    <w:p w14:paraId="41A70C3B" w14:textId="77777777" w:rsidR="00077C6B" w:rsidRDefault="00077C6B" w:rsidP="00077C6B">
      <w:r>
        <w:t xml:space="preserve">Reimbursement amounts are calculated at month-end and applied to the last </w:t>
      </w:r>
      <w:r w:rsidR="00161C7C" w:rsidRPr="00161C7C">
        <w:rPr>
          <w:i/>
        </w:rPr>
        <w:t>trading day</w:t>
      </w:r>
      <w:r>
        <w:t xml:space="preserve"> of the month as a manual line item on the </w:t>
      </w:r>
      <w:r w:rsidR="00161C7C" w:rsidRPr="00161C7C">
        <w:rPr>
          <w:i/>
        </w:rPr>
        <w:t>preliminary settlement statements</w:t>
      </w:r>
      <w:r>
        <w:t xml:space="preserve"> and the </w:t>
      </w:r>
      <w:r w:rsidR="00161C7C" w:rsidRPr="00161C7C">
        <w:rPr>
          <w:i/>
        </w:rPr>
        <w:t>final settlement stat</w:t>
      </w:r>
      <w:r>
        <w:t xml:space="preserve">ement for each </w:t>
      </w:r>
      <w:r w:rsidR="00161C7C" w:rsidRPr="00161C7C">
        <w:rPr>
          <w:i/>
        </w:rPr>
        <w:t>generation facility</w:t>
      </w:r>
      <w:r>
        <w:t xml:space="preserve"> as </w:t>
      </w:r>
      <w:r w:rsidR="00161C7C" w:rsidRPr="00161C7C">
        <w:rPr>
          <w:i/>
        </w:rPr>
        <w:t>charge type</w:t>
      </w:r>
      <w:r>
        <w:t xml:space="preserve"> 119 – Station Service Reimbursement Credit.</w:t>
      </w:r>
    </w:p>
    <w:p w14:paraId="408CFD17" w14:textId="77333672" w:rsidR="00077C6B" w:rsidRDefault="00077C6B" w:rsidP="00077C6B">
      <w:pPr>
        <w:pStyle w:val="BodyText"/>
      </w:pPr>
      <w:r>
        <w:t xml:space="preserve">The offsetting </w:t>
      </w:r>
      <w:r w:rsidR="00161C7C" w:rsidRPr="00161C7C">
        <w:rPr>
          <w:i/>
        </w:rPr>
        <w:t>charge type</w:t>
      </w:r>
      <w:r>
        <w:t xml:space="preserve"> 169 – Station Service Reimbursement Debit is included on the </w:t>
      </w:r>
      <w:r w:rsidR="00161C7C" w:rsidRPr="00161C7C">
        <w:rPr>
          <w:i/>
        </w:rPr>
        <w:t>preliminary settlement statement</w:t>
      </w:r>
      <w:r>
        <w:t xml:space="preserve"> and the </w:t>
      </w:r>
      <w:r w:rsidR="00161C7C" w:rsidRPr="00161C7C">
        <w:rPr>
          <w:i/>
        </w:rPr>
        <w:t>final settlement statement</w:t>
      </w:r>
      <w:r>
        <w:t xml:space="preserve"> of all load customers for the last </w:t>
      </w:r>
      <w:r w:rsidR="00161C7C" w:rsidRPr="00161C7C">
        <w:rPr>
          <w:i/>
        </w:rPr>
        <w:t>trading day</w:t>
      </w:r>
      <w:r>
        <w:t xml:space="preserve"> of the month.</w:t>
      </w:r>
    </w:p>
    <w:p w14:paraId="78385789" w14:textId="34990579" w:rsidR="00E16474" w:rsidRDefault="00E16474" w:rsidP="00E16474">
      <w:pPr>
        <w:pStyle w:val="Heading3"/>
        <w:numPr>
          <w:ilvl w:val="0"/>
          <w:numId w:val="0"/>
        </w:numPr>
        <w:ind w:left="1080" w:hanging="1080"/>
        <w:rPr>
          <w:lang w:val="en-CA"/>
        </w:rPr>
      </w:pPr>
      <w:bookmarkStart w:id="140" w:name="_Toc79657932"/>
      <w:r>
        <w:rPr>
          <w:lang w:val="en-CA"/>
        </w:rPr>
        <w:t>1.6.1</w:t>
      </w:r>
      <w:r w:rsidR="000E3B3D">
        <w:rPr>
          <w:lang w:val="en-CA"/>
        </w:rPr>
        <w:t xml:space="preserve">A </w:t>
      </w:r>
      <w:r>
        <w:rPr>
          <w:lang w:val="en-CA"/>
        </w:rPr>
        <w:t>Electricity Storage Station Service Rebate</w:t>
      </w:r>
      <w:bookmarkEnd w:id="140"/>
    </w:p>
    <w:p w14:paraId="7EAD2E3E" w14:textId="77777777" w:rsidR="00E16474" w:rsidRPr="004F258B" w:rsidRDefault="00E16474" w:rsidP="00E16474">
      <w:pPr>
        <w:pStyle w:val="BodyText"/>
        <w:rPr>
          <w:lang w:val="en-CA"/>
        </w:rPr>
      </w:pPr>
      <w:r w:rsidRPr="004F258B">
        <w:rPr>
          <w:i/>
          <w:lang w:val="en-CA"/>
        </w:rPr>
        <w:t xml:space="preserve">Electricity storage facilities </w:t>
      </w:r>
      <w:r w:rsidRPr="004F258B">
        <w:rPr>
          <w:lang w:val="en-CA"/>
        </w:rPr>
        <w:t xml:space="preserve">in the </w:t>
      </w:r>
      <w:r w:rsidRPr="004F258B">
        <w:rPr>
          <w:i/>
          <w:lang w:val="en-CA"/>
        </w:rPr>
        <w:t>IESO-administered markets</w:t>
      </w:r>
      <w:r w:rsidRPr="004F258B">
        <w:rPr>
          <w:lang w:val="en-CA"/>
        </w:rPr>
        <w:t xml:space="preserve"> consume </w:t>
      </w:r>
      <w:r w:rsidRPr="004F258B">
        <w:rPr>
          <w:i/>
          <w:lang w:val="en-CA"/>
        </w:rPr>
        <w:t>energy</w:t>
      </w:r>
      <w:r w:rsidRPr="004F258B">
        <w:rPr>
          <w:lang w:val="en-CA"/>
        </w:rPr>
        <w:t xml:space="preserve"> as </w:t>
      </w:r>
      <w:r w:rsidRPr="004F258B">
        <w:rPr>
          <w:i/>
          <w:lang w:val="en-CA"/>
        </w:rPr>
        <w:t>electricity storage station service</w:t>
      </w:r>
      <w:r w:rsidRPr="004F258B">
        <w:rPr>
          <w:lang w:val="en-CA"/>
        </w:rPr>
        <w:t xml:space="preserve">. </w:t>
      </w:r>
      <w:r w:rsidRPr="004F258B">
        <w:rPr>
          <w:i/>
          <w:lang w:val="en-CA"/>
        </w:rPr>
        <w:t>Metered market participants</w:t>
      </w:r>
      <w:r w:rsidRPr="004F258B">
        <w:rPr>
          <w:lang w:val="en-CA"/>
        </w:rPr>
        <w:t xml:space="preserve"> for certain </w:t>
      </w:r>
      <w:r w:rsidRPr="004F258B">
        <w:rPr>
          <w:i/>
          <w:lang w:val="en-CA"/>
        </w:rPr>
        <w:t>electricity storage facilities</w:t>
      </w:r>
      <w:r w:rsidRPr="004F258B">
        <w:rPr>
          <w:lang w:val="en-CA"/>
        </w:rPr>
        <w:t xml:space="preserve"> are eligible for a reimbursement of the </w:t>
      </w:r>
      <w:r w:rsidRPr="004F258B">
        <w:rPr>
          <w:i/>
          <w:lang w:val="en-CA"/>
        </w:rPr>
        <w:t>hourly uplifts</w:t>
      </w:r>
      <w:r w:rsidRPr="004F258B">
        <w:rPr>
          <w:lang w:val="en-CA"/>
        </w:rPr>
        <w:t xml:space="preserve"> and non-hourly </w:t>
      </w:r>
      <w:r w:rsidRPr="004F258B">
        <w:rPr>
          <w:i/>
          <w:lang w:val="en-CA"/>
        </w:rPr>
        <w:t>settlement amounts</w:t>
      </w:r>
      <w:r w:rsidRPr="004F258B">
        <w:rPr>
          <w:lang w:val="en-CA"/>
        </w:rPr>
        <w:t xml:space="preserve"> related to AQEW consumed as </w:t>
      </w:r>
      <w:r w:rsidRPr="004F258B">
        <w:rPr>
          <w:i/>
          <w:lang w:val="en-CA"/>
        </w:rPr>
        <w:t>electricity storage station service</w:t>
      </w:r>
      <w:r w:rsidRPr="004F258B">
        <w:rPr>
          <w:lang w:val="en-CA"/>
        </w:rPr>
        <w:t>.  Refer to Chapter 9, Sections 2.1A.13A and</w:t>
      </w:r>
      <w:r>
        <w:rPr>
          <w:lang w:val="en-CA"/>
        </w:rPr>
        <w:t xml:space="preserve"> </w:t>
      </w:r>
      <w:r w:rsidRPr="004F258B">
        <w:rPr>
          <w:lang w:val="en-CA"/>
        </w:rPr>
        <w:t xml:space="preserve">2.1A.13A.3 of the </w:t>
      </w:r>
      <w:r w:rsidRPr="004F258B">
        <w:rPr>
          <w:i/>
          <w:lang w:val="en-CA"/>
        </w:rPr>
        <w:t>market rules</w:t>
      </w:r>
      <w:r w:rsidRPr="004F258B">
        <w:rPr>
          <w:lang w:val="en-CA"/>
        </w:rPr>
        <w:t xml:space="preserve"> to find the eligibility requirements and the specific conditions under which this rebate applies.</w:t>
      </w:r>
    </w:p>
    <w:p w14:paraId="54D3FA81" w14:textId="77777777" w:rsidR="00E16474" w:rsidRPr="004F258B" w:rsidRDefault="00E16474" w:rsidP="00E16474">
      <w:pPr>
        <w:pStyle w:val="BodyText"/>
        <w:rPr>
          <w:lang w:val="en-CA"/>
        </w:rPr>
      </w:pPr>
      <w:r w:rsidRPr="004F258B">
        <w:rPr>
          <w:lang w:val="en-CA"/>
        </w:rPr>
        <w:t>If you</w:t>
      </w:r>
      <w:r w:rsidRPr="004F258B">
        <w:rPr>
          <w:rStyle w:val="FootnoteReference"/>
          <w:lang w:val="en-CA"/>
        </w:rPr>
        <w:footnoteReference w:id="23"/>
      </w:r>
      <w:r w:rsidRPr="004F258B">
        <w:rPr>
          <w:lang w:val="en-CA"/>
        </w:rPr>
        <w:t xml:space="preserve"> believe that your</w:t>
      </w:r>
      <w:r w:rsidRPr="004F258B">
        <w:rPr>
          <w:i/>
          <w:lang w:val="en-CA"/>
        </w:rPr>
        <w:t xml:space="preserve"> electricity storage facility</w:t>
      </w:r>
      <w:r>
        <w:rPr>
          <w:lang w:val="en-CA"/>
        </w:rPr>
        <w:t xml:space="preserve"> is eligible for this </w:t>
      </w:r>
      <w:r w:rsidRPr="004F258B">
        <w:rPr>
          <w:lang w:val="en-CA"/>
        </w:rPr>
        <w:t>rebate, you should:</w:t>
      </w:r>
    </w:p>
    <w:p w14:paraId="633E1BF9" w14:textId="77777777" w:rsidR="00E16474" w:rsidRPr="004F258B" w:rsidRDefault="00E16474" w:rsidP="00E16474">
      <w:pPr>
        <w:pStyle w:val="BodyText"/>
        <w:numPr>
          <w:ilvl w:val="0"/>
          <w:numId w:val="51"/>
        </w:numPr>
        <w:rPr>
          <w:lang w:val="en-CA"/>
        </w:rPr>
      </w:pPr>
      <w:r w:rsidRPr="004F258B">
        <w:rPr>
          <w:lang w:val="en-CA"/>
        </w:rPr>
        <w:t>download IMO_FORM_1419 “Application for Designation of a Facility for</w:t>
      </w:r>
      <w:r>
        <w:rPr>
          <w:lang w:val="en-CA"/>
        </w:rPr>
        <w:t xml:space="preserve"> Generation Station Service </w:t>
      </w:r>
      <w:r w:rsidRPr="004F258B">
        <w:rPr>
          <w:lang w:val="en-CA"/>
        </w:rPr>
        <w:t>Station Service Rebate” from our web site;</w:t>
      </w:r>
      <w:r>
        <w:rPr>
          <w:rStyle w:val="FootnoteReference"/>
          <w:lang w:val="en-CA"/>
        </w:rPr>
        <w:footnoteReference w:id="24"/>
      </w:r>
    </w:p>
    <w:p w14:paraId="60C41BFC" w14:textId="77777777" w:rsidR="00E16474" w:rsidRPr="004F258B" w:rsidRDefault="00E16474" w:rsidP="00E16474">
      <w:pPr>
        <w:pStyle w:val="BodyText"/>
        <w:numPr>
          <w:ilvl w:val="0"/>
          <w:numId w:val="51"/>
        </w:numPr>
        <w:rPr>
          <w:lang w:val="en-CA"/>
        </w:rPr>
      </w:pPr>
      <w:r w:rsidRPr="004F258B">
        <w:rPr>
          <w:lang w:val="en-CA"/>
        </w:rPr>
        <w:t>complete all applicable sections; and</w:t>
      </w:r>
    </w:p>
    <w:p w14:paraId="5E728E67" w14:textId="77777777" w:rsidR="00E16474" w:rsidRPr="004F258B" w:rsidRDefault="00E16474" w:rsidP="00E16474">
      <w:pPr>
        <w:pStyle w:val="BodyText"/>
        <w:numPr>
          <w:ilvl w:val="0"/>
          <w:numId w:val="51"/>
        </w:numPr>
        <w:rPr>
          <w:lang w:val="en-CA"/>
        </w:rPr>
      </w:pPr>
      <w:r w:rsidRPr="004F258B">
        <w:rPr>
          <w:lang w:val="en-CA"/>
        </w:rPr>
        <w:t>submit the form to us.</w:t>
      </w:r>
    </w:p>
    <w:p w14:paraId="6BCDE8EC" w14:textId="77777777" w:rsidR="00E16474" w:rsidRPr="004F258B" w:rsidRDefault="00E16474" w:rsidP="00E16474">
      <w:pPr>
        <w:pStyle w:val="BodyText"/>
        <w:rPr>
          <w:lang w:val="en-CA"/>
        </w:rPr>
      </w:pPr>
      <w:r w:rsidRPr="004F258B">
        <w:rPr>
          <w:lang w:val="en-CA"/>
        </w:rPr>
        <w:lastRenderedPageBreak/>
        <w:t>We will:</w:t>
      </w:r>
    </w:p>
    <w:p w14:paraId="556D87F7" w14:textId="77777777" w:rsidR="00E16474" w:rsidRPr="004F258B" w:rsidRDefault="00E16474" w:rsidP="00E16474">
      <w:pPr>
        <w:pStyle w:val="BodyText"/>
        <w:numPr>
          <w:ilvl w:val="0"/>
          <w:numId w:val="50"/>
        </w:numPr>
        <w:rPr>
          <w:lang w:val="en-CA"/>
        </w:rPr>
      </w:pPr>
      <w:r w:rsidRPr="004F258B">
        <w:rPr>
          <w:lang w:val="en-CA"/>
        </w:rPr>
        <w:t>review your application;</w:t>
      </w:r>
    </w:p>
    <w:p w14:paraId="6605EDAA" w14:textId="77777777" w:rsidR="00E16474" w:rsidRPr="004F258B" w:rsidRDefault="00E16474" w:rsidP="00E16474">
      <w:pPr>
        <w:pStyle w:val="BodyText"/>
        <w:numPr>
          <w:ilvl w:val="0"/>
          <w:numId w:val="50"/>
        </w:numPr>
        <w:rPr>
          <w:lang w:val="en-CA"/>
        </w:rPr>
      </w:pPr>
      <w:r w:rsidRPr="004F258B">
        <w:rPr>
          <w:lang w:val="en-CA"/>
        </w:rPr>
        <w:t>request additional information in order to assess the application, if necessary;</w:t>
      </w:r>
    </w:p>
    <w:p w14:paraId="0C7B71EC" w14:textId="77777777" w:rsidR="00E16474" w:rsidRPr="004F258B" w:rsidRDefault="00E16474" w:rsidP="00E16474">
      <w:pPr>
        <w:pStyle w:val="BodyText"/>
        <w:numPr>
          <w:ilvl w:val="0"/>
          <w:numId w:val="50"/>
        </w:numPr>
        <w:rPr>
          <w:lang w:val="en-CA"/>
        </w:rPr>
      </w:pPr>
      <w:r w:rsidRPr="004F258B">
        <w:rPr>
          <w:lang w:val="en-CA"/>
        </w:rPr>
        <w:t xml:space="preserve">determine if your </w:t>
      </w:r>
      <w:r w:rsidRPr="004F258B">
        <w:rPr>
          <w:i/>
          <w:lang w:val="en-CA"/>
        </w:rPr>
        <w:t>electricity storage facility</w:t>
      </w:r>
      <w:r w:rsidRPr="004F258B">
        <w:rPr>
          <w:lang w:val="en-CA"/>
        </w:rPr>
        <w:t xml:space="preserve"> meets the requirements for the rebate designation; and</w:t>
      </w:r>
    </w:p>
    <w:p w14:paraId="76CE1212" w14:textId="77777777" w:rsidR="00E16474" w:rsidRPr="004F258B" w:rsidRDefault="00E16474" w:rsidP="00E16474">
      <w:pPr>
        <w:pStyle w:val="BodyText"/>
        <w:numPr>
          <w:ilvl w:val="0"/>
          <w:numId w:val="50"/>
        </w:numPr>
        <w:ind w:left="360" w:firstLine="0"/>
        <w:rPr>
          <w:lang w:val="en-CA"/>
        </w:rPr>
      </w:pPr>
      <w:r w:rsidRPr="004F258B">
        <w:rPr>
          <w:lang w:val="en-CA"/>
        </w:rPr>
        <w:t>notify you in writing of our determination.</w:t>
      </w:r>
    </w:p>
    <w:p w14:paraId="5A98243D" w14:textId="77777777" w:rsidR="00E16474" w:rsidRPr="004F258B" w:rsidRDefault="00E16474" w:rsidP="00E16474">
      <w:r w:rsidRPr="004F258B">
        <w:rPr>
          <w:lang w:val="en-CA"/>
        </w:rPr>
        <w:t>If you meet the requirement for the rebate designation, we</w:t>
      </w:r>
      <w:r w:rsidRPr="004F258B">
        <w:t xml:space="preserve"> will adjust the </w:t>
      </w:r>
      <w:r w:rsidRPr="004F258B">
        <w:rPr>
          <w:i/>
        </w:rPr>
        <w:t>hourly uplifts</w:t>
      </w:r>
      <w:r w:rsidRPr="004F258B">
        <w:t xml:space="preserve"> and non-hourly </w:t>
      </w:r>
      <w:r w:rsidRPr="004F258B">
        <w:rPr>
          <w:i/>
        </w:rPr>
        <w:t>settlement amounts</w:t>
      </w:r>
      <w:r w:rsidRPr="004F258B">
        <w:t xml:space="preserve"> that may have accumulated at the </w:t>
      </w:r>
      <w:r w:rsidRPr="004F258B">
        <w:rPr>
          <w:i/>
          <w:lang w:val="en-CA"/>
        </w:rPr>
        <w:t>electricity storage station service</w:t>
      </w:r>
      <w:r w:rsidRPr="004F258B">
        <w:rPr>
          <w:i/>
        </w:rPr>
        <w:t xml:space="preserve"> delivery point</w:t>
      </w:r>
      <w:r w:rsidRPr="004F258B">
        <w:t xml:space="preserve"> during the periods where the eligible </w:t>
      </w:r>
      <w:r w:rsidRPr="004F258B">
        <w:rPr>
          <w:i/>
        </w:rPr>
        <w:t>electricity storage facility</w:t>
      </w:r>
      <w:r w:rsidRPr="004F258B">
        <w:t xml:space="preserve"> was a net injector of </w:t>
      </w:r>
      <w:r w:rsidRPr="004F258B">
        <w:rPr>
          <w:i/>
        </w:rPr>
        <w:t>energy</w:t>
      </w:r>
      <w:r w:rsidRPr="004F258B">
        <w:t xml:space="preserve"> into the </w:t>
      </w:r>
      <w:r w:rsidRPr="004F258B">
        <w:rPr>
          <w:i/>
        </w:rPr>
        <w:t>IESO-controlled grid</w:t>
      </w:r>
      <w:r w:rsidRPr="004F258B">
        <w:t>.</w:t>
      </w:r>
    </w:p>
    <w:p w14:paraId="19B320FD" w14:textId="77777777" w:rsidR="00E16474" w:rsidRPr="004F258B" w:rsidRDefault="00E16474" w:rsidP="00E16474">
      <w:r w:rsidRPr="004F258B">
        <w:t xml:space="preserve">Reimbursement amounts are calculated at month-end and applied to the last </w:t>
      </w:r>
      <w:r w:rsidRPr="004F258B">
        <w:rPr>
          <w:i/>
        </w:rPr>
        <w:t>trading day</w:t>
      </w:r>
      <w:r w:rsidRPr="004F258B">
        <w:t xml:space="preserve"> of the month as a manual line item on the </w:t>
      </w:r>
      <w:r w:rsidRPr="004F258B">
        <w:rPr>
          <w:i/>
        </w:rPr>
        <w:t>preliminary settlement statements</w:t>
      </w:r>
      <w:r w:rsidRPr="004F258B">
        <w:t xml:space="preserve"> and the </w:t>
      </w:r>
      <w:r w:rsidRPr="004F258B">
        <w:rPr>
          <w:i/>
        </w:rPr>
        <w:t>final settlement stat</w:t>
      </w:r>
      <w:r w:rsidRPr="004F258B">
        <w:t xml:space="preserve">ement for each </w:t>
      </w:r>
      <w:r w:rsidRPr="004F258B">
        <w:rPr>
          <w:i/>
        </w:rPr>
        <w:t>electricity storage facility</w:t>
      </w:r>
      <w:r w:rsidRPr="004F258B">
        <w:t xml:space="preserve"> as </w:t>
      </w:r>
      <w:r w:rsidRPr="004F258B">
        <w:rPr>
          <w:i/>
        </w:rPr>
        <w:t>charge type</w:t>
      </w:r>
      <w:r w:rsidRPr="004F258B">
        <w:t xml:space="preserve"> 119 – Station Service Reimbursement Credit.</w:t>
      </w:r>
    </w:p>
    <w:p w14:paraId="2538AA9D" w14:textId="080541CF" w:rsidR="00E16474" w:rsidRDefault="00E16474" w:rsidP="00E16474">
      <w:pPr>
        <w:pStyle w:val="BodyText"/>
        <w:rPr>
          <w:lang w:val="en-CA"/>
        </w:rPr>
      </w:pPr>
      <w:r w:rsidRPr="004F258B">
        <w:t xml:space="preserve">The offsetting </w:t>
      </w:r>
      <w:r w:rsidRPr="004F258B">
        <w:rPr>
          <w:i/>
        </w:rPr>
        <w:t>charge type</w:t>
      </w:r>
      <w:r w:rsidRPr="004F258B">
        <w:t xml:space="preserve"> 169 – Station Service Reimbursement Debit is included on the </w:t>
      </w:r>
      <w:r w:rsidRPr="004F258B">
        <w:rPr>
          <w:i/>
        </w:rPr>
        <w:t>preliminary settlement statement</w:t>
      </w:r>
      <w:r w:rsidRPr="004F258B">
        <w:t xml:space="preserve"> and the </w:t>
      </w:r>
      <w:r w:rsidRPr="004F258B">
        <w:rPr>
          <w:i/>
        </w:rPr>
        <w:t>final settlement statement</w:t>
      </w:r>
      <w:r w:rsidRPr="004F258B">
        <w:t xml:space="preserve"> of all load customers for the last </w:t>
      </w:r>
      <w:r w:rsidRPr="004F258B">
        <w:rPr>
          <w:i/>
        </w:rPr>
        <w:t>trading day</w:t>
      </w:r>
      <w:r>
        <w:t xml:space="preserve"> of the month</w:t>
      </w:r>
    </w:p>
    <w:p w14:paraId="7BD62408" w14:textId="6D73C7EC" w:rsidR="00855CB7" w:rsidRDefault="00987D60">
      <w:pPr>
        <w:pStyle w:val="Heading3"/>
        <w:rPr>
          <w:lang w:val="en-CA"/>
        </w:rPr>
      </w:pPr>
      <w:bookmarkStart w:id="141" w:name="_Toc279760856"/>
      <w:bookmarkStart w:id="142" w:name="_Toc282178266"/>
      <w:bookmarkStart w:id="143" w:name="_Toc282493049"/>
      <w:bookmarkStart w:id="144" w:name="_Toc282591412"/>
      <w:bookmarkStart w:id="145" w:name="_Toc282592520"/>
      <w:bookmarkStart w:id="146" w:name="_Toc282601334"/>
      <w:bookmarkStart w:id="147" w:name="_Toc282684779"/>
      <w:bookmarkStart w:id="148" w:name="_Toc282684947"/>
      <w:bookmarkStart w:id="149" w:name="_Toc279760857"/>
      <w:bookmarkStart w:id="150" w:name="_Toc282178267"/>
      <w:bookmarkStart w:id="151" w:name="_Toc282493050"/>
      <w:bookmarkStart w:id="152" w:name="_Toc282591413"/>
      <w:bookmarkStart w:id="153" w:name="_Toc282592521"/>
      <w:bookmarkStart w:id="154" w:name="_Toc282601335"/>
      <w:bookmarkStart w:id="155" w:name="_Toc282684780"/>
      <w:bookmarkStart w:id="156" w:name="_Toc282684948"/>
      <w:bookmarkStart w:id="157" w:name="_Toc279760858"/>
      <w:bookmarkStart w:id="158" w:name="_Toc282178268"/>
      <w:bookmarkStart w:id="159" w:name="_Toc282493051"/>
      <w:bookmarkStart w:id="160" w:name="_Toc282591414"/>
      <w:bookmarkStart w:id="161" w:name="_Toc282592522"/>
      <w:bookmarkStart w:id="162" w:name="_Toc282601336"/>
      <w:bookmarkStart w:id="163" w:name="_Toc282684781"/>
      <w:bookmarkStart w:id="164" w:name="_Toc282684949"/>
      <w:bookmarkStart w:id="165" w:name="_Toc279760859"/>
      <w:bookmarkStart w:id="166" w:name="_Toc282178269"/>
      <w:bookmarkStart w:id="167" w:name="_Toc282493052"/>
      <w:bookmarkStart w:id="168" w:name="_Toc282591415"/>
      <w:bookmarkStart w:id="169" w:name="_Toc282592523"/>
      <w:bookmarkStart w:id="170" w:name="_Toc282601337"/>
      <w:bookmarkStart w:id="171" w:name="_Toc282684782"/>
      <w:bookmarkStart w:id="172" w:name="_Toc282684950"/>
      <w:bookmarkStart w:id="173" w:name="_Toc279760860"/>
      <w:bookmarkStart w:id="174" w:name="_Toc282178270"/>
      <w:bookmarkStart w:id="175" w:name="_Toc282493053"/>
      <w:bookmarkStart w:id="176" w:name="_Toc282591416"/>
      <w:bookmarkStart w:id="177" w:name="_Toc282592524"/>
      <w:bookmarkStart w:id="178" w:name="_Toc282601338"/>
      <w:bookmarkStart w:id="179" w:name="_Toc282684783"/>
      <w:bookmarkStart w:id="180" w:name="_Toc282684951"/>
      <w:bookmarkStart w:id="181" w:name="_Toc279760861"/>
      <w:bookmarkStart w:id="182" w:name="_Toc282178271"/>
      <w:bookmarkStart w:id="183" w:name="_Toc282493054"/>
      <w:bookmarkStart w:id="184" w:name="_Toc282591417"/>
      <w:bookmarkStart w:id="185" w:name="_Toc282592525"/>
      <w:bookmarkStart w:id="186" w:name="_Toc282601339"/>
      <w:bookmarkStart w:id="187" w:name="_Toc282684784"/>
      <w:bookmarkStart w:id="188" w:name="_Toc282684952"/>
      <w:bookmarkStart w:id="189" w:name="_Toc279760862"/>
      <w:bookmarkStart w:id="190" w:name="_Toc282178272"/>
      <w:bookmarkStart w:id="191" w:name="_Toc282493055"/>
      <w:bookmarkStart w:id="192" w:name="_Toc282591418"/>
      <w:bookmarkStart w:id="193" w:name="_Toc282592526"/>
      <w:bookmarkStart w:id="194" w:name="_Toc282601340"/>
      <w:bookmarkStart w:id="195" w:name="_Toc282684785"/>
      <w:bookmarkStart w:id="196" w:name="_Toc282684953"/>
      <w:bookmarkStart w:id="197" w:name="_Toc279760863"/>
      <w:bookmarkStart w:id="198" w:name="_Toc282178273"/>
      <w:bookmarkStart w:id="199" w:name="_Toc282493056"/>
      <w:bookmarkStart w:id="200" w:name="_Toc282591419"/>
      <w:bookmarkStart w:id="201" w:name="_Toc282592527"/>
      <w:bookmarkStart w:id="202" w:name="_Toc282601341"/>
      <w:bookmarkStart w:id="203" w:name="_Toc282684786"/>
      <w:bookmarkStart w:id="204" w:name="_Toc282684954"/>
      <w:bookmarkStart w:id="205" w:name="_Toc279760864"/>
      <w:bookmarkStart w:id="206" w:name="_Toc282178274"/>
      <w:bookmarkStart w:id="207" w:name="_Toc282493057"/>
      <w:bookmarkStart w:id="208" w:name="_Toc282591420"/>
      <w:bookmarkStart w:id="209" w:name="_Toc282592528"/>
      <w:bookmarkStart w:id="210" w:name="_Toc282601342"/>
      <w:bookmarkStart w:id="211" w:name="_Toc282684787"/>
      <w:bookmarkStart w:id="212" w:name="_Toc282684955"/>
      <w:bookmarkStart w:id="213" w:name="_Toc279760865"/>
      <w:bookmarkStart w:id="214" w:name="_Toc282178275"/>
      <w:bookmarkStart w:id="215" w:name="_Toc282493058"/>
      <w:bookmarkStart w:id="216" w:name="_Toc282591421"/>
      <w:bookmarkStart w:id="217" w:name="_Toc282592529"/>
      <w:bookmarkStart w:id="218" w:name="_Toc282601343"/>
      <w:bookmarkStart w:id="219" w:name="_Toc282684788"/>
      <w:bookmarkStart w:id="220" w:name="_Toc282684956"/>
      <w:bookmarkStart w:id="221" w:name="_Toc279760866"/>
      <w:bookmarkStart w:id="222" w:name="_Toc282178276"/>
      <w:bookmarkStart w:id="223" w:name="_Toc282493059"/>
      <w:bookmarkStart w:id="224" w:name="_Toc282591422"/>
      <w:bookmarkStart w:id="225" w:name="_Toc282592530"/>
      <w:bookmarkStart w:id="226" w:name="_Toc282601344"/>
      <w:bookmarkStart w:id="227" w:name="_Toc282684789"/>
      <w:bookmarkStart w:id="228" w:name="_Toc282684957"/>
      <w:bookmarkStart w:id="229" w:name="_Toc79657933"/>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r>
        <w:rPr>
          <w:lang w:val="en-CA"/>
        </w:rPr>
        <w:t>Intentionally Left Blank</w:t>
      </w:r>
      <w:bookmarkEnd w:id="229"/>
    </w:p>
    <w:p w14:paraId="3BE74B49" w14:textId="44074BA8" w:rsidR="00C71552" w:rsidRDefault="00C71552" w:rsidP="00C71552">
      <w:pPr>
        <w:pStyle w:val="BodyTextNote"/>
        <w:pBdr>
          <w:top w:val="single" w:sz="2" w:space="1" w:color="auto"/>
          <w:left w:val="single" w:sz="2" w:space="4" w:color="auto"/>
          <w:bottom w:val="single" w:sz="2" w:space="1" w:color="auto"/>
          <w:right w:val="single" w:sz="2" w:space="4" w:color="auto"/>
        </w:pBdr>
        <w:tabs>
          <w:tab w:val="clear" w:pos="576"/>
          <w:tab w:val="left" w:pos="720"/>
        </w:tabs>
        <w:ind w:left="720" w:hanging="720"/>
      </w:pPr>
      <w:r w:rsidRPr="002A55B6">
        <w:rPr>
          <w:szCs w:val="22"/>
          <w:lang w:val="en-CA"/>
        </w:rPr>
        <w:t>The section ‘</w:t>
      </w:r>
      <w:r>
        <w:rPr>
          <w:szCs w:val="22"/>
          <w:lang w:val="en-CA"/>
        </w:rPr>
        <w:t>Debt Retirement Charge (DRC)</w:t>
      </w:r>
      <w:r w:rsidRPr="002A55B6">
        <w:rPr>
          <w:szCs w:val="22"/>
          <w:lang w:val="en-CA"/>
        </w:rPr>
        <w:t>’ has been removed</w:t>
      </w:r>
      <w:r w:rsidR="006B5440">
        <w:rPr>
          <w:szCs w:val="22"/>
          <w:lang w:val="en-CA"/>
        </w:rPr>
        <w:t>.</w:t>
      </w:r>
      <w:r w:rsidRPr="002A55B6">
        <w:rPr>
          <w:szCs w:val="22"/>
          <w:lang w:val="en-CA"/>
        </w:rPr>
        <w:t xml:space="preserve"> The archived section can be found in Appendix E.</w:t>
      </w:r>
      <w:r w:rsidR="006B5440">
        <w:rPr>
          <w:szCs w:val="22"/>
          <w:lang w:val="en-CA"/>
        </w:rPr>
        <w:t>14</w:t>
      </w:r>
      <w:r w:rsidRPr="002A55B6">
        <w:rPr>
          <w:szCs w:val="22"/>
          <w:lang w:val="en-CA"/>
        </w:rPr>
        <w:t>.</w:t>
      </w:r>
    </w:p>
    <w:p w14:paraId="39CC1302" w14:textId="6827F1BD" w:rsidR="00855CB7" w:rsidRPr="00AF1FD3" w:rsidRDefault="00E25DF6" w:rsidP="002F1EB7">
      <w:pPr>
        <w:pStyle w:val="Heading3"/>
        <w:spacing w:before="480"/>
        <w:rPr>
          <w:lang w:val="en-CA"/>
        </w:rPr>
      </w:pPr>
      <w:bookmarkStart w:id="230" w:name="_Toc66970669"/>
      <w:bookmarkStart w:id="231" w:name="_Toc67320772"/>
      <w:bookmarkStart w:id="232" w:name="_Toc67320885"/>
      <w:bookmarkStart w:id="233" w:name="_Toc67560414"/>
      <w:bookmarkStart w:id="234" w:name="_Toc68157620"/>
      <w:bookmarkStart w:id="235" w:name="_Toc68157934"/>
      <w:bookmarkStart w:id="236" w:name="_Toc68162405"/>
      <w:bookmarkStart w:id="237" w:name="_Toc69904206"/>
      <w:bookmarkStart w:id="238" w:name="_Toc71535154"/>
      <w:bookmarkStart w:id="239" w:name="_Toc66970671"/>
      <w:bookmarkStart w:id="240" w:name="_Toc67320774"/>
      <w:bookmarkStart w:id="241" w:name="_Toc67320887"/>
      <w:bookmarkStart w:id="242" w:name="_Toc67560416"/>
      <w:bookmarkStart w:id="243" w:name="_Toc68157622"/>
      <w:bookmarkStart w:id="244" w:name="_Toc68157936"/>
      <w:bookmarkStart w:id="245" w:name="_Toc68162407"/>
      <w:bookmarkStart w:id="246" w:name="_Toc69904208"/>
      <w:bookmarkStart w:id="247" w:name="_Toc71535156"/>
      <w:bookmarkStart w:id="248" w:name="_Toc66970672"/>
      <w:bookmarkStart w:id="249" w:name="_Toc67320775"/>
      <w:bookmarkStart w:id="250" w:name="_Toc67320888"/>
      <w:bookmarkStart w:id="251" w:name="_Toc67560417"/>
      <w:bookmarkStart w:id="252" w:name="_Toc68157623"/>
      <w:bookmarkStart w:id="253" w:name="_Toc68157937"/>
      <w:bookmarkStart w:id="254" w:name="_Toc68162408"/>
      <w:bookmarkStart w:id="255" w:name="_Toc69904209"/>
      <w:bookmarkStart w:id="256" w:name="_Toc71535157"/>
      <w:bookmarkStart w:id="257" w:name="_Toc66970680"/>
      <w:bookmarkStart w:id="258" w:name="_Toc67320783"/>
      <w:bookmarkStart w:id="259" w:name="_Toc67320896"/>
      <w:bookmarkStart w:id="260" w:name="_Toc67560425"/>
      <w:bookmarkStart w:id="261" w:name="_Toc68157631"/>
      <w:bookmarkStart w:id="262" w:name="_Toc68157945"/>
      <w:bookmarkStart w:id="263" w:name="_Toc68162416"/>
      <w:bookmarkStart w:id="264" w:name="_Toc69904217"/>
      <w:bookmarkStart w:id="265" w:name="_Toc71535165"/>
      <w:bookmarkStart w:id="266" w:name="_Toc66970681"/>
      <w:bookmarkStart w:id="267" w:name="_Toc67320784"/>
      <w:bookmarkStart w:id="268" w:name="_Toc67320897"/>
      <w:bookmarkStart w:id="269" w:name="_Toc67560426"/>
      <w:bookmarkStart w:id="270" w:name="_Toc68157632"/>
      <w:bookmarkStart w:id="271" w:name="_Toc68157946"/>
      <w:bookmarkStart w:id="272" w:name="_Toc68162417"/>
      <w:bookmarkStart w:id="273" w:name="_Toc69904218"/>
      <w:bookmarkStart w:id="274" w:name="_Toc71535166"/>
      <w:bookmarkStart w:id="275" w:name="_Toc66970682"/>
      <w:bookmarkStart w:id="276" w:name="_Toc67320785"/>
      <w:bookmarkStart w:id="277" w:name="_Toc67320898"/>
      <w:bookmarkStart w:id="278" w:name="_Toc67560427"/>
      <w:bookmarkStart w:id="279" w:name="_Toc68157633"/>
      <w:bookmarkStart w:id="280" w:name="_Toc68157947"/>
      <w:bookmarkStart w:id="281" w:name="_Toc68162418"/>
      <w:bookmarkStart w:id="282" w:name="_Toc69904219"/>
      <w:bookmarkStart w:id="283" w:name="_Toc71535167"/>
      <w:bookmarkStart w:id="284" w:name="_Toc32038437"/>
      <w:bookmarkStart w:id="285" w:name="_Toc175383890"/>
      <w:bookmarkStart w:id="286" w:name="_Toc400369506"/>
      <w:bookmarkStart w:id="287" w:name="_Toc35796332"/>
      <w:bookmarkStart w:id="288" w:name="_Toc79657934"/>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r>
        <w:t>Intentionally Left Blank</w:t>
      </w:r>
      <w:bookmarkEnd w:id="284"/>
      <w:bookmarkEnd w:id="285"/>
      <w:bookmarkEnd w:id="286"/>
      <w:bookmarkEnd w:id="287"/>
      <w:bookmarkEnd w:id="288"/>
    </w:p>
    <w:p w14:paraId="650214FB" w14:textId="77777777" w:rsidR="002A55B6" w:rsidRDefault="002A55B6" w:rsidP="002A55B6">
      <w:pPr>
        <w:pStyle w:val="BodyTextNote"/>
        <w:pBdr>
          <w:top w:val="single" w:sz="2" w:space="1" w:color="auto"/>
          <w:left w:val="single" w:sz="2" w:space="4" w:color="auto"/>
          <w:bottom w:val="single" w:sz="2" w:space="1" w:color="auto"/>
          <w:right w:val="single" w:sz="2" w:space="4" w:color="auto"/>
        </w:pBdr>
        <w:tabs>
          <w:tab w:val="clear" w:pos="576"/>
          <w:tab w:val="left" w:pos="720"/>
        </w:tabs>
        <w:ind w:left="720" w:hanging="720"/>
      </w:pPr>
      <w:r w:rsidRPr="002A55B6">
        <w:rPr>
          <w:szCs w:val="22"/>
          <w:lang w:val="en-CA"/>
        </w:rPr>
        <w:t>The section ‘OPG Rebate Requests for Additional Payments or Returns’ has been removed The archived section can be found in Appendix E.</w:t>
      </w:r>
      <w:r w:rsidR="00462C3D">
        <w:rPr>
          <w:szCs w:val="22"/>
          <w:lang w:val="en-CA"/>
        </w:rPr>
        <w:t>8</w:t>
      </w:r>
      <w:r w:rsidRPr="002A55B6">
        <w:rPr>
          <w:szCs w:val="22"/>
          <w:lang w:val="en-CA"/>
        </w:rPr>
        <w:t>.</w:t>
      </w:r>
    </w:p>
    <w:p w14:paraId="1BEBD88C" w14:textId="77777777" w:rsidR="002A55B6" w:rsidRDefault="002A55B6" w:rsidP="00155EB2">
      <w:pPr>
        <w:pStyle w:val="BodyText"/>
        <w:rPr>
          <w:lang w:val="en-CA"/>
        </w:rPr>
      </w:pPr>
    </w:p>
    <w:p w14:paraId="41DF33E6" w14:textId="77777777" w:rsidR="007B577C" w:rsidRDefault="00B706EC" w:rsidP="00EE6B86">
      <w:pPr>
        <w:pStyle w:val="Heading3"/>
        <w:spacing w:before="240" w:after="240"/>
        <w:rPr>
          <w:lang w:val="en-CA"/>
        </w:rPr>
      </w:pPr>
      <w:bookmarkStart w:id="289" w:name="_Toc234844330"/>
      <w:bookmarkStart w:id="290" w:name="_Toc234844331"/>
      <w:bookmarkStart w:id="291" w:name="_Toc234844366"/>
      <w:bookmarkStart w:id="292" w:name="_Toc234844367"/>
      <w:bookmarkStart w:id="293" w:name="_Toc234844368"/>
      <w:bookmarkStart w:id="294" w:name="_Toc234844369"/>
      <w:bookmarkStart w:id="295" w:name="_Toc400369507"/>
      <w:bookmarkStart w:id="296" w:name="_Toc35796333"/>
      <w:bookmarkStart w:id="297" w:name="_Toc79657935"/>
      <w:bookmarkStart w:id="298" w:name="_Toc175383891"/>
      <w:bookmarkEnd w:id="289"/>
      <w:bookmarkEnd w:id="290"/>
      <w:bookmarkEnd w:id="291"/>
      <w:bookmarkEnd w:id="292"/>
      <w:bookmarkEnd w:id="293"/>
      <w:bookmarkEnd w:id="294"/>
      <w:r>
        <w:t>Intentionally Left Blank</w:t>
      </w:r>
      <w:bookmarkEnd w:id="295"/>
      <w:bookmarkEnd w:id="296"/>
      <w:bookmarkEnd w:id="297"/>
    </w:p>
    <w:p w14:paraId="2AD6CB82" w14:textId="77777777" w:rsidR="00A97391" w:rsidRDefault="00A97391" w:rsidP="000B561D">
      <w:pPr>
        <w:pStyle w:val="BodyTextNote"/>
        <w:pBdr>
          <w:top w:val="single" w:sz="2" w:space="1" w:color="auto"/>
          <w:left w:val="single" w:sz="2" w:space="4" w:color="auto"/>
          <w:bottom w:val="single" w:sz="2" w:space="2" w:color="auto"/>
          <w:right w:val="single" w:sz="2" w:space="4" w:color="auto"/>
        </w:pBdr>
        <w:tabs>
          <w:tab w:val="clear" w:pos="576"/>
          <w:tab w:val="left" w:pos="720"/>
        </w:tabs>
        <w:ind w:left="720" w:hanging="720"/>
      </w:pPr>
      <w:r>
        <w:rPr>
          <w:szCs w:val="22"/>
          <w:lang w:val="en-CA"/>
        </w:rPr>
        <w:t>T</w:t>
      </w:r>
      <w:r w:rsidRPr="00E014D3">
        <w:rPr>
          <w:szCs w:val="22"/>
          <w:lang w:val="en-CA"/>
        </w:rPr>
        <w:t xml:space="preserve">he </w:t>
      </w:r>
      <w:r>
        <w:rPr>
          <w:szCs w:val="22"/>
          <w:lang w:val="en-CA"/>
        </w:rPr>
        <w:t>section ‘Real-time Generation Cost Guarantees’ has been removed</w:t>
      </w:r>
      <w:r w:rsidR="00E65B08">
        <w:rPr>
          <w:szCs w:val="22"/>
          <w:lang w:val="en-CA"/>
        </w:rPr>
        <w:t xml:space="preserve"> </w:t>
      </w:r>
      <w:r w:rsidR="00E7287B">
        <w:rPr>
          <w:szCs w:val="22"/>
          <w:lang w:val="en-CA"/>
        </w:rPr>
        <w:t>effective August 1, 2017</w:t>
      </w:r>
      <w:r>
        <w:rPr>
          <w:szCs w:val="22"/>
          <w:lang w:val="en-CA"/>
        </w:rPr>
        <w:t>. Content relating to the GCG program can be found in Market Manual 4: Market Operations Part 4.6: Real-Time Generation Cost Guarantee Program (PRO_324)</w:t>
      </w:r>
      <w:r w:rsidRPr="00E014D3">
        <w:rPr>
          <w:szCs w:val="22"/>
          <w:lang w:val="en-CA"/>
        </w:rPr>
        <w:t xml:space="preserve">. </w:t>
      </w:r>
      <w:r>
        <w:rPr>
          <w:szCs w:val="22"/>
          <w:lang w:val="en-CA"/>
        </w:rPr>
        <w:t>The archived section can be found in Appendix E.7.</w:t>
      </w:r>
    </w:p>
    <w:bookmarkEnd w:id="298"/>
    <w:p w14:paraId="0D4A029C" w14:textId="77777777" w:rsidR="00F74C0A" w:rsidRDefault="00F74C0A">
      <w:pPr>
        <w:pStyle w:val="BodyTextNumContinue"/>
        <w:ind w:left="0"/>
        <w:rPr>
          <w:szCs w:val="22"/>
        </w:rPr>
      </w:pPr>
    </w:p>
    <w:p w14:paraId="6B52DFFA" w14:textId="77777777" w:rsidR="00F74C0A" w:rsidRDefault="00F74C0A">
      <w:pPr>
        <w:pStyle w:val="BodyTextNumContinue"/>
        <w:ind w:left="0"/>
        <w:rPr>
          <w:szCs w:val="22"/>
        </w:rPr>
        <w:sectPr w:rsidR="00F74C0A" w:rsidSect="00D3686B">
          <w:headerReference w:type="even" r:id="rId29"/>
          <w:headerReference w:type="default" r:id="rId30"/>
          <w:footerReference w:type="even" r:id="rId31"/>
          <w:footerReference w:type="default" r:id="rId32"/>
          <w:pgSz w:w="12240" w:h="15840" w:code="1"/>
          <w:pgMar w:top="1440" w:right="1440" w:bottom="1440" w:left="1800" w:header="720" w:footer="720" w:gutter="0"/>
          <w:pgNumType w:start="2" w:chapSep="enDash"/>
          <w:cols w:space="720"/>
          <w:docGrid w:linePitch="299"/>
        </w:sectPr>
      </w:pPr>
    </w:p>
    <w:p w14:paraId="65677AB2" w14:textId="77777777" w:rsidR="00855CB7" w:rsidRDefault="00855CB7">
      <w:pPr>
        <w:pStyle w:val="Heading3"/>
        <w:rPr>
          <w:lang w:val="en-CA"/>
        </w:rPr>
      </w:pPr>
      <w:bookmarkStart w:id="299" w:name="_Toc306375441"/>
      <w:bookmarkStart w:id="300" w:name="_Toc309896431"/>
      <w:bookmarkStart w:id="301" w:name="_Toc309897087"/>
      <w:bookmarkStart w:id="302" w:name="_Toc270680245"/>
      <w:bookmarkStart w:id="303" w:name="_Toc270680455"/>
      <w:bookmarkStart w:id="304" w:name="_Toc270680246"/>
      <w:bookmarkStart w:id="305" w:name="_Toc270680456"/>
      <w:bookmarkStart w:id="306" w:name="_Toc270680247"/>
      <w:bookmarkStart w:id="307" w:name="_Toc270680457"/>
      <w:bookmarkStart w:id="308" w:name="_Toc270680248"/>
      <w:bookmarkStart w:id="309" w:name="_Toc270680458"/>
      <w:bookmarkStart w:id="310" w:name="_Toc270680249"/>
      <w:bookmarkStart w:id="311" w:name="_Toc270680459"/>
      <w:bookmarkStart w:id="312" w:name="_Toc270680250"/>
      <w:bookmarkStart w:id="313" w:name="_Toc270680460"/>
      <w:bookmarkStart w:id="314" w:name="_Toc270680251"/>
      <w:bookmarkStart w:id="315" w:name="_Toc270680461"/>
      <w:bookmarkStart w:id="316" w:name="_Toc270680252"/>
      <w:bookmarkStart w:id="317" w:name="_Toc270680462"/>
      <w:bookmarkStart w:id="318" w:name="_Toc270680253"/>
      <w:bookmarkStart w:id="319" w:name="_Toc270680463"/>
      <w:bookmarkStart w:id="320" w:name="_Toc270680254"/>
      <w:bookmarkStart w:id="321" w:name="_Toc270680464"/>
      <w:bookmarkStart w:id="322" w:name="_Toc270680255"/>
      <w:bookmarkStart w:id="323" w:name="_Toc270680465"/>
      <w:bookmarkStart w:id="324" w:name="_Toc270680256"/>
      <w:bookmarkStart w:id="325" w:name="_Toc270680466"/>
      <w:bookmarkStart w:id="326" w:name="_Toc270680257"/>
      <w:bookmarkStart w:id="327" w:name="_Toc270680467"/>
      <w:bookmarkStart w:id="328" w:name="_Toc270680258"/>
      <w:bookmarkStart w:id="329" w:name="_Toc270680468"/>
      <w:bookmarkStart w:id="330" w:name="_Toc270680259"/>
      <w:bookmarkStart w:id="331" w:name="_Toc270680469"/>
      <w:bookmarkStart w:id="332" w:name="_Toc270680260"/>
      <w:bookmarkStart w:id="333" w:name="_Toc270680470"/>
      <w:bookmarkStart w:id="334" w:name="_Toc270680261"/>
      <w:bookmarkStart w:id="335" w:name="_Toc270680471"/>
      <w:bookmarkStart w:id="336" w:name="_Toc270680262"/>
      <w:bookmarkStart w:id="337" w:name="_Toc270680472"/>
      <w:bookmarkStart w:id="338" w:name="_Toc270680263"/>
      <w:bookmarkStart w:id="339" w:name="_Toc270680473"/>
      <w:bookmarkStart w:id="340" w:name="_Toc270680264"/>
      <w:bookmarkStart w:id="341" w:name="_Toc270680474"/>
      <w:bookmarkStart w:id="342" w:name="_Toc270680265"/>
      <w:bookmarkStart w:id="343" w:name="_Toc270680475"/>
      <w:bookmarkStart w:id="344" w:name="_Toc270680266"/>
      <w:bookmarkStart w:id="345" w:name="_Toc270680476"/>
      <w:bookmarkStart w:id="346" w:name="_Toc270680267"/>
      <w:bookmarkStart w:id="347" w:name="_Toc270680477"/>
      <w:bookmarkStart w:id="348" w:name="_Toc270680268"/>
      <w:bookmarkStart w:id="349" w:name="_Toc270680478"/>
      <w:bookmarkStart w:id="350" w:name="_Toc270680269"/>
      <w:bookmarkStart w:id="351" w:name="_Toc270680479"/>
      <w:bookmarkStart w:id="352" w:name="_Toc270680270"/>
      <w:bookmarkStart w:id="353" w:name="_Toc270680480"/>
      <w:bookmarkStart w:id="354" w:name="_Toc270680271"/>
      <w:bookmarkStart w:id="355" w:name="_Toc270680481"/>
      <w:bookmarkStart w:id="356" w:name="_Toc270680272"/>
      <w:bookmarkStart w:id="357" w:name="_Toc270680482"/>
      <w:bookmarkStart w:id="358" w:name="_Toc270680273"/>
      <w:bookmarkStart w:id="359" w:name="_Toc270680483"/>
      <w:bookmarkStart w:id="360" w:name="_Toc270680274"/>
      <w:bookmarkStart w:id="361" w:name="_Toc270680484"/>
      <w:bookmarkStart w:id="362" w:name="_Toc270680275"/>
      <w:bookmarkStart w:id="363" w:name="_Toc270680485"/>
      <w:bookmarkStart w:id="364" w:name="_Toc270680276"/>
      <w:bookmarkStart w:id="365" w:name="_Toc270680486"/>
      <w:bookmarkStart w:id="366" w:name="_Toc270680277"/>
      <w:bookmarkStart w:id="367" w:name="_Toc270680487"/>
      <w:bookmarkStart w:id="368" w:name="_Toc270680278"/>
      <w:bookmarkStart w:id="369" w:name="_Toc270680488"/>
      <w:bookmarkStart w:id="370" w:name="_Toc270680279"/>
      <w:bookmarkStart w:id="371" w:name="_Toc270680489"/>
      <w:bookmarkStart w:id="372" w:name="_Toc270680280"/>
      <w:bookmarkStart w:id="373" w:name="_Toc270680490"/>
      <w:bookmarkStart w:id="374" w:name="_Toc270680281"/>
      <w:bookmarkStart w:id="375" w:name="_Toc270680491"/>
      <w:bookmarkStart w:id="376" w:name="_Toc270680282"/>
      <w:bookmarkStart w:id="377" w:name="_Toc270680492"/>
      <w:bookmarkStart w:id="378" w:name="_Toc270680283"/>
      <w:bookmarkStart w:id="379" w:name="_Toc270680493"/>
      <w:bookmarkStart w:id="380" w:name="_Toc270680284"/>
      <w:bookmarkStart w:id="381" w:name="_Toc270680494"/>
      <w:bookmarkStart w:id="382" w:name="_Toc270680285"/>
      <w:bookmarkStart w:id="383" w:name="_Toc270680495"/>
      <w:bookmarkStart w:id="384" w:name="_Toc270680286"/>
      <w:bookmarkStart w:id="385" w:name="_Toc270680496"/>
      <w:bookmarkStart w:id="386" w:name="_Toc270680287"/>
      <w:bookmarkStart w:id="387" w:name="_Toc270680497"/>
      <w:bookmarkStart w:id="388" w:name="_Toc270680288"/>
      <w:bookmarkStart w:id="389" w:name="_Toc270680498"/>
      <w:bookmarkStart w:id="390" w:name="_Toc270680289"/>
      <w:bookmarkStart w:id="391" w:name="_Toc270680499"/>
      <w:bookmarkStart w:id="392" w:name="_Toc270680290"/>
      <w:bookmarkStart w:id="393" w:name="_Toc270680500"/>
      <w:bookmarkStart w:id="394" w:name="_Toc270680291"/>
      <w:bookmarkStart w:id="395" w:name="_Toc270680501"/>
      <w:bookmarkStart w:id="396" w:name="_Toc270680292"/>
      <w:bookmarkStart w:id="397" w:name="_Toc270680502"/>
      <w:bookmarkStart w:id="398" w:name="_Toc270680293"/>
      <w:bookmarkStart w:id="399" w:name="_Toc270680503"/>
      <w:bookmarkStart w:id="400" w:name="_Toc270680294"/>
      <w:bookmarkStart w:id="401" w:name="_Toc270680504"/>
      <w:bookmarkStart w:id="402" w:name="_Toc270680295"/>
      <w:bookmarkStart w:id="403" w:name="_Toc270680505"/>
      <w:bookmarkStart w:id="404" w:name="_Toc270680296"/>
      <w:bookmarkStart w:id="405" w:name="_Toc270680506"/>
      <w:bookmarkStart w:id="406" w:name="_Toc270680297"/>
      <w:bookmarkStart w:id="407" w:name="_Toc270680507"/>
      <w:bookmarkStart w:id="408" w:name="_Toc270680298"/>
      <w:bookmarkStart w:id="409" w:name="_Toc270680508"/>
      <w:bookmarkStart w:id="410" w:name="_Toc175383892"/>
      <w:bookmarkStart w:id="411" w:name="_Toc400369508"/>
      <w:bookmarkStart w:id="412" w:name="_Toc35796334"/>
      <w:bookmarkStart w:id="413" w:name="_Toc79657936"/>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r>
        <w:rPr>
          <w:lang w:val="en-CA"/>
        </w:rPr>
        <w:lastRenderedPageBreak/>
        <w:t>Administrative Pricing Event</w:t>
      </w:r>
      <w:bookmarkEnd w:id="410"/>
      <w:bookmarkEnd w:id="411"/>
      <w:bookmarkEnd w:id="412"/>
      <w:bookmarkEnd w:id="413"/>
    </w:p>
    <w:p w14:paraId="4DDAE8B0" w14:textId="77777777" w:rsidR="00855CB7" w:rsidRDefault="00855CB7">
      <w:pPr>
        <w:pStyle w:val="BodyText"/>
      </w:pPr>
      <w:r>
        <w:t xml:space="preserve">This section applies only when an “Administrative Pricing Event” does not exceed 48 </w:t>
      </w:r>
      <w:r>
        <w:rPr>
          <w:i/>
        </w:rPr>
        <w:t>dispatch intervals</w:t>
      </w:r>
      <w:r>
        <w:t xml:space="preserve"> and the </w:t>
      </w:r>
      <w:r>
        <w:rPr>
          <w:i/>
        </w:rPr>
        <w:t>market schedules</w:t>
      </w:r>
      <w:r>
        <w:t xml:space="preserve"> and prices were established by the “copy forward/back” methods</w:t>
      </w:r>
      <w:r w:rsidR="00DD6479">
        <w:rPr>
          <w:rStyle w:val="FootnoteReference"/>
        </w:rPr>
        <w:footnoteReference w:id="25"/>
      </w:r>
      <w:r>
        <w:t>.</w:t>
      </w:r>
    </w:p>
    <w:p w14:paraId="621D8299" w14:textId="77777777" w:rsidR="00855CB7" w:rsidRDefault="00855CB7">
      <w:pPr>
        <w:pStyle w:val="BodyText"/>
      </w:pPr>
      <w:r>
        <w:t xml:space="preserve">For situations where </w:t>
      </w:r>
      <w:r>
        <w:rPr>
          <w:i/>
        </w:rPr>
        <w:t>administrative prices</w:t>
      </w:r>
      <w:r>
        <w:t xml:space="preserve"> were applied beyond 48 </w:t>
      </w:r>
      <w:r>
        <w:rPr>
          <w:i/>
        </w:rPr>
        <w:t>dispatch intervals</w:t>
      </w:r>
      <w:r>
        <w:t xml:space="preserve">, please refer to </w:t>
      </w:r>
      <w:r w:rsidR="00C353C6">
        <w:t>“</w:t>
      </w:r>
      <w:r>
        <w:t>Market Manual 4.3: Real Time Scheduling of the Physical Markets</w:t>
      </w:r>
      <w:r w:rsidR="00C353C6">
        <w:t>”</w:t>
      </w:r>
      <w:r>
        <w:t>.</w:t>
      </w:r>
    </w:p>
    <w:p w14:paraId="21281F8B" w14:textId="77777777" w:rsidR="00855CB7" w:rsidRDefault="00855CB7">
      <w:pPr>
        <w:pStyle w:val="BodyText"/>
      </w:pPr>
      <w:r>
        <w:t xml:space="preserve">Where an “Administrative Pricing Event” does not exceed 48 </w:t>
      </w:r>
      <w:r>
        <w:rPr>
          <w:i/>
        </w:rPr>
        <w:t>dispatch intervals</w:t>
      </w:r>
      <w:r>
        <w:t xml:space="preserve">, some </w:t>
      </w:r>
      <w:r>
        <w:rPr>
          <w:i/>
        </w:rPr>
        <w:t>market participants</w:t>
      </w:r>
      <w:r>
        <w:t xml:space="preserve"> may not be adequately compensated</w:t>
      </w:r>
      <w:r w:rsidR="00DD6479">
        <w:rPr>
          <w:rStyle w:val="FootnoteReference"/>
        </w:rPr>
        <w:footnoteReference w:id="26"/>
      </w:r>
      <w:r>
        <w:t>. Should this occur</w:t>
      </w:r>
      <w:r w:rsidRPr="00DD6479">
        <w:t xml:space="preserve">, </w:t>
      </w:r>
      <w:r w:rsidR="00DD6479" w:rsidRPr="00DD6479">
        <w:t>you</w:t>
      </w:r>
      <w:r>
        <w:t xml:space="preserve"> may</w:t>
      </w:r>
      <w:r w:rsidR="00E06828">
        <w:t xml:space="preserve"> only</w:t>
      </w:r>
      <w:r>
        <w:t xml:space="preserve"> </w:t>
      </w:r>
      <w:r w:rsidR="00E06828">
        <w:t xml:space="preserve">submit a </w:t>
      </w:r>
      <w:r w:rsidR="00E06828">
        <w:rPr>
          <w:i/>
        </w:rPr>
        <w:t xml:space="preserve">notice of disagreement </w:t>
      </w:r>
      <w:r w:rsidR="00E06828">
        <w:t xml:space="preserve">within four </w:t>
      </w:r>
      <w:r w:rsidR="00E06828">
        <w:rPr>
          <w:i/>
        </w:rPr>
        <w:t xml:space="preserve">business days </w:t>
      </w:r>
      <w:r w:rsidR="00E06828">
        <w:t xml:space="preserve">after your </w:t>
      </w:r>
      <w:r w:rsidR="00E06828">
        <w:rPr>
          <w:i/>
        </w:rPr>
        <w:t xml:space="preserve">preliminary settlement statement </w:t>
      </w:r>
      <w:r w:rsidR="00E06828">
        <w:t xml:space="preserve">has been issued to </w:t>
      </w:r>
      <w:r>
        <w:t xml:space="preserve">request </w:t>
      </w:r>
      <w:r>
        <w:rPr>
          <w:i/>
        </w:rPr>
        <w:t>settlement amount</w:t>
      </w:r>
      <w:r>
        <w:t xml:space="preserve"> adjustments</w:t>
      </w:r>
      <w:r w:rsidR="00E06828">
        <w:t>.</w:t>
      </w:r>
    </w:p>
    <w:p w14:paraId="1B4EE9EB" w14:textId="77777777" w:rsidR="00855CB7" w:rsidRDefault="00855CB7">
      <w:pPr>
        <w:pStyle w:val="TableBullet"/>
        <w:ind w:left="357" w:hanging="357"/>
      </w:pPr>
      <w:r>
        <w:t xml:space="preserve">For the case where </w:t>
      </w:r>
      <w:r w:rsidR="00DD6479">
        <w:t>you</w:t>
      </w:r>
      <w:r>
        <w:t xml:space="preserve"> receive negative CMSC amounts, and all conditions stated in Chapter 7, Sections 8.4A.13 and 8.4A.14</w:t>
      </w:r>
      <w:r w:rsidR="0091432D" w:rsidRPr="0091432D">
        <w:rPr>
          <w:lang w:val="en-CA"/>
        </w:rPr>
        <w:t xml:space="preserve"> </w:t>
      </w:r>
      <w:r w:rsidR="0091432D">
        <w:rPr>
          <w:lang w:val="en-CA"/>
        </w:rPr>
        <w:t xml:space="preserve">of the </w:t>
      </w:r>
      <w:r w:rsidR="00752CC8" w:rsidRPr="00752CC8">
        <w:rPr>
          <w:i/>
          <w:lang w:val="en-CA"/>
        </w:rPr>
        <w:t>market rules</w:t>
      </w:r>
      <w:r>
        <w:t xml:space="preserve"> are met, </w:t>
      </w:r>
      <w:r w:rsidR="00DD6479">
        <w:t>we</w:t>
      </w:r>
      <w:r>
        <w:t xml:space="preserve"> will apply </w:t>
      </w:r>
      <w:r>
        <w:rPr>
          <w:i/>
        </w:rPr>
        <w:t>settlement amount</w:t>
      </w:r>
      <w:r>
        <w:t xml:space="preserve"> adjustments that offset the original negative CMSC amounts. The adjustments will appear </w:t>
      </w:r>
      <w:r>
        <w:rPr>
          <w:lang w:val="en-CA"/>
        </w:rPr>
        <w:t xml:space="preserve">under </w:t>
      </w:r>
      <w:r>
        <w:rPr>
          <w:i/>
          <w:lang w:val="en-CA"/>
        </w:rPr>
        <w:t>charge type</w:t>
      </w:r>
      <w:r w:rsidR="00FF7173">
        <w:rPr>
          <w:i/>
          <w:lang w:val="en-CA"/>
        </w:rPr>
        <w:t>s</w:t>
      </w:r>
      <w:r>
        <w:rPr>
          <w:lang w:val="en-CA"/>
        </w:rPr>
        <w:t xml:space="preserve"> 105, </w:t>
      </w:r>
      <w:r w:rsidR="00FF7173">
        <w:rPr>
          <w:lang w:val="en-CA"/>
        </w:rPr>
        <w:t xml:space="preserve">106, 107 or 108 </w:t>
      </w:r>
      <w:r>
        <w:rPr>
          <w:lang w:val="en-CA"/>
        </w:rPr>
        <w:t xml:space="preserve">on the </w:t>
      </w:r>
      <w:r w:rsidR="00FF7173">
        <w:rPr>
          <w:lang w:val="en-CA"/>
        </w:rPr>
        <w:t xml:space="preserve">corresponding </w:t>
      </w:r>
      <w:r w:rsidR="00FF7173">
        <w:rPr>
          <w:i/>
          <w:lang w:val="en-CA"/>
        </w:rPr>
        <w:t xml:space="preserve">final settlement statement.  </w:t>
      </w:r>
      <w:r w:rsidR="00FF7173">
        <w:rPr>
          <w:lang w:val="en-CA"/>
        </w:rPr>
        <w:t xml:space="preserve">If the deadline for issuing the </w:t>
      </w:r>
      <w:r w:rsidR="00FF7173">
        <w:rPr>
          <w:i/>
          <w:lang w:val="en-CA"/>
        </w:rPr>
        <w:t xml:space="preserve">final settlement statement </w:t>
      </w:r>
      <w:r w:rsidR="00FF7173">
        <w:rPr>
          <w:lang w:val="en-CA"/>
        </w:rPr>
        <w:t xml:space="preserve">has passed, the adjustment will appear on the </w:t>
      </w:r>
      <w:r w:rsidRPr="00FF7173">
        <w:rPr>
          <w:lang w:val="en-CA"/>
        </w:rPr>
        <w:t>next</w:t>
      </w:r>
      <w:r>
        <w:rPr>
          <w:lang w:val="en-CA"/>
        </w:rPr>
        <w:t xml:space="preserve"> available </w:t>
      </w:r>
      <w:r w:rsidR="00C0304A">
        <w:rPr>
          <w:lang w:val="en-CA"/>
        </w:rPr>
        <w:t xml:space="preserve">month-end </w:t>
      </w:r>
      <w:r>
        <w:rPr>
          <w:i/>
          <w:lang w:val="en-CA"/>
        </w:rPr>
        <w:t>preliminary settlement statement.</w:t>
      </w:r>
    </w:p>
    <w:p w14:paraId="3D70AEB8" w14:textId="77777777" w:rsidR="00855CB7" w:rsidRDefault="00855CB7" w:rsidP="003853C6">
      <w:pPr>
        <w:pStyle w:val="TableBullet"/>
        <w:numPr>
          <w:ilvl w:val="0"/>
          <w:numId w:val="28"/>
        </w:numPr>
        <w:rPr>
          <w:lang w:val="en-CA"/>
        </w:rPr>
      </w:pPr>
      <w:r>
        <w:t xml:space="preserve">For the case where </w:t>
      </w:r>
      <w:r w:rsidR="00DD6479">
        <w:t>you were</w:t>
      </w:r>
      <w:r>
        <w:t xml:space="preserve"> not compensated enough in the net </w:t>
      </w:r>
      <w:r>
        <w:rPr>
          <w:i/>
        </w:rPr>
        <w:t>energy market settlement</w:t>
      </w:r>
      <w:r>
        <w:t xml:space="preserve">, and all conditions stated in Chapter 7, Section 8.4A.15, 8.4A.16 </w:t>
      </w:r>
      <w:r w:rsidR="0091432D">
        <w:rPr>
          <w:lang w:val="en-CA"/>
        </w:rPr>
        <w:t xml:space="preserve">of the </w:t>
      </w:r>
      <w:r w:rsidR="00752CC8" w:rsidRPr="00752CC8">
        <w:rPr>
          <w:i/>
          <w:lang w:val="en-CA"/>
        </w:rPr>
        <w:t>market rules</w:t>
      </w:r>
      <w:r w:rsidR="0091432D">
        <w:rPr>
          <w:lang w:val="en-CA"/>
        </w:rPr>
        <w:t xml:space="preserve"> </w:t>
      </w:r>
      <w:r>
        <w:t xml:space="preserve">are met, </w:t>
      </w:r>
      <w:r w:rsidR="00DD6479">
        <w:t>we</w:t>
      </w:r>
      <w:r>
        <w:t xml:space="preserve"> will apply additional compensation adjustments, based on the equations found in the Chapter 7, Section 8.4A.16, as the case may be.</w:t>
      </w:r>
      <w:r>
        <w:rPr>
          <w:lang w:val="en-CA"/>
        </w:rPr>
        <w:t xml:space="preserve"> Compensation will appear under </w:t>
      </w:r>
      <w:r>
        <w:rPr>
          <w:i/>
          <w:lang w:val="en-CA"/>
        </w:rPr>
        <w:t>charge type</w:t>
      </w:r>
      <w:r>
        <w:rPr>
          <w:lang w:val="en-CA"/>
        </w:rPr>
        <w:t xml:space="preserve"> 113</w:t>
      </w:r>
      <w:r w:rsidR="00FF7173">
        <w:rPr>
          <w:lang w:val="en-CA"/>
        </w:rPr>
        <w:t xml:space="preserve"> </w:t>
      </w:r>
      <w:r>
        <w:rPr>
          <w:lang w:val="en-CA"/>
        </w:rPr>
        <w:t xml:space="preserve">on the </w:t>
      </w:r>
      <w:r w:rsidR="00FF7173">
        <w:rPr>
          <w:lang w:val="en-CA"/>
        </w:rPr>
        <w:t xml:space="preserve">corresponding </w:t>
      </w:r>
      <w:r w:rsidR="00FF7173">
        <w:rPr>
          <w:i/>
          <w:lang w:val="en-CA"/>
        </w:rPr>
        <w:t xml:space="preserve">final settlement statement.  </w:t>
      </w:r>
      <w:r w:rsidR="00FF7173">
        <w:rPr>
          <w:lang w:val="en-CA"/>
        </w:rPr>
        <w:t xml:space="preserve">If the deadline for issuing the </w:t>
      </w:r>
      <w:r w:rsidR="00FF7173">
        <w:rPr>
          <w:i/>
          <w:lang w:val="en-CA"/>
        </w:rPr>
        <w:t xml:space="preserve">final settlement statement </w:t>
      </w:r>
      <w:r w:rsidR="00FF7173">
        <w:rPr>
          <w:lang w:val="en-CA"/>
        </w:rPr>
        <w:t xml:space="preserve">has passed, the adjustment will appear on the </w:t>
      </w:r>
      <w:r>
        <w:rPr>
          <w:lang w:val="en-CA"/>
        </w:rPr>
        <w:t>next available</w:t>
      </w:r>
      <w:r w:rsidR="00C0304A">
        <w:rPr>
          <w:lang w:val="en-CA"/>
        </w:rPr>
        <w:t xml:space="preserve"> month-end</w:t>
      </w:r>
      <w:r>
        <w:rPr>
          <w:lang w:val="en-CA"/>
        </w:rPr>
        <w:t xml:space="preserve"> </w:t>
      </w:r>
      <w:r>
        <w:rPr>
          <w:i/>
          <w:lang w:val="en-CA"/>
        </w:rPr>
        <w:t>preliminary settlement statemen</w:t>
      </w:r>
      <w:r w:rsidR="00C0304A">
        <w:rPr>
          <w:i/>
          <w:lang w:val="en-CA"/>
        </w:rPr>
        <w:t>t,</w:t>
      </w:r>
      <w:r>
        <w:rPr>
          <w:i/>
          <w:lang w:val="en-CA"/>
        </w:rPr>
        <w:t xml:space="preserve"> </w:t>
      </w:r>
      <w:r>
        <w:rPr>
          <w:lang w:val="en-CA"/>
        </w:rPr>
        <w:t>and</w:t>
      </w:r>
      <w:r>
        <w:rPr>
          <w:i/>
          <w:lang w:val="en-CA"/>
        </w:rPr>
        <w:t xml:space="preserve"> </w:t>
      </w:r>
      <w:r>
        <w:rPr>
          <w:lang w:val="en-CA"/>
        </w:rPr>
        <w:t xml:space="preserve">it will appear with a separate item listed for each </w:t>
      </w:r>
      <w:r>
        <w:rPr>
          <w:i/>
          <w:lang w:val="en-CA"/>
        </w:rPr>
        <w:t xml:space="preserve">delivery point, </w:t>
      </w:r>
      <w:r>
        <w:rPr>
          <w:lang w:val="en-CA"/>
        </w:rPr>
        <w:t>and</w:t>
      </w:r>
      <w:r>
        <w:rPr>
          <w:i/>
          <w:lang w:val="en-CA"/>
        </w:rPr>
        <w:t xml:space="preserve"> dispatch interval. </w:t>
      </w:r>
      <w:r>
        <w:rPr>
          <w:lang w:val="en-CA"/>
        </w:rPr>
        <w:t xml:space="preserve"> In the same </w:t>
      </w:r>
      <w:r>
        <w:rPr>
          <w:i/>
          <w:lang w:val="en-CA"/>
        </w:rPr>
        <w:t>preliminary settlement statement,</w:t>
      </w:r>
      <w:r>
        <w:rPr>
          <w:lang w:val="en-CA"/>
        </w:rPr>
        <w:t xml:space="preserve"> </w:t>
      </w:r>
      <w:r w:rsidR="00DD6479">
        <w:rPr>
          <w:lang w:val="en-CA"/>
        </w:rPr>
        <w:t>we</w:t>
      </w:r>
      <w:r>
        <w:rPr>
          <w:lang w:val="en-CA"/>
        </w:rPr>
        <w:t xml:space="preserve"> will recover all paid compensations from the market (on a pro-rata basis across all withdrawals), under </w:t>
      </w:r>
      <w:r>
        <w:rPr>
          <w:i/>
          <w:lang w:val="en-CA"/>
        </w:rPr>
        <w:t>charge type</w:t>
      </w:r>
      <w:r>
        <w:rPr>
          <w:lang w:val="en-CA"/>
        </w:rPr>
        <w:t xml:space="preserve"> 163.</w:t>
      </w:r>
    </w:p>
    <w:p w14:paraId="26EB9439" w14:textId="77777777" w:rsidR="00855CB7" w:rsidRDefault="00855CB7">
      <w:pPr>
        <w:pStyle w:val="BodyText"/>
      </w:pPr>
      <w:r>
        <w:t xml:space="preserve">Sections 8.4A.13 and 8.4A.15 </w:t>
      </w:r>
      <w:r w:rsidR="00DD6479">
        <w:t xml:space="preserve">of the </w:t>
      </w:r>
      <w:r w:rsidR="00DD6479" w:rsidRPr="00DD6479">
        <w:rPr>
          <w:i/>
        </w:rPr>
        <w:t>market rules</w:t>
      </w:r>
      <w:r w:rsidR="00DD6479">
        <w:t xml:space="preserve"> </w:t>
      </w:r>
      <w:r>
        <w:t xml:space="preserve">further specify that </w:t>
      </w:r>
      <w:r w:rsidR="00DD6479">
        <w:t>we are</w:t>
      </w:r>
      <w:r>
        <w:t xml:space="preserve"> not required to perform the analysis if either the CMSC adjustment or the additional compensation adjustment is not material.</w:t>
      </w:r>
    </w:p>
    <w:p w14:paraId="36A21E35" w14:textId="77777777" w:rsidR="00855CB7" w:rsidRDefault="00855CB7">
      <w:pPr>
        <w:pStyle w:val="BodyText"/>
      </w:pPr>
      <w:r>
        <w:t xml:space="preserve">The total hourly CMSC adjustment or the total hourly additional compensation for a given </w:t>
      </w:r>
      <w:r>
        <w:rPr>
          <w:i/>
        </w:rPr>
        <w:t>delivery</w:t>
      </w:r>
      <w:r>
        <w:t xml:space="preserve"> </w:t>
      </w:r>
      <w:r>
        <w:rPr>
          <w:i/>
        </w:rPr>
        <w:t>point</w:t>
      </w:r>
      <w:r>
        <w:t xml:space="preserve"> must equal or exceed a materiality threshold amount of $ 50.00 per hour, per </w:t>
      </w:r>
      <w:r>
        <w:rPr>
          <w:i/>
        </w:rPr>
        <w:t>delivery point</w:t>
      </w:r>
      <w:r>
        <w:t xml:space="preserve"> and the submission total must exceed $400.00 for each administrative pricing event request.</w:t>
      </w:r>
    </w:p>
    <w:p w14:paraId="046DA662" w14:textId="77777777" w:rsidR="00855CB7" w:rsidRDefault="00855CB7">
      <w:pPr>
        <w:pStyle w:val="TableBullet"/>
        <w:numPr>
          <w:ilvl w:val="0"/>
          <w:numId w:val="0"/>
        </w:numPr>
      </w:pPr>
      <w:r>
        <w:t xml:space="preserve">Specifically, in cases where the CMSC adjustment request or the additional compensation request falls below the threshold amount, </w:t>
      </w:r>
      <w:r w:rsidR="00DD6479">
        <w:t>we</w:t>
      </w:r>
      <w:r>
        <w:t xml:space="preserve"> will not perform any further analysis and will not apply any adjustments.</w:t>
      </w:r>
    </w:p>
    <w:p w14:paraId="7D94A9E1" w14:textId="77777777" w:rsidR="00BA1FAB" w:rsidRDefault="00855CB7" w:rsidP="00DC766D">
      <w:pPr>
        <w:pStyle w:val="BodyText"/>
        <w:rPr>
          <w:i/>
          <w:lang w:val="en-CA"/>
        </w:rPr>
      </w:pPr>
      <w:r>
        <w:rPr>
          <w:lang w:val="en-CA"/>
        </w:rPr>
        <w:t xml:space="preserve">Please refer to the Section 1.5 “Submitting a </w:t>
      </w:r>
      <w:r>
        <w:rPr>
          <w:i/>
          <w:lang w:val="en-CA"/>
        </w:rPr>
        <w:t xml:space="preserve">Notice of Disagreement” </w:t>
      </w:r>
      <w:r w:rsidRPr="00765ED6">
        <w:rPr>
          <w:lang w:val="en-CA"/>
        </w:rPr>
        <w:t>in this</w:t>
      </w:r>
      <w:r>
        <w:rPr>
          <w:i/>
          <w:lang w:val="en-CA"/>
        </w:rPr>
        <w:t xml:space="preserve"> market manual</w:t>
      </w:r>
      <w:r>
        <w:rPr>
          <w:lang w:val="en-CA"/>
        </w:rPr>
        <w:t xml:space="preserve"> for a description of guidelines and supporting documentation </w:t>
      </w:r>
      <w:r>
        <w:t xml:space="preserve">(the </w:t>
      </w:r>
      <w:r>
        <w:rPr>
          <w:i/>
        </w:rPr>
        <w:t>market participant</w:t>
      </w:r>
      <w:r>
        <w:t xml:space="preserve"> must submit </w:t>
      </w:r>
      <w:r w:rsidR="00E33158">
        <w:t xml:space="preserve">IMO_FORM_1549 </w:t>
      </w:r>
      <w:r>
        <w:t xml:space="preserve">along with a </w:t>
      </w:r>
      <w:r>
        <w:rPr>
          <w:i/>
        </w:rPr>
        <w:t>notice of disagreement</w:t>
      </w:r>
      <w:r>
        <w:t xml:space="preserve">) </w:t>
      </w:r>
      <w:r>
        <w:rPr>
          <w:lang w:val="en-CA"/>
        </w:rPr>
        <w:t xml:space="preserve">that must be provided as part of the </w:t>
      </w:r>
      <w:r>
        <w:rPr>
          <w:i/>
          <w:lang w:val="en-CA"/>
        </w:rPr>
        <w:t xml:space="preserve">notice of disagreement </w:t>
      </w:r>
      <w:r>
        <w:rPr>
          <w:lang w:val="en-CA"/>
        </w:rPr>
        <w:t>process</w:t>
      </w:r>
      <w:r>
        <w:rPr>
          <w:i/>
          <w:lang w:val="en-CA"/>
        </w:rPr>
        <w:t>.</w:t>
      </w:r>
    </w:p>
    <w:p w14:paraId="4B462A5A" w14:textId="77777777" w:rsidR="00855CB7" w:rsidRDefault="00855CB7" w:rsidP="00DC766D">
      <w:pPr>
        <w:pStyle w:val="Heading3"/>
        <w:pageBreakBefore/>
        <w:rPr>
          <w:lang w:val="en-CA"/>
        </w:rPr>
      </w:pPr>
      <w:bookmarkStart w:id="414" w:name="_Toc282592535"/>
      <w:bookmarkStart w:id="415" w:name="_Toc282601349"/>
      <w:bookmarkStart w:id="416" w:name="_Toc282684794"/>
      <w:bookmarkStart w:id="417" w:name="_Toc282684962"/>
      <w:bookmarkStart w:id="418" w:name="_Toc175383893"/>
      <w:bookmarkStart w:id="419" w:name="_Toc400369509"/>
      <w:bookmarkStart w:id="420" w:name="_Toc35796335"/>
      <w:bookmarkStart w:id="421" w:name="_Toc79657937"/>
      <w:bookmarkEnd w:id="414"/>
      <w:bookmarkEnd w:id="415"/>
      <w:bookmarkEnd w:id="416"/>
      <w:bookmarkEnd w:id="417"/>
      <w:r>
        <w:rPr>
          <w:lang w:val="en-CA"/>
        </w:rPr>
        <w:lastRenderedPageBreak/>
        <w:t>Transmission Service Charges for Embedded Generation</w:t>
      </w:r>
      <w:bookmarkEnd w:id="418"/>
      <w:bookmarkEnd w:id="419"/>
      <w:bookmarkEnd w:id="420"/>
      <w:bookmarkEnd w:id="421"/>
    </w:p>
    <w:p w14:paraId="5DD3A439" w14:textId="77777777" w:rsidR="00A945F5" w:rsidRDefault="00A945F5">
      <w:pPr>
        <w:pStyle w:val="BodyText"/>
        <w:rPr>
          <w:lang w:val="en-CA"/>
        </w:rPr>
      </w:pPr>
      <w:r>
        <w:rPr>
          <w:lang w:val="en-CA"/>
        </w:rPr>
        <w:t>If</w:t>
      </w:r>
      <w:r w:rsidR="00726B5C">
        <w:rPr>
          <w:lang w:val="en-CA"/>
        </w:rPr>
        <w:t>,</w:t>
      </w:r>
      <w:r>
        <w:rPr>
          <w:lang w:val="en-CA"/>
        </w:rPr>
        <w:t xml:space="preserve"> a</w:t>
      </w:r>
      <w:r w:rsidR="00E75B0E">
        <w:rPr>
          <w:lang w:val="en-CA"/>
        </w:rPr>
        <w:t>s a</w:t>
      </w:r>
      <w:r>
        <w:rPr>
          <w:lang w:val="en-CA"/>
        </w:rPr>
        <w:t xml:space="preserve"> h</w:t>
      </w:r>
      <w:r w:rsidR="00855CB7">
        <w:rPr>
          <w:lang w:val="en-CA"/>
        </w:rPr>
        <w:t xml:space="preserve">ost </w:t>
      </w:r>
      <w:r w:rsidR="00855CB7">
        <w:rPr>
          <w:i/>
          <w:lang w:val="en-CA"/>
        </w:rPr>
        <w:t>transmission customer</w:t>
      </w:r>
      <w:r w:rsidR="00726B5C">
        <w:rPr>
          <w:lang w:val="en-CA"/>
        </w:rPr>
        <w:t>,</w:t>
      </w:r>
      <w:r w:rsidR="00855CB7">
        <w:rPr>
          <w:lang w:val="en-CA"/>
        </w:rPr>
        <w:t xml:space="preserve"> </w:t>
      </w:r>
      <w:r w:rsidR="00E75B0E">
        <w:rPr>
          <w:lang w:val="en-CA"/>
        </w:rPr>
        <w:t>you have</w:t>
      </w:r>
      <w:r w:rsidR="00855CB7">
        <w:rPr>
          <w:lang w:val="en-CA"/>
        </w:rPr>
        <w:t xml:space="preserve"> an </w:t>
      </w:r>
      <w:r w:rsidR="00855CB7">
        <w:rPr>
          <w:i/>
          <w:lang w:val="en-CA"/>
        </w:rPr>
        <w:t>embedded</w:t>
      </w:r>
      <w:r w:rsidR="00855CB7">
        <w:rPr>
          <w:lang w:val="en-CA"/>
        </w:rPr>
        <w:t xml:space="preserve"> </w:t>
      </w:r>
      <w:r w:rsidR="00855CB7">
        <w:rPr>
          <w:i/>
          <w:lang w:val="en-CA"/>
        </w:rPr>
        <w:t>generation facility</w:t>
      </w:r>
      <w:r>
        <w:rPr>
          <w:i/>
          <w:lang w:val="en-CA"/>
        </w:rPr>
        <w:t xml:space="preserve"> </w:t>
      </w:r>
      <w:r>
        <w:rPr>
          <w:lang w:val="en-CA"/>
        </w:rPr>
        <w:t>that:</w:t>
      </w:r>
    </w:p>
    <w:p w14:paraId="1B4FFD45" w14:textId="77777777" w:rsidR="00A945F5" w:rsidRDefault="00726B5C" w:rsidP="00A945F5">
      <w:pPr>
        <w:pStyle w:val="Bullet"/>
      </w:pPr>
      <w:r>
        <w:t xml:space="preserve">was </w:t>
      </w:r>
      <w:r w:rsidR="00855CB7">
        <w:t>approved after October 30, 1998</w:t>
      </w:r>
      <w:r w:rsidR="00DD6479">
        <w:t>;</w:t>
      </w:r>
    </w:p>
    <w:p w14:paraId="66B3FC62" w14:textId="77777777" w:rsidR="00A945F5" w:rsidRDefault="00726B5C" w:rsidP="00A945F5">
      <w:pPr>
        <w:pStyle w:val="Bullet"/>
      </w:pPr>
      <w:r>
        <w:t xml:space="preserve">is </w:t>
      </w:r>
      <w:r w:rsidR="00A945F5">
        <w:t xml:space="preserve">not separately registered as a </w:t>
      </w:r>
      <w:r w:rsidR="00A945F5" w:rsidRPr="00A945F5">
        <w:rPr>
          <w:i/>
        </w:rPr>
        <w:t>generation facility</w:t>
      </w:r>
      <w:r w:rsidR="00A945F5">
        <w:t xml:space="preserve"> in the </w:t>
      </w:r>
      <w:r w:rsidR="00A945F5" w:rsidRPr="00A945F5">
        <w:rPr>
          <w:i/>
        </w:rPr>
        <w:t>IESO-administered markets</w:t>
      </w:r>
      <w:r w:rsidR="00DD6479">
        <w:t>;</w:t>
      </w:r>
    </w:p>
    <w:p w14:paraId="21E61DE9" w14:textId="77777777" w:rsidR="00A945F5" w:rsidRDefault="00726B5C" w:rsidP="00A945F5">
      <w:pPr>
        <w:pStyle w:val="Bullet"/>
      </w:pPr>
      <w:r>
        <w:t xml:space="preserve">meets </w:t>
      </w:r>
      <w:r w:rsidR="00A945F5">
        <w:t>the applicable Ontario Transmi</w:t>
      </w:r>
      <w:r w:rsidR="00DD6479">
        <w:t>ssion Rate Schedule requirement;</w:t>
      </w:r>
      <w:r w:rsidR="00855CB7">
        <w:t xml:space="preserve"> and</w:t>
      </w:r>
    </w:p>
    <w:p w14:paraId="1416331D" w14:textId="77777777" w:rsidR="00A945F5" w:rsidRDefault="00726B5C" w:rsidP="00A945F5">
      <w:pPr>
        <w:pStyle w:val="Bullet"/>
      </w:pPr>
      <w:r>
        <w:t xml:space="preserve">is </w:t>
      </w:r>
      <w:r w:rsidR="00855CB7">
        <w:t xml:space="preserve">rated at greater than or equal to 1 MW </w:t>
      </w:r>
      <w:r w:rsidR="00777232">
        <w:t xml:space="preserve">(2 MW for renewable </w:t>
      </w:r>
      <w:r w:rsidR="00DA3379" w:rsidRPr="00DA3379">
        <w:rPr>
          <w:i/>
        </w:rPr>
        <w:t>generators</w:t>
      </w:r>
      <w:r w:rsidR="00700138">
        <w:rPr>
          <w:rStyle w:val="FootnoteReference"/>
        </w:rPr>
        <w:footnoteReference w:id="27"/>
      </w:r>
      <w:r w:rsidR="00777232">
        <w:t xml:space="preserve">) </w:t>
      </w:r>
      <w:r w:rsidR="00855CB7">
        <w:t>and less than 20 MW</w:t>
      </w:r>
      <w:r>
        <w:t>,</w:t>
      </w:r>
    </w:p>
    <w:p w14:paraId="32B38D3E" w14:textId="77777777" w:rsidR="00855CB7" w:rsidRDefault="00A945F5">
      <w:pPr>
        <w:pStyle w:val="BodyText"/>
        <w:rPr>
          <w:lang w:val="en-CA"/>
        </w:rPr>
      </w:pPr>
      <w:r>
        <w:rPr>
          <w:lang w:val="en-CA"/>
        </w:rPr>
        <w:t xml:space="preserve">then you </w:t>
      </w:r>
      <w:r w:rsidR="00855CB7">
        <w:rPr>
          <w:lang w:val="en-CA"/>
        </w:rPr>
        <w:t xml:space="preserve">may choose to meet the existing wholesale </w:t>
      </w:r>
      <w:r w:rsidR="00855CB7">
        <w:rPr>
          <w:i/>
          <w:lang w:val="en-CA"/>
        </w:rPr>
        <w:t>metering installation</w:t>
      </w:r>
      <w:r w:rsidR="00855CB7">
        <w:rPr>
          <w:lang w:val="en-CA"/>
        </w:rPr>
        <w:t xml:space="preserve"> standards or to use the alternative standard in </w:t>
      </w:r>
      <w:r w:rsidR="001C02E3">
        <w:rPr>
          <w:lang w:val="en-CA"/>
        </w:rPr>
        <w:t>Chapter 6 S</w:t>
      </w:r>
      <w:r w:rsidR="00855CB7">
        <w:rPr>
          <w:lang w:val="en-CA"/>
        </w:rPr>
        <w:t>ection 4.5</w:t>
      </w:r>
      <w:r w:rsidRPr="00A945F5">
        <w:rPr>
          <w:lang w:val="en-CA"/>
        </w:rPr>
        <w:t xml:space="preserve"> </w:t>
      </w:r>
      <w:r>
        <w:rPr>
          <w:lang w:val="en-CA"/>
        </w:rPr>
        <w:t xml:space="preserve">of the </w:t>
      </w:r>
      <w:r w:rsidR="00752CC8" w:rsidRPr="00752CC8">
        <w:rPr>
          <w:i/>
          <w:lang w:val="en-CA"/>
        </w:rPr>
        <w:t>market rules</w:t>
      </w:r>
      <w:r w:rsidR="00855CB7">
        <w:rPr>
          <w:lang w:val="en-CA"/>
        </w:rPr>
        <w:t xml:space="preserve">.  The alternative standard allows the host </w:t>
      </w:r>
      <w:r w:rsidR="00855CB7">
        <w:rPr>
          <w:i/>
          <w:lang w:val="en-CA"/>
        </w:rPr>
        <w:t>transmission customer</w:t>
      </w:r>
      <w:r w:rsidR="00855CB7">
        <w:rPr>
          <w:lang w:val="en-CA"/>
        </w:rPr>
        <w:t xml:space="preserve"> to register a </w:t>
      </w:r>
      <w:r w:rsidR="00855CB7" w:rsidRPr="0091432D">
        <w:rPr>
          <w:i/>
          <w:lang w:val="en-CA"/>
        </w:rPr>
        <w:t>meter point</w:t>
      </w:r>
      <w:r w:rsidR="00855CB7">
        <w:rPr>
          <w:lang w:val="en-CA"/>
        </w:rPr>
        <w:t xml:space="preserve"> for the </w:t>
      </w:r>
      <w:r w:rsidR="00855CB7">
        <w:rPr>
          <w:i/>
          <w:lang w:val="en-CA"/>
        </w:rPr>
        <w:t>embedded generation</w:t>
      </w:r>
      <w:r w:rsidR="00855CB7">
        <w:rPr>
          <w:lang w:val="en-CA"/>
        </w:rPr>
        <w:t xml:space="preserve"> </w:t>
      </w:r>
      <w:r w:rsidR="00855CB7">
        <w:rPr>
          <w:i/>
          <w:lang w:val="en-CA"/>
        </w:rPr>
        <w:t>facility</w:t>
      </w:r>
      <w:r w:rsidR="00855CB7">
        <w:rPr>
          <w:lang w:val="en-CA"/>
        </w:rPr>
        <w:t xml:space="preserve"> without a corresponding wholesale physical </w:t>
      </w:r>
      <w:r w:rsidR="00855CB7">
        <w:rPr>
          <w:i/>
          <w:lang w:val="en-CA"/>
        </w:rPr>
        <w:t>meter</w:t>
      </w:r>
      <w:r w:rsidR="00855CB7">
        <w:rPr>
          <w:lang w:val="en-CA"/>
        </w:rPr>
        <w:t>.</w:t>
      </w:r>
    </w:p>
    <w:p w14:paraId="2D3E55B9" w14:textId="77777777" w:rsidR="00855CB7" w:rsidRDefault="00855CB7">
      <w:pPr>
        <w:pStyle w:val="BodyText"/>
      </w:pPr>
      <w:r>
        <w:rPr>
          <w:lang w:val="en-CA"/>
        </w:rPr>
        <w:t xml:space="preserve">A </w:t>
      </w:r>
      <w:r>
        <w:rPr>
          <w:i/>
          <w:lang w:val="en-CA"/>
        </w:rPr>
        <w:t>transmission customer</w:t>
      </w:r>
      <w:r>
        <w:rPr>
          <w:lang w:val="en-CA"/>
        </w:rPr>
        <w:t xml:space="preserve"> that chooses the alternative </w:t>
      </w:r>
      <w:r>
        <w:rPr>
          <w:i/>
          <w:lang w:val="en-CA"/>
        </w:rPr>
        <w:t>metering installation</w:t>
      </w:r>
      <w:r>
        <w:rPr>
          <w:lang w:val="en-CA"/>
        </w:rPr>
        <w:t xml:space="preserve"> standard for </w:t>
      </w:r>
      <w:r>
        <w:rPr>
          <w:i/>
          <w:lang w:val="en-CA"/>
        </w:rPr>
        <w:t>embedded generation</w:t>
      </w:r>
      <w:r>
        <w:rPr>
          <w:lang w:val="en-CA"/>
        </w:rPr>
        <w:t xml:space="preserve"> must determine the annual adjustment dollar value for the applicable </w:t>
      </w:r>
      <w:r>
        <w:rPr>
          <w:i/>
          <w:lang w:val="en-CA"/>
        </w:rPr>
        <w:t>transmission service charges</w:t>
      </w:r>
      <w:r>
        <w:rPr>
          <w:lang w:val="en-CA"/>
        </w:rPr>
        <w:t xml:space="preserve">.  The adjustment amount must be agreed to by the </w:t>
      </w:r>
      <w:r>
        <w:rPr>
          <w:i/>
          <w:lang w:val="en-CA"/>
        </w:rPr>
        <w:t>transmitter</w:t>
      </w:r>
      <w:r>
        <w:rPr>
          <w:lang w:val="en-CA"/>
        </w:rPr>
        <w:t xml:space="preserve"> and submitted to </w:t>
      </w:r>
      <w:r w:rsidR="00DD6479">
        <w:rPr>
          <w:lang w:val="en-CA"/>
        </w:rPr>
        <w:t>us</w:t>
      </w:r>
      <w:r>
        <w:rPr>
          <w:lang w:val="en-CA"/>
        </w:rPr>
        <w:t xml:space="preserve">.  In the event that </w:t>
      </w:r>
      <w:r w:rsidR="00DD6479">
        <w:rPr>
          <w:lang w:val="en-CA"/>
        </w:rPr>
        <w:t>we do</w:t>
      </w:r>
      <w:r>
        <w:rPr>
          <w:lang w:val="en-CA"/>
        </w:rPr>
        <w:t xml:space="preserve"> not receive this information in a timely manner, </w:t>
      </w:r>
      <w:r w:rsidR="00DD6479">
        <w:rPr>
          <w:lang w:val="en-CA"/>
        </w:rPr>
        <w:t>we</w:t>
      </w:r>
      <w:r>
        <w:rPr>
          <w:lang w:val="en-CA"/>
        </w:rPr>
        <w:t xml:space="preserve"> will use the installed </w:t>
      </w:r>
      <w:r>
        <w:rPr>
          <w:i/>
          <w:lang w:val="en-CA"/>
        </w:rPr>
        <w:t>maximum continuous rating</w:t>
      </w:r>
      <w:r>
        <w:rPr>
          <w:lang w:val="en-CA"/>
        </w:rPr>
        <w:t xml:space="preserve"> (as registered) for the </w:t>
      </w:r>
      <w:r>
        <w:rPr>
          <w:i/>
          <w:lang w:val="en-CA"/>
        </w:rPr>
        <w:t>embedded generation facilities</w:t>
      </w:r>
      <w:r>
        <w:rPr>
          <w:lang w:val="en-CA"/>
        </w:rPr>
        <w:t xml:space="preserve"> to determine an adjustment amount.</w:t>
      </w:r>
    </w:p>
    <w:p w14:paraId="4B6B57A6" w14:textId="77777777" w:rsidR="00855CB7" w:rsidRDefault="00855CB7" w:rsidP="00133618">
      <w:pPr>
        <w:pStyle w:val="Heading4"/>
      </w:pPr>
      <w:r>
        <w:t>Calculation Methodology</w:t>
      </w:r>
    </w:p>
    <w:p w14:paraId="700E530B" w14:textId="77777777" w:rsidR="00E6372F" w:rsidRDefault="00855CB7">
      <w:pPr>
        <w:pStyle w:val="BodyText"/>
        <w:rPr>
          <w:lang w:val="en-CA"/>
        </w:rPr>
      </w:pPr>
      <w:r>
        <w:rPr>
          <w:lang w:val="en-CA"/>
        </w:rPr>
        <w:t xml:space="preserve">Line and </w:t>
      </w:r>
      <w:r w:rsidR="00BF6CD0">
        <w:rPr>
          <w:lang w:val="en-CA"/>
        </w:rPr>
        <w:t>transformation c</w:t>
      </w:r>
      <w:r>
        <w:rPr>
          <w:lang w:val="en-CA"/>
        </w:rPr>
        <w:t xml:space="preserve">onnection </w:t>
      </w:r>
      <w:r w:rsidR="00BF6CD0">
        <w:rPr>
          <w:lang w:val="en-CA"/>
        </w:rPr>
        <w:t>s</w:t>
      </w:r>
      <w:r>
        <w:rPr>
          <w:lang w:val="en-CA"/>
        </w:rPr>
        <w:t xml:space="preserve">ervice </w:t>
      </w:r>
      <w:r w:rsidR="00BF6CD0">
        <w:rPr>
          <w:lang w:val="en-CA"/>
        </w:rPr>
        <w:t>c</w:t>
      </w:r>
      <w:r>
        <w:rPr>
          <w:lang w:val="en-CA"/>
        </w:rPr>
        <w:t xml:space="preserve">harges need to be calculated monthly for all </w:t>
      </w:r>
      <w:r>
        <w:rPr>
          <w:i/>
          <w:lang w:val="en-CA"/>
        </w:rPr>
        <w:t>delivery points</w:t>
      </w:r>
      <w:r>
        <w:rPr>
          <w:lang w:val="en-CA"/>
        </w:rPr>
        <w:t xml:space="preserve"> with </w:t>
      </w:r>
      <w:r>
        <w:rPr>
          <w:i/>
          <w:lang w:val="en-CA"/>
        </w:rPr>
        <w:t>embedded generation facilities</w:t>
      </w:r>
      <w:r>
        <w:rPr>
          <w:lang w:val="en-CA"/>
        </w:rPr>
        <w:t xml:space="preserve"> registered under the Alternative Metering Installation Standards for E</w:t>
      </w:r>
      <w:r w:rsidR="001C02E3">
        <w:rPr>
          <w:lang w:val="en-CA"/>
        </w:rPr>
        <w:t>mbedded Generation Facilities (Chapter 6, S</w:t>
      </w:r>
      <w:r>
        <w:rPr>
          <w:lang w:val="en-CA"/>
        </w:rPr>
        <w:t>ection 4.5</w:t>
      </w:r>
      <w:r w:rsidR="0091432D" w:rsidRPr="0091432D">
        <w:rPr>
          <w:lang w:val="en-CA"/>
        </w:rPr>
        <w:t xml:space="preserve"> </w:t>
      </w:r>
      <w:r w:rsidR="0091432D">
        <w:rPr>
          <w:lang w:val="en-CA"/>
        </w:rPr>
        <w:t xml:space="preserve">of the </w:t>
      </w:r>
      <w:r w:rsidR="00752CC8" w:rsidRPr="00752CC8">
        <w:rPr>
          <w:i/>
          <w:lang w:val="en-CA"/>
        </w:rPr>
        <w:t>market rules</w:t>
      </w:r>
      <w:r>
        <w:rPr>
          <w:lang w:val="en-CA"/>
        </w:rPr>
        <w:t>).</w:t>
      </w:r>
    </w:p>
    <w:p w14:paraId="7094C1BB" w14:textId="77777777" w:rsidR="00855CB7" w:rsidRDefault="00855CB7" w:rsidP="00A442B9">
      <w:pPr>
        <w:pStyle w:val="BodyText0"/>
      </w:pPr>
      <w:r>
        <w:t xml:space="preserve">On a monthly basis, the host </w:t>
      </w:r>
      <w:r>
        <w:rPr>
          <w:i/>
        </w:rPr>
        <w:t>transmission customer</w:t>
      </w:r>
      <w:r w:rsidR="00BC3764">
        <w:t xml:space="preserve"> will:</w:t>
      </w:r>
    </w:p>
    <w:p w14:paraId="15D92324" w14:textId="77777777" w:rsidR="00855CB7" w:rsidRDefault="00954AE1">
      <w:pPr>
        <w:pStyle w:val="ListBullet"/>
      </w:pPr>
      <w:r>
        <w:t xml:space="preserve">download </w:t>
      </w:r>
      <w:r w:rsidR="00855CB7">
        <w:t xml:space="preserve">the </w:t>
      </w:r>
      <w:r w:rsidR="00DA3379" w:rsidRPr="00DA3379">
        <w:rPr>
          <w:i/>
        </w:rPr>
        <w:t>participant</w:t>
      </w:r>
      <w:r w:rsidR="00855CB7">
        <w:t xml:space="preserve"> </w:t>
      </w:r>
      <w:r w:rsidR="00855CB7">
        <w:rPr>
          <w:i/>
        </w:rPr>
        <w:t>transmission tariff</w:t>
      </w:r>
      <w:r w:rsidR="00D134AD">
        <w:t xml:space="preserve"> data file;</w:t>
      </w:r>
    </w:p>
    <w:p w14:paraId="4625C776" w14:textId="77777777" w:rsidR="00855CB7" w:rsidRDefault="00954AE1">
      <w:pPr>
        <w:pStyle w:val="ListBullet"/>
      </w:pPr>
      <w:r>
        <w:t xml:space="preserve">add </w:t>
      </w:r>
      <w:r w:rsidR="00855CB7">
        <w:t xml:space="preserve">the hourly </w:t>
      </w:r>
      <w:r w:rsidR="00855CB7" w:rsidRPr="00306DBE">
        <w:t>generation</w:t>
      </w:r>
      <w:r w:rsidR="00EB3A13">
        <w:t xml:space="preserve"> </w:t>
      </w:r>
      <w:r w:rsidR="00855CB7">
        <w:t xml:space="preserve">values for the </w:t>
      </w:r>
      <w:r w:rsidR="00855CB7">
        <w:rPr>
          <w:i/>
        </w:rPr>
        <w:t>embedded generator</w:t>
      </w:r>
      <w:r w:rsidR="00855CB7">
        <w:t xml:space="preserve"> to the hourly demand data for the </w:t>
      </w:r>
      <w:r w:rsidR="00855CB7">
        <w:rPr>
          <w:i/>
        </w:rPr>
        <w:t>delivery point</w:t>
      </w:r>
      <w:r w:rsidR="00855CB7">
        <w:t xml:space="preserve"> associated with the </w:t>
      </w:r>
      <w:r w:rsidR="00855CB7">
        <w:rPr>
          <w:i/>
        </w:rPr>
        <w:t>embedded generation</w:t>
      </w:r>
      <w:r w:rsidR="00D134AD">
        <w:t>;</w:t>
      </w:r>
      <w:r w:rsidR="00855CB7">
        <w:t xml:space="preserve"> and</w:t>
      </w:r>
    </w:p>
    <w:p w14:paraId="3261DA3A" w14:textId="77777777" w:rsidR="00855CB7" w:rsidRDefault="007169D9" w:rsidP="00AA6386">
      <w:pPr>
        <w:pStyle w:val="ListBullet"/>
        <w:tabs>
          <w:tab w:val="clear" w:pos="720"/>
          <w:tab w:val="num" w:pos="900"/>
        </w:tabs>
        <w:ind w:left="900" w:hanging="396"/>
      </w:pPr>
      <w:r>
        <w:t xml:space="preserve">determine </w:t>
      </w:r>
      <w:r w:rsidR="00855CB7">
        <w:t xml:space="preserve">the new monthly maximum hourly peak value for the </w:t>
      </w:r>
      <w:r w:rsidR="00855CB7">
        <w:rPr>
          <w:i/>
        </w:rPr>
        <w:t>delivery point</w:t>
      </w:r>
      <w:r w:rsidR="00855CB7">
        <w:t xml:space="preserve"> and compare </w:t>
      </w:r>
      <w:r w:rsidR="00BF6CD0">
        <w:t xml:space="preserve">it </w:t>
      </w:r>
      <w:r w:rsidR="00855CB7">
        <w:t>to the settled monthly maximum hourly peak value</w:t>
      </w:r>
      <w:r>
        <w:t>; i</w:t>
      </w:r>
      <w:r w:rsidR="00855CB7">
        <w:t>f the new peak is higher, then:</w:t>
      </w:r>
    </w:p>
    <w:p w14:paraId="6EFDAD2C" w14:textId="77777777" w:rsidR="00B733CC" w:rsidRDefault="007169D9" w:rsidP="00AA6386">
      <w:pPr>
        <w:pStyle w:val="ListBullet"/>
        <w:tabs>
          <w:tab w:val="clear" w:pos="720"/>
          <w:tab w:val="num" w:pos="900"/>
        </w:tabs>
        <w:ind w:left="900" w:hanging="396"/>
      </w:pPr>
      <w:r>
        <w:t xml:space="preserve">calculate </w:t>
      </w:r>
      <w:r w:rsidR="00855CB7">
        <w:t>the incremental line connection service charges (if applicable) by multiplying the line connection tariff by the incremental peak value</w:t>
      </w:r>
      <w:r w:rsidR="00D134AD">
        <w:t>;</w:t>
      </w:r>
      <w:r w:rsidR="00855CB7">
        <w:t xml:space="preserve"> and</w:t>
      </w:r>
    </w:p>
    <w:p w14:paraId="14E9637A" w14:textId="77777777" w:rsidR="00B733CC" w:rsidRDefault="007169D9" w:rsidP="00AA6386">
      <w:pPr>
        <w:pStyle w:val="ListBullet"/>
        <w:tabs>
          <w:tab w:val="clear" w:pos="720"/>
          <w:tab w:val="num" w:pos="900"/>
        </w:tabs>
        <w:ind w:left="900" w:hanging="396"/>
      </w:pPr>
      <w:r>
        <w:t xml:space="preserve">calculate </w:t>
      </w:r>
      <w:r w:rsidR="00855CB7">
        <w:t>the incremental transformation connection service charges (if applicable) by multiplying the transformation connection tariff by the incremental peak value.</w:t>
      </w:r>
    </w:p>
    <w:p w14:paraId="589A07C6" w14:textId="77777777" w:rsidR="00855CB7" w:rsidRDefault="00855CB7">
      <w:pPr>
        <w:pStyle w:val="BodyText"/>
      </w:pPr>
      <w:r>
        <w:rPr>
          <w:lang w:val="en-CA"/>
        </w:rPr>
        <w:t xml:space="preserve">On an annual basis, the host </w:t>
      </w:r>
      <w:r>
        <w:rPr>
          <w:i/>
          <w:lang w:val="en-CA"/>
        </w:rPr>
        <w:t>transmission customer</w:t>
      </w:r>
      <w:r>
        <w:rPr>
          <w:lang w:val="en-CA"/>
        </w:rPr>
        <w:t xml:space="preserve"> must sum all monthly </w:t>
      </w:r>
      <w:r w:rsidR="00BF6CD0">
        <w:rPr>
          <w:lang w:val="en-CA"/>
        </w:rPr>
        <w:t>l</w:t>
      </w:r>
      <w:r>
        <w:rPr>
          <w:lang w:val="en-CA"/>
        </w:rPr>
        <w:t xml:space="preserve">ine and </w:t>
      </w:r>
      <w:r w:rsidR="00BF6CD0">
        <w:rPr>
          <w:lang w:val="en-CA"/>
        </w:rPr>
        <w:t>t</w:t>
      </w:r>
      <w:r>
        <w:rPr>
          <w:lang w:val="en-CA"/>
        </w:rPr>
        <w:t xml:space="preserve">ransformation </w:t>
      </w:r>
      <w:r w:rsidR="00BF6CD0">
        <w:rPr>
          <w:lang w:val="en-CA"/>
        </w:rPr>
        <w:t xml:space="preserve">connection service charges </w:t>
      </w:r>
      <w:r>
        <w:rPr>
          <w:lang w:val="en-CA"/>
        </w:rPr>
        <w:t xml:space="preserve">and obtain agreement of the </w:t>
      </w:r>
      <w:r w:rsidRPr="002E6CAB">
        <w:rPr>
          <w:i/>
          <w:lang w:val="en-CA"/>
        </w:rPr>
        <w:t xml:space="preserve">transmitter </w:t>
      </w:r>
      <w:r>
        <w:rPr>
          <w:lang w:val="en-CA"/>
        </w:rPr>
        <w:t xml:space="preserve">to the proposed adjustment, if any. </w:t>
      </w:r>
      <w:r w:rsidR="00BF6CD0">
        <w:rPr>
          <w:lang w:val="en-CA"/>
        </w:rPr>
        <w:t>Submit t</w:t>
      </w:r>
      <w:r>
        <w:rPr>
          <w:lang w:val="en-CA"/>
        </w:rPr>
        <w:t xml:space="preserve">he totals to </w:t>
      </w:r>
      <w:r w:rsidR="00D134AD">
        <w:rPr>
          <w:lang w:val="en-CA"/>
        </w:rPr>
        <w:t>us</w:t>
      </w:r>
      <w:r>
        <w:rPr>
          <w:lang w:val="en-CA"/>
        </w:rPr>
        <w:t xml:space="preserve"> via </w:t>
      </w:r>
      <w:r w:rsidR="00155FEE">
        <w:rPr>
          <w:lang w:val="en-CA"/>
        </w:rPr>
        <w:t>the</w:t>
      </w:r>
      <w:r w:rsidR="00972031">
        <w:rPr>
          <w:lang w:val="en-CA"/>
        </w:rPr>
        <w:t xml:space="preserve"> Submit Settlement Claim action available through Online IESO</w:t>
      </w:r>
      <w:r w:rsidR="00155FEE">
        <w:rPr>
          <w:lang w:val="en-CA"/>
        </w:rPr>
        <w:t xml:space="preserve"> </w:t>
      </w:r>
      <w:r>
        <w:rPr>
          <w:lang w:val="en-CA"/>
        </w:rPr>
        <w:t xml:space="preserve">within </w:t>
      </w:r>
      <w:r w:rsidR="00A26294">
        <w:rPr>
          <w:lang w:val="en-CA"/>
        </w:rPr>
        <w:t>the month of April</w:t>
      </w:r>
      <w:r>
        <w:rPr>
          <w:lang w:val="en-CA"/>
        </w:rPr>
        <w:t xml:space="preserve"> following calendar year end.</w:t>
      </w:r>
    </w:p>
    <w:p w14:paraId="28292992" w14:textId="77777777" w:rsidR="00855CB7" w:rsidRDefault="00855CB7">
      <w:pPr>
        <w:pStyle w:val="Heading3"/>
      </w:pPr>
      <w:bookmarkStart w:id="422" w:name="_Toc175383894"/>
      <w:bookmarkStart w:id="423" w:name="_Toc400369510"/>
      <w:bookmarkStart w:id="424" w:name="_Toc35796336"/>
      <w:bookmarkStart w:id="425" w:name="_Toc79657938"/>
      <w:r>
        <w:lastRenderedPageBreak/>
        <w:t>Regulated Price Plan, Regulated Generation, NUG Payments and Newly Contracted Generation</w:t>
      </w:r>
      <w:bookmarkEnd w:id="422"/>
      <w:bookmarkEnd w:id="423"/>
      <w:bookmarkEnd w:id="424"/>
      <w:bookmarkEnd w:id="425"/>
    </w:p>
    <w:p w14:paraId="4E2C9C6E" w14:textId="77777777" w:rsidR="00855CB7" w:rsidRDefault="00855CB7">
      <w:pPr>
        <w:pStyle w:val="BodyText"/>
      </w:pPr>
      <w:r>
        <w:t xml:space="preserve">The </w:t>
      </w:r>
      <w:r w:rsidRPr="007815E3">
        <w:rPr>
          <w:i/>
        </w:rPr>
        <w:t>Electricity Restructuring Act, 2004</w:t>
      </w:r>
      <w:r>
        <w:t xml:space="preserve"> (Bill 100) introduced a number of important changes to the electricity market that affect both the </w:t>
      </w:r>
      <w:r>
        <w:rPr>
          <w:i/>
        </w:rPr>
        <w:t>IESO</w:t>
      </w:r>
      <w:r>
        <w:t xml:space="preserve"> and </w:t>
      </w:r>
      <w:r>
        <w:rPr>
          <w:i/>
        </w:rPr>
        <w:t>market participants</w:t>
      </w:r>
      <w:r>
        <w:t>.  These changes include:</w:t>
      </w:r>
    </w:p>
    <w:p w14:paraId="207A125D" w14:textId="77777777" w:rsidR="00855CB7" w:rsidRDefault="007169D9">
      <w:pPr>
        <w:pStyle w:val="ListBullet"/>
      </w:pPr>
      <w:r>
        <w:t xml:space="preserve">the </w:t>
      </w:r>
      <w:r w:rsidR="00855CB7">
        <w:t xml:space="preserve">establishment of the </w:t>
      </w:r>
      <w:r w:rsidR="00065AD1">
        <w:t xml:space="preserve">former </w:t>
      </w:r>
      <w:r w:rsidR="00855CB7" w:rsidRPr="006F2251">
        <w:rPr>
          <w:i/>
        </w:rPr>
        <w:t>Ontario Power Authority</w:t>
      </w:r>
      <w:r w:rsidR="00855CB7">
        <w:t xml:space="preserve"> (</w:t>
      </w:r>
      <w:r w:rsidR="00855CB7" w:rsidRPr="00560F18">
        <w:rPr>
          <w:i/>
        </w:rPr>
        <w:t>OPA</w:t>
      </w:r>
      <w:r w:rsidR="00855CB7">
        <w:t>);</w:t>
      </w:r>
    </w:p>
    <w:p w14:paraId="061F2A91" w14:textId="77777777" w:rsidR="00855CB7" w:rsidRDefault="007169D9">
      <w:pPr>
        <w:pStyle w:val="ListBullet"/>
      </w:pPr>
      <w:r>
        <w:t xml:space="preserve">a </w:t>
      </w:r>
      <w:r w:rsidR="00855CB7">
        <w:t xml:space="preserve">regulated payment to </w:t>
      </w:r>
      <w:r w:rsidR="00855CB7">
        <w:rPr>
          <w:i/>
        </w:rPr>
        <w:t>generators</w:t>
      </w:r>
      <w:r w:rsidR="00855CB7">
        <w:t xml:space="preserve"> prescribed by</w:t>
      </w:r>
      <w:r w:rsidR="00855CB7" w:rsidRPr="00F01D58">
        <w:rPr>
          <w:i/>
        </w:rPr>
        <w:t xml:space="preserve"> </w:t>
      </w:r>
      <w:r w:rsidR="00855CB7" w:rsidRPr="007136F0">
        <w:t>regulations</w:t>
      </w:r>
      <w:r w:rsidR="00855CB7">
        <w:t>;</w:t>
      </w:r>
    </w:p>
    <w:p w14:paraId="74B0B9AA" w14:textId="77777777" w:rsidR="00855CB7" w:rsidRDefault="007169D9">
      <w:pPr>
        <w:pStyle w:val="ListBullet"/>
      </w:pPr>
      <w:r>
        <w:t xml:space="preserve">payments </w:t>
      </w:r>
      <w:r w:rsidR="00855CB7">
        <w:t xml:space="preserve">to </w:t>
      </w:r>
      <w:r w:rsidR="004A7941">
        <w:rPr>
          <w:i/>
        </w:rPr>
        <w:t>Ontario Electricity Finance Corporation (</w:t>
      </w:r>
      <w:r w:rsidR="00855CB7">
        <w:rPr>
          <w:i/>
        </w:rPr>
        <w:t>OEFC</w:t>
      </w:r>
      <w:r w:rsidR="004A7941">
        <w:rPr>
          <w:i/>
        </w:rPr>
        <w:t>)</w:t>
      </w:r>
      <w:r w:rsidR="00855CB7">
        <w:t xml:space="preserve"> for non-utility </w:t>
      </w:r>
      <w:r w:rsidR="00DA3379" w:rsidRPr="00DA3379">
        <w:rPr>
          <w:i/>
        </w:rPr>
        <w:t>generator</w:t>
      </w:r>
      <w:r w:rsidR="00855CB7">
        <w:t xml:space="preserve"> (NUG) contract amounts;</w:t>
      </w:r>
    </w:p>
    <w:p w14:paraId="3ACFA96B" w14:textId="77777777" w:rsidR="00855CB7" w:rsidRDefault="007169D9">
      <w:pPr>
        <w:pStyle w:val="ListBullet"/>
      </w:pPr>
      <w:r>
        <w:t xml:space="preserve">payments </w:t>
      </w:r>
      <w:r w:rsidR="00BC3B5A">
        <w:t xml:space="preserve">to </w:t>
      </w:r>
      <w:r w:rsidR="00065AD1">
        <w:t xml:space="preserve">the </w:t>
      </w:r>
      <w:r w:rsidR="00561329">
        <w:t>IESO (</w:t>
      </w:r>
      <w:r w:rsidR="00065AD1">
        <w:t xml:space="preserve">former </w:t>
      </w:r>
      <w:r w:rsidR="00BC3B5A" w:rsidRPr="00A0033F">
        <w:rPr>
          <w:i/>
        </w:rPr>
        <w:t>OPA</w:t>
      </w:r>
      <w:r w:rsidR="00561329">
        <w:rPr>
          <w:i/>
        </w:rPr>
        <w:t>)</w:t>
      </w:r>
      <w:r w:rsidR="00BC3B5A">
        <w:t xml:space="preserve"> </w:t>
      </w:r>
      <w:r w:rsidR="00855CB7">
        <w:t xml:space="preserve">for renewable </w:t>
      </w:r>
      <w:r w:rsidR="00855CB7" w:rsidRPr="00306DBE">
        <w:t>generation</w:t>
      </w:r>
      <w:r w:rsidR="00855CB7">
        <w:t xml:space="preserve"> and for clean </w:t>
      </w:r>
      <w:r w:rsidR="00855CB7" w:rsidRPr="00306DBE">
        <w:t>generation</w:t>
      </w:r>
      <w:r w:rsidR="00855CB7">
        <w:t xml:space="preserve"> and demand-side projects awarded as a result of a </w:t>
      </w:r>
      <w:r w:rsidR="004A7941">
        <w:t>Request for Proposal (</w:t>
      </w:r>
      <w:r w:rsidR="00855CB7">
        <w:t>RFP</w:t>
      </w:r>
      <w:r w:rsidR="004A7941">
        <w:t>)</w:t>
      </w:r>
      <w:r w:rsidR="00855CB7">
        <w:t xml:space="preserve"> process;</w:t>
      </w:r>
    </w:p>
    <w:p w14:paraId="4BA32EAF" w14:textId="77777777" w:rsidR="00855CB7" w:rsidRDefault="007169D9">
      <w:pPr>
        <w:pStyle w:val="ListBullet"/>
      </w:pPr>
      <w:r>
        <w:t xml:space="preserve">the </w:t>
      </w:r>
      <w:r w:rsidR="00855CB7">
        <w:t xml:space="preserve">establishment of regulated </w:t>
      </w:r>
      <w:r w:rsidR="00DA3379" w:rsidRPr="00DA3379">
        <w:rPr>
          <w:i/>
        </w:rPr>
        <w:t>consumer</w:t>
      </w:r>
      <w:r w:rsidR="00855CB7" w:rsidRPr="00323413">
        <w:t xml:space="preserve"> </w:t>
      </w:r>
      <w:r w:rsidR="00855CB7">
        <w:t xml:space="preserve">prices </w:t>
      </w:r>
      <w:r w:rsidR="00115391">
        <w:t>beginning in April 2005,</w:t>
      </w:r>
      <w:r w:rsidR="00ED06CA">
        <w:t xml:space="preserve"> known as </w:t>
      </w:r>
      <w:r w:rsidR="00855CB7">
        <w:t>the Regulated Price Plan (RPP</w:t>
      </w:r>
      <w:r>
        <w:t>) (</w:t>
      </w:r>
      <w:r w:rsidR="00855CB7">
        <w:t xml:space="preserve">RPP </w:t>
      </w:r>
      <w:r w:rsidR="00ED06CA">
        <w:t>prices are</w:t>
      </w:r>
      <w:r w:rsidR="00855CB7">
        <w:t xml:space="preserve"> set by the </w:t>
      </w:r>
      <w:r w:rsidR="004A7941">
        <w:rPr>
          <w:i/>
        </w:rPr>
        <w:t>Ontario Energy Board (</w:t>
      </w:r>
      <w:r w:rsidR="00855CB7">
        <w:rPr>
          <w:i/>
        </w:rPr>
        <w:t>OEB</w:t>
      </w:r>
      <w:r w:rsidR="004A7941">
        <w:rPr>
          <w:i/>
        </w:rPr>
        <w:t>)</w:t>
      </w:r>
      <w:r w:rsidR="00855CB7">
        <w:t xml:space="preserve"> from time to time</w:t>
      </w:r>
      <w:r>
        <w:t>)</w:t>
      </w:r>
      <w:r w:rsidR="00ED06CA">
        <w:t>;</w:t>
      </w:r>
      <w:r w:rsidR="00855CB7">
        <w:t xml:space="preserve"> and</w:t>
      </w:r>
    </w:p>
    <w:p w14:paraId="4E42CDFC" w14:textId="77777777" w:rsidR="00855CB7" w:rsidRDefault="007169D9">
      <w:pPr>
        <w:pStyle w:val="ListBullet"/>
      </w:pPr>
      <w:r>
        <w:t xml:space="preserve">the </w:t>
      </w:r>
      <w:r w:rsidR="00855CB7">
        <w:t>creation of a “</w:t>
      </w:r>
      <w:r w:rsidR="004A7941">
        <w:t>Global Adjustment</w:t>
      </w:r>
      <w:r w:rsidR="00855CB7">
        <w:t>” amount</w:t>
      </w:r>
      <w:r w:rsidR="00BF6CD0">
        <w:t>,</w:t>
      </w:r>
      <w:r w:rsidR="00855CB7">
        <w:t xml:space="preserve"> which is the difference between the </w:t>
      </w:r>
      <w:r w:rsidR="00BF6CD0">
        <w:t xml:space="preserve">contract amounts and </w:t>
      </w:r>
      <w:r w:rsidR="00855CB7" w:rsidRPr="00F64C67">
        <w:t xml:space="preserve">market </w:t>
      </w:r>
      <w:r w:rsidR="00855CB7">
        <w:t xml:space="preserve">payments for OPG regulated </w:t>
      </w:r>
      <w:r w:rsidR="00855CB7" w:rsidRPr="00306DBE">
        <w:t>generation</w:t>
      </w:r>
      <w:r w:rsidR="00855CB7">
        <w:t xml:space="preserve">, NUG </w:t>
      </w:r>
      <w:r w:rsidR="00855CB7" w:rsidRPr="00306DBE">
        <w:t>generation</w:t>
      </w:r>
      <w:r w:rsidR="00855CB7">
        <w:t xml:space="preserve"> and RFP contracted </w:t>
      </w:r>
      <w:r w:rsidR="00855CB7" w:rsidRPr="00306DBE">
        <w:t>generation</w:t>
      </w:r>
      <w:r w:rsidR="00855CB7">
        <w:t xml:space="preserve"> </w:t>
      </w:r>
      <w:r w:rsidR="00BC3B5A">
        <w:t>and demand-side management</w:t>
      </w:r>
      <w:r w:rsidR="00BF6CD0">
        <w:t>.</w:t>
      </w:r>
    </w:p>
    <w:p w14:paraId="73E5114A" w14:textId="77777777" w:rsidR="00855CB7" w:rsidRDefault="00855CB7">
      <w:pPr>
        <w:pStyle w:val="BodyText"/>
      </w:pPr>
      <w:r>
        <w:t xml:space="preserve">Implementing these changes </w:t>
      </w:r>
      <w:r w:rsidR="004A7941">
        <w:t xml:space="preserve">required </w:t>
      </w:r>
      <w:r>
        <w:t xml:space="preserve">the creation of new </w:t>
      </w:r>
      <w:r>
        <w:rPr>
          <w:i/>
        </w:rPr>
        <w:t>charge types</w:t>
      </w:r>
      <w:r>
        <w:t xml:space="preserve"> within </w:t>
      </w:r>
      <w:r w:rsidR="00C63DD8">
        <w:t xml:space="preserve">the IESO’s </w:t>
      </w:r>
      <w:r w:rsidR="00DA3379" w:rsidRPr="00DA3379">
        <w:rPr>
          <w:i/>
        </w:rPr>
        <w:t>settlements</w:t>
      </w:r>
      <w:r w:rsidRPr="00323413">
        <w:t xml:space="preserve"> s</w:t>
      </w:r>
      <w:r>
        <w:t xml:space="preserve">ystem.  The </w:t>
      </w:r>
      <w:r>
        <w:rPr>
          <w:i/>
        </w:rPr>
        <w:t>charge types</w:t>
      </w:r>
      <w:r>
        <w:t xml:space="preserve"> are listed in the “</w:t>
      </w:r>
      <w:r w:rsidR="00765ED6">
        <w:t xml:space="preserve">IESO </w:t>
      </w:r>
      <w:r>
        <w:t xml:space="preserve">Charge Types and Equations” </w:t>
      </w:r>
      <w:r w:rsidR="00C63DD8">
        <w:t xml:space="preserve">document </w:t>
      </w:r>
      <w:r>
        <w:t xml:space="preserve">and are comprised of charges that are payable </w:t>
      </w:r>
      <w:r w:rsidR="004A7941">
        <w:t xml:space="preserve">to or from </w:t>
      </w:r>
      <w:r>
        <w:rPr>
          <w:i/>
        </w:rPr>
        <w:t>market participants</w:t>
      </w:r>
      <w:r>
        <w:t xml:space="preserve"> with</w:t>
      </w:r>
      <w:r w:rsidR="004A7941">
        <w:t>, in most cases,</w:t>
      </w:r>
      <w:r>
        <w:t xml:space="preserve"> the corresponding offsets payable by the </w:t>
      </w:r>
      <w:r w:rsidR="00065AD1">
        <w:t>IESO</w:t>
      </w:r>
      <w:r>
        <w:t>.</w:t>
      </w:r>
    </w:p>
    <w:p w14:paraId="35D52E6F" w14:textId="77777777" w:rsidR="00CA25FD" w:rsidRDefault="00C63DD8">
      <w:r>
        <w:t>Ontario Regulation</w:t>
      </w:r>
      <w:r w:rsidR="004A7941" w:rsidRPr="008679CB">
        <w:t xml:space="preserve"> 398/10 made under the </w:t>
      </w:r>
      <w:r>
        <w:rPr>
          <w:i/>
        </w:rPr>
        <w:t>Electricity Act,</w:t>
      </w:r>
      <w:r w:rsidR="004A7941" w:rsidRPr="008679CB">
        <w:rPr>
          <w:i/>
        </w:rPr>
        <w:t xml:space="preserve"> 1998</w:t>
      </w:r>
      <w:r w:rsidR="004A7941" w:rsidRPr="008679CB">
        <w:t xml:space="preserve"> </w:t>
      </w:r>
      <w:r>
        <w:t>which amended</w:t>
      </w:r>
      <w:r w:rsidRPr="008679CB">
        <w:t xml:space="preserve"> </w:t>
      </w:r>
      <w:r w:rsidR="004A7941" w:rsidRPr="008679CB">
        <w:t xml:space="preserve">O. Reg. 429/04 significantly changed the </w:t>
      </w:r>
      <w:r w:rsidR="004A7941">
        <w:t>G</w:t>
      </w:r>
      <w:r w:rsidR="004A7941" w:rsidRPr="008679CB">
        <w:t xml:space="preserve">lobal </w:t>
      </w:r>
      <w:r w:rsidR="004A7941">
        <w:t>A</w:t>
      </w:r>
      <w:r w:rsidR="004A7941" w:rsidRPr="008679CB">
        <w:t xml:space="preserve">djustment, creating two classes of </w:t>
      </w:r>
      <w:r w:rsidR="004A7941" w:rsidRPr="008679CB">
        <w:rPr>
          <w:i/>
        </w:rPr>
        <w:t>market participants</w:t>
      </w:r>
      <w:r w:rsidR="004A7941" w:rsidRPr="008679CB">
        <w:t xml:space="preserve"> with different approaches to the distribution of the global adjustment costs.</w:t>
      </w:r>
      <w:r w:rsidR="004D216B">
        <w:t xml:space="preserve"> The regulation further added the costs related to </w:t>
      </w:r>
      <w:r w:rsidR="00DA3379" w:rsidRPr="00DA3379">
        <w:rPr>
          <w:i/>
        </w:rPr>
        <w:t>distributor</w:t>
      </w:r>
      <w:r w:rsidR="004D216B">
        <w:t xml:space="preserve"> developed conservation and demand</w:t>
      </w:r>
      <w:r w:rsidR="004A7941" w:rsidRPr="008679CB">
        <w:t xml:space="preserve"> management programs to the </w:t>
      </w:r>
      <w:r w:rsidR="004A7941">
        <w:t>G</w:t>
      </w:r>
      <w:r w:rsidR="004A7941" w:rsidRPr="008679CB">
        <w:t xml:space="preserve">lobal </w:t>
      </w:r>
      <w:r w:rsidR="004A7941">
        <w:t>A</w:t>
      </w:r>
      <w:r w:rsidR="004A7941" w:rsidRPr="008679CB">
        <w:t>djustment pool.</w:t>
      </w:r>
    </w:p>
    <w:p w14:paraId="4E631730" w14:textId="77777777" w:rsidR="00855CB7" w:rsidRDefault="00BE3518" w:rsidP="00133618">
      <w:pPr>
        <w:pStyle w:val="Heading4"/>
      </w:pPr>
      <w:r>
        <w:t>Regulated OPG Nuclear and Baseload Hydroelectric Generation</w:t>
      </w:r>
    </w:p>
    <w:p w14:paraId="4A7D757D" w14:textId="77777777" w:rsidR="003D44C5" w:rsidRPr="003D44C5" w:rsidRDefault="003D44C5" w:rsidP="003D44C5">
      <w:pPr>
        <w:pStyle w:val="BodyText"/>
      </w:pPr>
      <w:r w:rsidRPr="003D44C5">
        <w:t xml:space="preserve">Under the </w:t>
      </w:r>
      <w:r w:rsidRPr="00C63DD8">
        <w:rPr>
          <w:i/>
        </w:rPr>
        <w:t>Electricity Restructuring Act, 2004</w:t>
      </w:r>
      <w:r w:rsidRPr="003D44C5">
        <w:t xml:space="preserve"> and </w:t>
      </w:r>
      <w:r w:rsidRPr="007136F0">
        <w:t>subsequent regulations</w:t>
      </w:r>
      <w:r w:rsidRPr="003D44C5">
        <w:t xml:space="preserve">, OPG’s nuclear and baseload hydroelectric assets will receive a regulated price.  </w:t>
      </w:r>
      <w:r w:rsidR="003C2E88">
        <w:t>OPG’s regulated assets include:</w:t>
      </w:r>
    </w:p>
    <w:p w14:paraId="4A110936" w14:textId="77777777" w:rsidR="003D44C5" w:rsidRDefault="003D44C5" w:rsidP="003D44C5">
      <w:pPr>
        <w:pStyle w:val="ListBullet"/>
      </w:pPr>
      <w:r>
        <w:t>DeCew Falls I and II;</w:t>
      </w:r>
    </w:p>
    <w:p w14:paraId="0A9B3D6E" w14:textId="77777777" w:rsidR="003D44C5" w:rsidRDefault="007169D9" w:rsidP="003D44C5">
      <w:pPr>
        <w:pStyle w:val="ListBullet"/>
      </w:pPr>
      <w:r>
        <w:t xml:space="preserve">the </w:t>
      </w:r>
      <w:r w:rsidR="003D44C5">
        <w:t>Niagara River plants – Sir Adam Beck I, II, and Pumped Generating Station;</w:t>
      </w:r>
    </w:p>
    <w:p w14:paraId="00904C27" w14:textId="77777777" w:rsidR="003D44C5" w:rsidRDefault="007169D9" w:rsidP="003D44C5">
      <w:pPr>
        <w:pStyle w:val="ListBullet"/>
      </w:pPr>
      <w:r>
        <w:t xml:space="preserve">the </w:t>
      </w:r>
      <w:r w:rsidR="003D44C5">
        <w:t xml:space="preserve">R.H. Saunders </w:t>
      </w:r>
      <w:r w:rsidR="00440EAD">
        <w:t xml:space="preserve">Hydroelectric Generating Station </w:t>
      </w:r>
      <w:r w:rsidR="003D44C5">
        <w:t>on the St. Lawrence River;</w:t>
      </w:r>
    </w:p>
    <w:p w14:paraId="3AC62792" w14:textId="77777777" w:rsidR="003D44C5" w:rsidRDefault="007169D9" w:rsidP="003D44C5">
      <w:pPr>
        <w:pStyle w:val="ListBullet"/>
      </w:pPr>
      <w:r>
        <w:t xml:space="preserve">the </w:t>
      </w:r>
      <w:r w:rsidR="003D44C5">
        <w:t xml:space="preserve">Pickering Nuclear Generating </w:t>
      </w:r>
      <w:r w:rsidR="00440EAD">
        <w:t xml:space="preserve">Station </w:t>
      </w:r>
      <w:r w:rsidR="003D44C5">
        <w:t>consisting of Pickering A and Pickering B; and</w:t>
      </w:r>
    </w:p>
    <w:p w14:paraId="5EE8D6BE" w14:textId="77777777" w:rsidR="003D44C5" w:rsidRDefault="007169D9" w:rsidP="003D44C5">
      <w:pPr>
        <w:pStyle w:val="ListBullet"/>
      </w:pPr>
      <w:r>
        <w:t xml:space="preserve">the </w:t>
      </w:r>
      <w:r w:rsidR="003D44C5">
        <w:t>Darlington Nuclear Generating Station.</w:t>
      </w:r>
    </w:p>
    <w:p w14:paraId="25832000" w14:textId="77777777" w:rsidR="00BF6CD0" w:rsidRDefault="00BF6CD0" w:rsidP="003D44C5">
      <w:pPr>
        <w:pStyle w:val="BodyText"/>
        <w:rPr>
          <w:i/>
        </w:rPr>
      </w:pPr>
      <w:r>
        <w:t>We have created t</w:t>
      </w:r>
      <w:r w:rsidR="003D44C5" w:rsidRPr="003D44C5">
        <w:t xml:space="preserve">wo </w:t>
      </w:r>
      <w:r w:rsidR="003D44C5" w:rsidRPr="003D44C5">
        <w:rPr>
          <w:i/>
        </w:rPr>
        <w:t>charge types</w:t>
      </w:r>
      <w:r w:rsidR="003D44C5" w:rsidRPr="003D44C5">
        <w:t xml:space="preserve"> to implement the adjustments for nuclear </w:t>
      </w:r>
      <w:r w:rsidR="003D44C5" w:rsidRPr="00306DBE">
        <w:t>generation</w:t>
      </w:r>
      <w:r w:rsidR="003D44C5" w:rsidRPr="003D44C5">
        <w:t xml:space="preserve"> and for baseload hydroelectric </w:t>
      </w:r>
      <w:r w:rsidR="003D44C5" w:rsidRPr="00306DBE">
        <w:t>generation</w:t>
      </w:r>
      <w:r w:rsidR="003D44C5" w:rsidRPr="003D44C5">
        <w:t xml:space="preserve">. </w:t>
      </w:r>
      <w:r w:rsidR="001841AF" w:rsidRPr="003D44C5">
        <w:t xml:space="preserve"> </w:t>
      </w:r>
      <w:r w:rsidR="003D44C5" w:rsidRPr="003D44C5">
        <w:t xml:space="preserve">The adjustments are the </w:t>
      </w:r>
      <w:r w:rsidR="00E75B0E">
        <w:t>difference between</w:t>
      </w:r>
      <w:r w:rsidRPr="00B0134C">
        <w:t>:</w:t>
      </w:r>
    </w:p>
    <w:p w14:paraId="326F65D6" w14:textId="77777777" w:rsidR="00BF6CD0" w:rsidRDefault="007169D9" w:rsidP="003853C6">
      <w:pPr>
        <w:pStyle w:val="BodyText"/>
        <w:numPr>
          <w:ilvl w:val="0"/>
          <w:numId w:val="57"/>
        </w:numPr>
        <w:ind w:left="900"/>
      </w:pPr>
      <w:r>
        <w:t xml:space="preserve">the </w:t>
      </w:r>
      <w:r w:rsidR="00DA3379" w:rsidRPr="00DA3379">
        <w:rPr>
          <w:i/>
        </w:rPr>
        <w:t>market prices</w:t>
      </w:r>
      <w:r w:rsidR="00E75B0E">
        <w:t xml:space="preserve"> paid to </w:t>
      </w:r>
      <w:r w:rsidR="00BF6CD0">
        <w:t>r</w:t>
      </w:r>
      <w:r w:rsidR="003D44C5" w:rsidRPr="003D44C5">
        <w:t xml:space="preserve">egulated hydroelectric </w:t>
      </w:r>
      <w:r w:rsidR="003D44C5" w:rsidRPr="00306DBE">
        <w:t>generation</w:t>
      </w:r>
      <w:r w:rsidR="003D44C5" w:rsidRPr="003D44C5">
        <w:t xml:space="preserve"> and nuclear </w:t>
      </w:r>
      <w:r w:rsidR="003D44C5" w:rsidRPr="00306DBE">
        <w:t xml:space="preserve">generation </w:t>
      </w:r>
      <w:r w:rsidR="00E75B0E">
        <w:t xml:space="preserve">using the existing </w:t>
      </w:r>
      <w:r w:rsidR="00DA3379" w:rsidRPr="00DA3379">
        <w:rPr>
          <w:i/>
        </w:rPr>
        <w:t>settlements</w:t>
      </w:r>
      <w:r w:rsidR="00E75B0E">
        <w:t xml:space="preserve"> process; and</w:t>
      </w:r>
    </w:p>
    <w:p w14:paraId="76A2814E" w14:textId="77777777" w:rsidR="00BF6CD0" w:rsidRDefault="007169D9" w:rsidP="003853C6">
      <w:pPr>
        <w:pStyle w:val="BodyText"/>
        <w:numPr>
          <w:ilvl w:val="0"/>
          <w:numId w:val="57"/>
        </w:numPr>
        <w:ind w:left="900"/>
      </w:pPr>
      <w:r>
        <w:t xml:space="preserve">the </w:t>
      </w:r>
      <w:r w:rsidR="00E75B0E">
        <w:t xml:space="preserve">regulated </w:t>
      </w:r>
      <w:r w:rsidR="003D44C5" w:rsidRPr="003D44C5">
        <w:t xml:space="preserve">fixed rate </w:t>
      </w:r>
      <w:r w:rsidR="00E75B0E">
        <w:t xml:space="preserve">that the </w:t>
      </w:r>
      <w:r w:rsidR="003D44C5" w:rsidRPr="003D44C5">
        <w:t xml:space="preserve">regulated nuclear </w:t>
      </w:r>
      <w:r w:rsidR="003D44C5" w:rsidRPr="00306DBE">
        <w:t>generation</w:t>
      </w:r>
      <w:r w:rsidR="003D44C5" w:rsidRPr="003D44C5">
        <w:t xml:space="preserve"> and a portion of output of the regulated hydroelectric </w:t>
      </w:r>
      <w:r w:rsidR="003D44C5" w:rsidRPr="00306DBE">
        <w:t>generation</w:t>
      </w:r>
      <w:r w:rsidR="00E75B0E">
        <w:t xml:space="preserve"> should receive</w:t>
      </w:r>
      <w:r w:rsidR="003D44C5" w:rsidRPr="003D44C5">
        <w:t>.</w:t>
      </w:r>
    </w:p>
    <w:p w14:paraId="534780E0" w14:textId="77777777" w:rsidR="003D44C5" w:rsidRPr="003D44C5" w:rsidRDefault="00E75B0E" w:rsidP="001635E8">
      <w:pPr>
        <w:pStyle w:val="BodyText"/>
      </w:pPr>
      <w:r>
        <w:t xml:space="preserve">In essence, </w:t>
      </w:r>
      <w:r w:rsidR="00BF6CD0">
        <w:t>t</w:t>
      </w:r>
      <w:r w:rsidR="003D44C5" w:rsidRPr="003D44C5">
        <w:t xml:space="preserve">he adjustment is the difference between the amount OPG would have received at </w:t>
      </w:r>
      <w:r w:rsidR="003D44C5" w:rsidRPr="00F52E51">
        <w:rPr>
          <w:i/>
        </w:rPr>
        <w:t>market prices</w:t>
      </w:r>
      <w:r w:rsidR="003D44C5" w:rsidRPr="003D44C5">
        <w:t xml:space="preserve"> and the amount calculated at regulated prices. </w:t>
      </w:r>
      <w:r w:rsidR="00316450">
        <w:t xml:space="preserve"> The </w:t>
      </w:r>
      <w:r w:rsidR="00DA3379" w:rsidRPr="00DA3379">
        <w:rPr>
          <w:i/>
        </w:rPr>
        <w:t>settlement</w:t>
      </w:r>
      <w:r w:rsidR="00316450">
        <w:t xml:space="preserve"> of the hydroelectric generation </w:t>
      </w:r>
      <w:r w:rsidR="00316450">
        <w:lastRenderedPageBreak/>
        <w:t xml:space="preserve">assets includes an adjustment based on the average </w:t>
      </w:r>
      <w:r w:rsidR="00DA3379" w:rsidRPr="00DA3379">
        <w:rPr>
          <w:i/>
        </w:rPr>
        <w:t>market prices</w:t>
      </w:r>
      <w:r w:rsidR="00316450">
        <w:t xml:space="preserve"> for the month.  </w:t>
      </w:r>
      <w:r w:rsidR="00BF6CD0">
        <w:t>We use c</w:t>
      </w:r>
      <w:r w:rsidR="00765ED6">
        <w:rPr>
          <w:i/>
        </w:rPr>
        <w:t>harge t</w:t>
      </w:r>
      <w:r w:rsidR="003D44C5" w:rsidRPr="003C2E88">
        <w:rPr>
          <w:i/>
        </w:rPr>
        <w:t>ype</w:t>
      </w:r>
      <w:r w:rsidR="00AA3D99">
        <w:t xml:space="preserve"> 144 “</w:t>
      </w:r>
      <w:r w:rsidR="003D44C5" w:rsidRPr="003D44C5">
        <w:t>Regulated Nucle</w:t>
      </w:r>
      <w:r w:rsidR="00AA3D99">
        <w:t>ar Generation Adjustment Amount”</w:t>
      </w:r>
      <w:r w:rsidR="003D44C5" w:rsidRPr="003D44C5">
        <w:t xml:space="preserve"> to adjust payments to OPG with respect to the regulated nuclear generating stations, and </w:t>
      </w:r>
      <w:r w:rsidR="00765ED6">
        <w:rPr>
          <w:i/>
        </w:rPr>
        <w:t>charge t</w:t>
      </w:r>
      <w:r w:rsidR="003D44C5" w:rsidRPr="003C2E88">
        <w:rPr>
          <w:i/>
        </w:rPr>
        <w:t>ype</w:t>
      </w:r>
      <w:r w:rsidR="003C2E88">
        <w:rPr>
          <w:i/>
        </w:rPr>
        <w:t> </w:t>
      </w:r>
      <w:r w:rsidR="00AA3D99">
        <w:t>145 “</w:t>
      </w:r>
      <w:r w:rsidR="003D44C5" w:rsidRPr="003D44C5">
        <w:t>Regulated Hydroelectric Generation Adju</w:t>
      </w:r>
      <w:r w:rsidR="00AA3D99">
        <w:t>stment Amount”</w:t>
      </w:r>
      <w:r w:rsidR="003D44C5" w:rsidRPr="003D44C5">
        <w:t xml:space="preserve"> </w:t>
      </w:r>
      <w:r w:rsidR="00BF6CD0">
        <w:t>t</w:t>
      </w:r>
      <w:r w:rsidR="003D44C5" w:rsidRPr="003D44C5">
        <w:t>o adjust payments to OPG with respect to the regulated hydroelectric generating stations.</w:t>
      </w:r>
    </w:p>
    <w:p w14:paraId="7927EECF" w14:textId="77777777" w:rsidR="00BB01C1" w:rsidRPr="007311C4" w:rsidRDefault="003D44C5" w:rsidP="00BB01C1">
      <w:pPr>
        <w:pStyle w:val="BodyText"/>
      </w:pPr>
      <w:r w:rsidRPr="003D44C5">
        <w:t xml:space="preserve">Amounts calculated under </w:t>
      </w:r>
      <w:r w:rsidRPr="003C2E88">
        <w:rPr>
          <w:i/>
        </w:rPr>
        <w:t>charge types</w:t>
      </w:r>
      <w:r w:rsidRPr="003D44C5">
        <w:t xml:space="preserve"> 144 and 145 will be set</w:t>
      </w:r>
      <w:r w:rsidR="007C1DE9">
        <w:t xml:space="preserve"> </w:t>
      </w:r>
      <w:r w:rsidRPr="003D44C5">
        <w:t xml:space="preserve">off against </w:t>
      </w:r>
      <w:r w:rsidR="00065AD1">
        <w:t>the IESO</w:t>
      </w:r>
      <w:r w:rsidR="007C1DE9">
        <w:rPr>
          <w:i/>
        </w:rPr>
        <w:t>,</w:t>
      </w:r>
      <w:r w:rsidRPr="003D44C5">
        <w:t xml:space="preserve"> using the corresponding </w:t>
      </w:r>
      <w:r w:rsidR="00765ED6">
        <w:rPr>
          <w:i/>
        </w:rPr>
        <w:t>charge t</w:t>
      </w:r>
      <w:r w:rsidRPr="003D44C5">
        <w:rPr>
          <w:i/>
        </w:rPr>
        <w:t>ypes</w:t>
      </w:r>
      <w:r w:rsidRPr="003D44C5">
        <w:t xml:space="preserve"> 194 and 195 respectively.</w:t>
      </w:r>
      <w:r w:rsidR="007C1DE9">
        <w:t xml:space="preserve"> </w:t>
      </w:r>
      <w:r w:rsidR="001841AF">
        <w:t xml:space="preserve"> </w:t>
      </w:r>
      <w:r w:rsidR="007311C4">
        <w:t xml:space="preserve">The </w:t>
      </w:r>
      <w:r w:rsidRPr="003D44C5">
        <w:t xml:space="preserve">regulated </w:t>
      </w:r>
      <w:r w:rsidR="007311C4">
        <w:t xml:space="preserve">nuclear </w:t>
      </w:r>
      <w:r w:rsidRPr="00306DBE">
        <w:t xml:space="preserve">generation </w:t>
      </w:r>
      <w:r w:rsidRPr="003D44C5">
        <w:t>amounts (i.e.</w:t>
      </w:r>
      <w:r w:rsidR="007C1DE9">
        <w:t>,</w:t>
      </w:r>
      <w:r w:rsidRPr="003D44C5">
        <w:t xml:space="preserve"> </w:t>
      </w:r>
      <w:r w:rsidRPr="003D44C5">
        <w:rPr>
          <w:i/>
        </w:rPr>
        <w:t>charge</w:t>
      </w:r>
      <w:r w:rsidRPr="003D44C5">
        <w:t xml:space="preserve"> </w:t>
      </w:r>
      <w:r w:rsidRPr="003D44C5">
        <w:rPr>
          <w:i/>
        </w:rPr>
        <w:t>types</w:t>
      </w:r>
      <w:r w:rsidRPr="003D44C5">
        <w:t xml:space="preserve"> 144 and 19</w:t>
      </w:r>
      <w:r w:rsidR="007311C4">
        <w:t>4</w:t>
      </w:r>
      <w:r w:rsidRPr="003D44C5">
        <w:t xml:space="preserve">) are automatically generated by CRS and appear as </w:t>
      </w:r>
      <w:r w:rsidRPr="003D44C5">
        <w:rPr>
          <w:i/>
        </w:rPr>
        <w:t>settlement</w:t>
      </w:r>
      <w:r w:rsidRPr="003D44C5">
        <w:t xml:space="preserve"> details on both OPG’s and </w:t>
      </w:r>
      <w:r w:rsidR="00C51A68">
        <w:t xml:space="preserve">the IESO’s </w:t>
      </w:r>
      <w:r w:rsidRPr="003D44C5">
        <w:rPr>
          <w:i/>
        </w:rPr>
        <w:t>preliminary</w:t>
      </w:r>
      <w:r w:rsidRPr="003D44C5">
        <w:t xml:space="preserve"> and </w:t>
      </w:r>
      <w:r w:rsidRPr="003D44C5">
        <w:rPr>
          <w:i/>
        </w:rPr>
        <w:t>final settlement statements</w:t>
      </w:r>
      <w:r w:rsidRPr="003D44C5">
        <w:t>.</w:t>
      </w:r>
      <w:r w:rsidR="007311C4">
        <w:t xml:space="preserve">  The regulated hydroelectric </w:t>
      </w:r>
      <w:r w:rsidR="007311C4" w:rsidRPr="00306DBE">
        <w:t xml:space="preserve">generation </w:t>
      </w:r>
      <w:r w:rsidR="007311C4">
        <w:t xml:space="preserve">amounts (i.e., </w:t>
      </w:r>
      <w:r w:rsidR="007311C4">
        <w:rPr>
          <w:i/>
        </w:rPr>
        <w:t xml:space="preserve">charge types </w:t>
      </w:r>
      <w:r w:rsidR="007311C4">
        <w:t xml:space="preserve">145 and 195) are calculated monthly and included as manual line items on both OPG’s and </w:t>
      </w:r>
      <w:r w:rsidR="00C51A68">
        <w:t xml:space="preserve">the IESO’s </w:t>
      </w:r>
      <w:r w:rsidR="007311C4">
        <w:rPr>
          <w:i/>
        </w:rPr>
        <w:t>settlement statements</w:t>
      </w:r>
      <w:r w:rsidR="007311C4">
        <w:t>.</w:t>
      </w:r>
    </w:p>
    <w:p w14:paraId="0C016873" w14:textId="77777777" w:rsidR="00855CB7" w:rsidRDefault="00316450" w:rsidP="00133618">
      <w:pPr>
        <w:pStyle w:val="Heading4"/>
      </w:pPr>
      <w:r>
        <w:t xml:space="preserve">OEFC </w:t>
      </w:r>
      <w:r w:rsidR="00855CB7">
        <w:t>Adjustm</w:t>
      </w:r>
      <w:r w:rsidR="00BB01C1">
        <w:t>ent</w:t>
      </w:r>
    </w:p>
    <w:p w14:paraId="2D10B0F6" w14:textId="77777777" w:rsidR="00316450" w:rsidRDefault="00855CB7">
      <w:pPr>
        <w:pStyle w:val="BodyText"/>
      </w:pPr>
      <w:r>
        <w:t xml:space="preserve">Section 78.2 of Bill 100 states that the </w:t>
      </w:r>
      <w:r w:rsidRPr="006F2251">
        <w:rPr>
          <w:i/>
        </w:rPr>
        <w:t>OEFC</w:t>
      </w:r>
      <w:r>
        <w:t xml:space="preserve"> will be paid contract amounts for all NUG output</w:t>
      </w:r>
      <w:r w:rsidR="007C1DE9">
        <w:t xml:space="preserve">. </w:t>
      </w:r>
      <w:r w:rsidR="00400143">
        <w:t xml:space="preserve"> </w:t>
      </w:r>
      <w:r w:rsidR="007C1DE9">
        <w:t>We</w:t>
      </w:r>
      <w:r>
        <w:t xml:space="preserve"> </w:t>
      </w:r>
      <w:r w:rsidR="007C1DE9">
        <w:t xml:space="preserve">use current </w:t>
      </w:r>
      <w:r w:rsidR="00DA3379" w:rsidRPr="00DA3379">
        <w:rPr>
          <w:i/>
        </w:rPr>
        <w:t>settlemen</w:t>
      </w:r>
      <w:r w:rsidR="007C1DE9">
        <w:t xml:space="preserve">t processes to </w:t>
      </w:r>
      <w:r>
        <w:t xml:space="preserve">pay </w:t>
      </w:r>
      <w:r>
        <w:rPr>
          <w:i/>
        </w:rPr>
        <w:t>OEFC</w:t>
      </w:r>
      <w:r>
        <w:t xml:space="preserve"> </w:t>
      </w:r>
      <w:r w:rsidR="007C1DE9">
        <w:t xml:space="preserve">at wholesale </w:t>
      </w:r>
      <w:r w:rsidR="007C1DE9">
        <w:rPr>
          <w:i/>
        </w:rPr>
        <w:t>market prices</w:t>
      </w:r>
      <w:r w:rsidR="007C1DE9">
        <w:t xml:space="preserve"> </w:t>
      </w:r>
      <w:r>
        <w:t xml:space="preserve">for all NUG output delivered to the </w:t>
      </w:r>
      <w:r>
        <w:rPr>
          <w:i/>
        </w:rPr>
        <w:t>IESO-controlled grid</w:t>
      </w:r>
      <w:r>
        <w:t>.</w:t>
      </w:r>
      <w:r w:rsidR="001A4861">
        <w:t xml:space="preserve"> </w:t>
      </w:r>
      <w:r>
        <w:t xml:space="preserve"> The difference between the monies paid out by </w:t>
      </w:r>
      <w:r>
        <w:rPr>
          <w:i/>
        </w:rPr>
        <w:t>OEFC</w:t>
      </w:r>
      <w:r>
        <w:t xml:space="preserve"> to all NUGs and the monies received from </w:t>
      </w:r>
      <w:r w:rsidR="007C1DE9">
        <w:t xml:space="preserve">us </w:t>
      </w:r>
      <w:r>
        <w:t xml:space="preserve">and </w:t>
      </w:r>
      <w:r>
        <w:rPr>
          <w:i/>
        </w:rPr>
        <w:t>distributors</w:t>
      </w:r>
      <w:r>
        <w:t xml:space="preserve"> (embedded NUGs) for all NUG output is submitted to </w:t>
      </w:r>
      <w:r w:rsidR="00D134AD">
        <w:t>us</w:t>
      </w:r>
      <w:r>
        <w:t xml:space="preserve"> on a monthly basis using</w:t>
      </w:r>
      <w:r w:rsidR="00316450">
        <w:t xml:space="preserve"> the </w:t>
      </w:r>
      <w:r w:rsidR="00972031" w:rsidRPr="00BA0260">
        <w:t>settlement</w:t>
      </w:r>
      <w:r w:rsidR="00972031">
        <w:t xml:space="preserve"> form </w:t>
      </w:r>
      <w:r w:rsidR="00760AE2">
        <w:t>“NUG Adjustment Amount Information”</w:t>
      </w:r>
      <w:r w:rsidR="00972031" w:rsidRPr="00972031">
        <w:t xml:space="preserve"> available </w:t>
      </w:r>
      <w:r w:rsidR="00972031">
        <w:t>within</w:t>
      </w:r>
      <w:r w:rsidR="00972031" w:rsidRPr="00972031">
        <w:t xml:space="preserve"> Online IESO</w:t>
      </w:r>
      <w:r>
        <w:t>.</w:t>
      </w:r>
    </w:p>
    <w:p w14:paraId="74619525" w14:textId="77777777" w:rsidR="00855CB7" w:rsidRDefault="00855CB7">
      <w:pPr>
        <w:pStyle w:val="BodyText"/>
      </w:pPr>
      <w:r>
        <w:t xml:space="preserve">The monthly amount submitted by </w:t>
      </w:r>
      <w:r>
        <w:rPr>
          <w:i/>
        </w:rPr>
        <w:t>OEFC</w:t>
      </w:r>
      <w:r>
        <w:t xml:space="preserve"> is included as a manual line item on </w:t>
      </w:r>
      <w:r>
        <w:rPr>
          <w:i/>
        </w:rPr>
        <w:t>OEFC’s</w:t>
      </w:r>
      <w:r>
        <w:t xml:space="preserve"> </w:t>
      </w:r>
      <w:r>
        <w:rPr>
          <w:i/>
        </w:rPr>
        <w:t>preliminary</w:t>
      </w:r>
      <w:r>
        <w:t xml:space="preserve"> </w:t>
      </w:r>
      <w:r>
        <w:rPr>
          <w:i/>
        </w:rPr>
        <w:t xml:space="preserve">settlement statement </w:t>
      </w:r>
      <w:r>
        <w:t xml:space="preserve">and </w:t>
      </w:r>
      <w:r>
        <w:rPr>
          <w:i/>
        </w:rPr>
        <w:t>final settlement statement</w:t>
      </w:r>
      <w:r>
        <w:t xml:space="preserve"> for the last </w:t>
      </w:r>
      <w:r>
        <w:rPr>
          <w:i/>
        </w:rPr>
        <w:t>trading day</w:t>
      </w:r>
      <w:r>
        <w:t xml:space="preserve"> of the month. </w:t>
      </w:r>
      <w:r w:rsidR="00007951">
        <w:t xml:space="preserve">Any amount submitted as a post final adjustment will be settled on the </w:t>
      </w:r>
      <w:r w:rsidR="00007951" w:rsidRPr="00007951">
        <w:rPr>
          <w:i/>
        </w:rPr>
        <w:t>preliminary settlement statement</w:t>
      </w:r>
      <w:r w:rsidR="00007951">
        <w:t xml:space="preserve"> for the last </w:t>
      </w:r>
      <w:r w:rsidR="00007951" w:rsidRPr="00007951">
        <w:rPr>
          <w:i/>
        </w:rPr>
        <w:t>trading day</w:t>
      </w:r>
      <w:r w:rsidR="00007951">
        <w:t xml:space="preserve"> of the month. </w:t>
      </w:r>
      <w:r>
        <w:t xml:space="preserve">The </w:t>
      </w:r>
      <w:r>
        <w:rPr>
          <w:i/>
        </w:rPr>
        <w:t>charge type</w:t>
      </w:r>
      <w:r w:rsidR="00AA3D99">
        <w:t xml:space="preserve"> used is 143</w:t>
      </w:r>
      <w:r>
        <w:t xml:space="preserve"> </w:t>
      </w:r>
      <w:r w:rsidR="00AA3D99">
        <w:t>“</w:t>
      </w:r>
      <w:r>
        <w:t>NUG Contract Adjustment Settlement Amount</w:t>
      </w:r>
      <w:r w:rsidR="00AA3D99">
        <w:t>”.</w:t>
      </w:r>
    </w:p>
    <w:p w14:paraId="5EA3AD17" w14:textId="77777777" w:rsidR="00855CB7" w:rsidRDefault="007C1DE9">
      <w:pPr>
        <w:pStyle w:val="BodyText"/>
      </w:pPr>
      <w:r>
        <w:t>To balance the market, t</w:t>
      </w:r>
      <w:r w:rsidR="00855CB7">
        <w:t xml:space="preserve">he corresponding setoff, </w:t>
      </w:r>
      <w:r w:rsidR="00765ED6">
        <w:rPr>
          <w:i/>
        </w:rPr>
        <w:t>charge t</w:t>
      </w:r>
      <w:r w:rsidR="00855CB7">
        <w:rPr>
          <w:i/>
        </w:rPr>
        <w:t>ype</w:t>
      </w:r>
      <w:r w:rsidR="00CB152D">
        <w:t xml:space="preserve"> 193 “</w:t>
      </w:r>
      <w:r w:rsidR="00855CB7">
        <w:t>NUG Contr</w:t>
      </w:r>
      <w:r w:rsidR="00CB152D">
        <w:t>act Adjustment Balancing Amount”</w:t>
      </w:r>
      <w:r w:rsidR="00855CB7">
        <w:t xml:space="preserve">, is entered as a manual line item on </w:t>
      </w:r>
      <w:r w:rsidR="00C51A68">
        <w:t xml:space="preserve">the IESO’s </w:t>
      </w:r>
      <w:r w:rsidR="00855CB7">
        <w:rPr>
          <w:i/>
        </w:rPr>
        <w:t>preliminary</w:t>
      </w:r>
      <w:r w:rsidR="00855CB7">
        <w:t xml:space="preserve"> </w:t>
      </w:r>
      <w:r w:rsidR="00855CB7">
        <w:rPr>
          <w:i/>
        </w:rPr>
        <w:t xml:space="preserve">settlement statement </w:t>
      </w:r>
      <w:r w:rsidR="00855CB7">
        <w:t xml:space="preserve">and </w:t>
      </w:r>
      <w:r w:rsidR="00855CB7">
        <w:rPr>
          <w:i/>
        </w:rPr>
        <w:t>final settlement statement</w:t>
      </w:r>
      <w:r w:rsidR="00855CB7">
        <w:t xml:space="preserve"> for the last </w:t>
      </w:r>
      <w:r w:rsidR="00855CB7">
        <w:rPr>
          <w:i/>
        </w:rPr>
        <w:t>trading day</w:t>
      </w:r>
      <w:r w:rsidR="00855CB7">
        <w:t xml:space="preserve"> of the month</w:t>
      </w:r>
      <w:r>
        <w:t>.</w:t>
      </w:r>
    </w:p>
    <w:p w14:paraId="483446E9" w14:textId="77777777" w:rsidR="00855CB7" w:rsidRDefault="00855CB7" w:rsidP="00133618">
      <w:pPr>
        <w:pStyle w:val="Heading4"/>
      </w:pPr>
      <w:bookmarkStart w:id="426" w:name="_Toc171840508"/>
      <w:bookmarkEnd w:id="426"/>
      <w:r>
        <w:t xml:space="preserve">Clean Generation and Demand-Side Projects Settlement </w:t>
      </w:r>
    </w:p>
    <w:p w14:paraId="189146A4" w14:textId="77777777" w:rsidR="00855CB7" w:rsidRDefault="00855CB7">
      <w:pPr>
        <w:pStyle w:val="BodyText"/>
      </w:pPr>
      <w:r>
        <w:t xml:space="preserve">The </w:t>
      </w:r>
      <w:r w:rsidR="00065AD1">
        <w:t xml:space="preserve">IESO </w:t>
      </w:r>
      <w:r w:rsidR="00940018">
        <w:t xml:space="preserve">has </w:t>
      </w:r>
      <w:r>
        <w:t>enter</w:t>
      </w:r>
      <w:r w:rsidR="00940018">
        <w:t>ed</w:t>
      </w:r>
      <w:r>
        <w:t xml:space="preserve"> into procurement contracts with certain suppliers for clean </w:t>
      </w:r>
      <w:r w:rsidR="00DA3379" w:rsidRPr="00DA3379">
        <w:rPr>
          <w:i/>
        </w:rPr>
        <w:t>energy</w:t>
      </w:r>
      <w:r>
        <w:t xml:space="preserve"> supply and demand-side management or demand response, to promote the use of clean </w:t>
      </w:r>
      <w:r>
        <w:rPr>
          <w:i/>
        </w:rPr>
        <w:t>energy</w:t>
      </w:r>
      <w:r>
        <w:t xml:space="preserve"> and to assist the government in achieving its goals in electricity conservation.</w:t>
      </w:r>
    </w:p>
    <w:p w14:paraId="184FCDEF" w14:textId="77777777" w:rsidR="008035F5" w:rsidRPr="00300A90" w:rsidRDefault="00855CB7" w:rsidP="008035F5">
      <w:pPr>
        <w:pStyle w:val="BodyText"/>
        <w:rPr>
          <w:highlight w:val="yellow"/>
        </w:rPr>
      </w:pPr>
      <w:r>
        <w:t xml:space="preserve">The difference between the contracted price and the wholesale </w:t>
      </w:r>
      <w:r>
        <w:rPr>
          <w:i/>
        </w:rPr>
        <w:t>market price</w:t>
      </w:r>
      <w:r>
        <w:t xml:space="preserve">, with respect to the clean </w:t>
      </w:r>
      <w:r w:rsidRPr="00306DBE">
        <w:t>generation</w:t>
      </w:r>
      <w:r w:rsidR="00EB3A13">
        <w:t xml:space="preserve"> </w:t>
      </w:r>
      <w:r>
        <w:t>or load reduction</w:t>
      </w:r>
      <w:r w:rsidR="008035F5" w:rsidRPr="008035F5">
        <w:t xml:space="preserve"> </w:t>
      </w:r>
      <w:r w:rsidR="008035F5">
        <w:t>contracts</w:t>
      </w:r>
      <w:r>
        <w:t xml:space="preserve">, </w:t>
      </w:r>
      <w:r w:rsidR="000A762C">
        <w:t>is</w:t>
      </w:r>
      <w:r>
        <w:t xml:space="preserve"> settled by the </w:t>
      </w:r>
      <w:r w:rsidR="00065AD1">
        <w:rPr>
          <w:i/>
        </w:rPr>
        <w:t>IESO</w:t>
      </w:r>
      <w:r w:rsidRPr="008035F5">
        <w:t xml:space="preserve">.  </w:t>
      </w:r>
      <w:r w:rsidR="00C51A68">
        <w:t xml:space="preserve">It is </w:t>
      </w:r>
      <w:r w:rsidR="00725DFA">
        <w:t>include</w:t>
      </w:r>
      <w:r w:rsidR="00C51A68">
        <w:t>d</w:t>
      </w:r>
      <w:r w:rsidR="00725DFA">
        <w:t xml:space="preserve"> </w:t>
      </w:r>
      <w:r w:rsidR="008035F5" w:rsidRPr="008035F5">
        <w:t xml:space="preserve">as a manual line item on </w:t>
      </w:r>
      <w:r w:rsidR="00C51A68">
        <w:t xml:space="preserve">the IESO’s </w:t>
      </w:r>
      <w:r w:rsidRPr="008035F5">
        <w:rPr>
          <w:i/>
        </w:rPr>
        <w:t>preliminary</w:t>
      </w:r>
      <w:r>
        <w:rPr>
          <w:i/>
        </w:rPr>
        <w:t xml:space="preserve"> settlement statement</w:t>
      </w:r>
      <w:r>
        <w:t xml:space="preserve"> and </w:t>
      </w:r>
      <w:r>
        <w:rPr>
          <w:i/>
        </w:rPr>
        <w:t>final settlement statement</w:t>
      </w:r>
      <w:r>
        <w:t xml:space="preserve"> for the last </w:t>
      </w:r>
      <w:r>
        <w:rPr>
          <w:i/>
        </w:rPr>
        <w:t>trading day</w:t>
      </w:r>
      <w:r>
        <w:t xml:space="preserve"> of the month.</w:t>
      </w:r>
      <w:r w:rsidR="00361EB3" w:rsidRPr="00361EB3">
        <w:t xml:space="preserve"> </w:t>
      </w:r>
      <w:r w:rsidR="0091551D" w:rsidRPr="008035F5">
        <w:t xml:space="preserve">The </w:t>
      </w:r>
      <w:r w:rsidR="0091551D" w:rsidRPr="008035F5">
        <w:rPr>
          <w:i/>
        </w:rPr>
        <w:t>charge type</w:t>
      </w:r>
      <w:r w:rsidR="0091551D" w:rsidRPr="008035F5">
        <w:t xml:space="preserve"> is 1400 “OPA Contract Adjustment Settlement Amount”.</w:t>
      </w:r>
    </w:p>
    <w:p w14:paraId="489C00D2" w14:textId="77777777" w:rsidR="00BA1FAB" w:rsidRDefault="00855CB7" w:rsidP="008035F5">
      <w:pPr>
        <w:pStyle w:val="BodyText"/>
      </w:pPr>
      <w:r>
        <w:t xml:space="preserve">The corresponding setoff, </w:t>
      </w:r>
      <w:r w:rsidR="00765ED6">
        <w:rPr>
          <w:i/>
        </w:rPr>
        <w:t xml:space="preserve">charge </w:t>
      </w:r>
      <w:r w:rsidR="00765ED6" w:rsidRPr="0091551D">
        <w:rPr>
          <w:i/>
        </w:rPr>
        <w:t>t</w:t>
      </w:r>
      <w:r w:rsidRPr="0091551D">
        <w:rPr>
          <w:i/>
        </w:rPr>
        <w:t>ype</w:t>
      </w:r>
      <w:r w:rsidR="00CB152D" w:rsidRPr="0091551D">
        <w:t xml:space="preserve"> </w:t>
      </w:r>
      <w:r w:rsidR="0091551D" w:rsidRPr="0091551D">
        <w:t>1450 “</w:t>
      </w:r>
      <w:r w:rsidR="00DC0E09" w:rsidRPr="00DC0E09">
        <w:rPr>
          <w:i/>
        </w:rPr>
        <w:t>OPA</w:t>
      </w:r>
      <w:r w:rsidR="0091551D" w:rsidRPr="0091551D">
        <w:t xml:space="preserve"> Contract Adjustment Balancing Amount”</w:t>
      </w:r>
      <w:r w:rsidRPr="0091551D">
        <w:t>, is entered as a manual line item on the</w:t>
      </w:r>
      <w:r w:rsidRPr="0091551D">
        <w:rPr>
          <w:i/>
        </w:rPr>
        <w:t xml:space="preserve"> </w:t>
      </w:r>
      <w:r w:rsidR="00C51A68">
        <w:rPr>
          <w:i/>
        </w:rPr>
        <w:t xml:space="preserve">IESO’s </w:t>
      </w:r>
      <w:r w:rsidRPr="0091551D">
        <w:rPr>
          <w:i/>
        </w:rPr>
        <w:t>preliminary</w:t>
      </w:r>
      <w:r w:rsidRPr="0091551D">
        <w:t xml:space="preserve"> </w:t>
      </w:r>
      <w:r w:rsidRPr="0091551D">
        <w:rPr>
          <w:i/>
        </w:rPr>
        <w:t xml:space="preserve">settlement statement </w:t>
      </w:r>
      <w:r w:rsidRPr="0091551D">
        <w:t xml:space="preserve">and </w:t>
      </w:r>
      <w:r w:rsidRPr="0091551D">
        <w:rPr>
          <w:i/>
        </w:rPr>
        <w:t>final settlement</w:t>
      </w:r>
      <w:r>
        <w:rPr>
          <w:i/>
        </w:rPr>
        <w:t xml:space="preserve"> statement</w:t>
      </w:r>
      <w:r>
        <w:t xml:space="preserve"> for the last </w:t>
      </w:r>
      <w:r>
        <w:rPr>
          <w:i/>
        </w:rPr>
        <w:t>trading day</w:t>
      </w:r>
      <w:r>
        <w:t xml:space="preserve"> of the month to </w:t>
      </w:r>
      <w:r w:rsidR="00BA295D">
        <w:t>balance the market</w:t>
      </w:r>
      <w:r>
        <w:t>.</w:t>
      </w:r>
    </w:p>
    <w:p w14:paraId="23D85E91" w14:textId="77777777" w:rsidR="00855CB7" w:rsidRDefault="00855CB7" w:rsidP="00133618">
      <w:pPr>
        <w:pStyle w:val="Heading4"/>
      </w:pPr>
      <w:r>
        <w:t>Renewable Generation Settlement</w:t>
      </w:r>
    </w:p>
    <w:p w14:paraId="3EB0B831" w14:textId="77777777" w:rsidR="00855CB7" w:rsidRDefault="00855CB7">
      <w:pPr>
        <w:pStyle w:val="BodyText"/>
      </w:pPr>
      <w:r>
        <w:t xml:space="preserve">The </w:t>
      </w:r>
      <w:r w:rsidR="00065AD1">
        <w:rPr>
          <w:i/>
        </w:rPr>
        <w:t>IESO</w:t>
      </w:r>
      <w:r>
        <w:t xml:space="preserve"> </w:t>
      </w:r>
      <w:r w:rsidR="00940018">
        <w:t xml:space="preserve">has </w:t>
      </w:r>
      <w:r>
        <w:t>enter</w:t>
      </w:r>
      <w:r w:rsidR="00940018">
        <w:t>ed</w:t>
      </w:r>
      <w:r>
        <w:t xml:space="preserve"> into procurement contracts for </w:t>
      </w:r>
      <w:r w:rsidR="00725DFA">
        <w:t xml:space="preserve">renewable generation </w:t>
      </w:r>
      <w:r>
        <w:t xml:space="preserve">with certain suppliers. The difference between the contracted price and the wholesale </w:t>
      </w:r>
      <w:r>
        <w:rPr>
          <w:i/>
        </w:rPr>
        <w:t>market price</w:t>
      </w:r>
      <w:r w:rsidR="006C79A7" w:rsidRPr="006C79A7">
        <w:t>,</w:t>
      </w:r>
      <w:r>
        <w:t xml:space="preserve"> with respect to the renewable generation contracts, </w:t>
      </w:r>
      <w:r w:rsidR="00940018">
        <w:t>is</w:t>
      </w:r>
      <w:r>
        <w:t xml:space="preserve"> settled by the</w:t>
      </w:r>
      <w:r w:rsidR="00054139">
        <w:t xml:space="preserve"> </w:t>
      </w:r>
      <w:r w:rsidR="00065AD1" w:rsidRPr="00054139">
        <w:rPr>
          <w:i/>
        </w:rPr>
        <w:t>IESO</w:t>
      </w:r>
      <w:r>
        <w:t xml:space="preserve">.  </w:t>
      </w:r>
    </w:p>
    <w:p w14:paraId="1C970FA3" w14:textId="77777777" w:rsidR="00D231F5" w:rsidRDefault="00D231F5" w:rsidP="00133618">
      <w:pPr>
        <w:pStyle w:val="Heading4"/>
      </w:pPr>
      <w:r>
        <w:lastRenderedPageBreak/>
        <w:t>Renewable Generation Connection Compensation</w:t>
      </w:r>
    </w:p>
    <w:p w14:paraId="6A3F9FE7" w14:textId="77777777" w:rsidR="00D231F5" w:rsidRPr="00587C98" w:rsidRDefault="00BC35C1" w:rsidP="00D231F5">
      <w:pPr>
        <w:pStyle w:val="BodyText"/>
      </w:pPr>
      <w:r w:rsidRPr="00BC35C1">
        <w:t xml:space="preserve">Details relating to the implementation of a new cost recovery framework established by the Green Energy Act are set out in Ontario Regulation 330/09.  This new framework allows local distribution companies to recover certain costs associated with the connection of new renewable generation to their local </w:t>
      </w:r>
      <w:r w:rsidR="00DA3379" w:rsidRPr="00DA3379">
        <w:rPr>
          <w:i/>
        </w:rPr>
        <w:t>distribution system</w:t>
      </w:r>
      <w:r w:rsidRPr="00BC35C1">
        <w:t xml:space="preserve"> from all electricity </w:t>
      </w:r>
      <w:r w:rsidR="00DA3379" w:rsidRPr="00DA3379">
        <w:rPr>
          <w:i/>
        </w:rPr>
        <w:t>consumers</w:t>
      </w:r>
      <w:r w:rsidRPr="00BC35C1">
        <w:t xml:space="preserve"> in Ontario (i.e., renewable generation contracted after the </w:t>
      </w:r>
      <w:r w:rsidRPr="00BC35C1">
        <w:rPr>
          <w:i/>
        </w:rPr>
        <w:t>OEB</w:t>
      </w:r>
      <w:r w:rsidRPr="00BC35C1">
        <w:t xml:space="preserve"> issued its revised cost responsibility rules on October 21, 2009).  These costs are approved by the </w:t>
      </w:r>
      <w:r w:rsidRPr="00BC35C1">
        <w:rPr>
          <w:i/>
        </w:rPr>
        <w:t>OEB</w:t>
      </w:r>
      <w:r w:rsidRPr="00BC35C1">
        <w:t>.</w:t>
      </w:r>
    </w:p>
    <w:p w14:paraId="25E649E5" w14:textId="77777777" w:rsidR="00470B3C" w:rsidRPr="00587C98" w:rsidRDefault="00BC35C1" w:rsidP="00D231F5">
      <w:pPr>
        <w:pStyle w:val="BodyText"/>
        <w:ind w:left="45"/>
      </w:pPr>
      <w:r w:rsidRPr="00BC35C1">
        <w:rPr>
          <w:rStyle w:val="CommentReference"/>
          <w:sz w:val="22"/>
        </w:rPr>
        <w:t xml:space="preserve">The portion of aggregate renewable generation connection compensation that you are charged is determined by your net volume of electricity withdrawn (AQEW) from the </w:t>
      </w:r>
      <w:r w:rsidRPr="00BC35C1">
        <w:rPr>
          <w:rStyle w:val="CommentReference"/>
          <w:i/>
          <w:sz w:val="22"/>
        </w:rPr>
        <w:t>IESO-controlled</w:t>
      </w:r>
      <w:r w:rsidRPr="00BC35C1">
        <w:rPr>
          <w:rStyle w:val="CommentReference"/>
          <w:sz w:val="22"/>
        </w:rPr>
        <w:t xml:space="preserve"> </w:t>
      </w:r>
      <w:r w:rsidRPr="00BC35C1">
        <w:rPr>
          <w:rStyle w:val="CommentReference"/>
          <w:i/>
          <w:sz w:val="22"/>
        </w:rPr>
        <w:t>grid</w:t>
      </w:r>
      <w:r w:rsidRPr="00BC35C1">
        <w:rPr>
          <w:rStyle w:val="CommentReference"/>
          <w:sz w:val="22"/>
        </w:rPr>
        <w:t xml:space="preserve"> during the month, plus, if you are a licensed </w:t>
      </w:r>
      <w:r w:rsidRPr="00BC35C1">
        <w:rPr>
          <w:rStyle w:val="CommentReference"/>
          <w:i/>
          <w:sz w:val="22"/>
        </w:rPr>
        <w:t>distributor</w:t>
      </w:r>
      <w:r w:rsidRPr="00BC35C1">
        <w:rPr>
          <w:rStyle w:val="CommentReference"/>
          <w:sz w:val="22"/>
        </w:rPr>
        <w:t xml:space="preserve">, the </w:t>
      </w:r>
      <w:r w:rsidRPr="00BC35C1">
        <w:t xml:space="preserve">volume of embedded generation you are reporting using </w:t>
      </w:r>
      <w:r w:rsidR="005351D8">
        <w:t xml:space="preserve">the </w:t>
      </w:r>
      <w:r w:rsidR="00972031" w:rsidRPr="00972031">
        <w:t xml:space="preserve">settlement form </w:t>
      </w:r>
      <w:r w:rsidR="00972031">
        <w:t xml:space="preserve">available within </w:t>
      </w:r>
      <w:r w:rsidR="00972031" w:rsidRPr="00972031">
        <w:t>Online IESO</w:t>
      </w:r>
      <w:r w:rsidRPr="00BC35C1">
        <w:t xml:space="preserve">, divided by the sum of all amounts (net electricity withdrawn and embedded generation) for every </w:t>
      </w:r>
      <w:r w:rsidRPr="00BC35C1">
        <w:rPr>
          <w:i/>
        </w:rPr>
        <w:t>market participant</w:t>
      </w:r>
      <w:r w:rsidRPr="00BC35C1">
        <w:t>.  (The volume of electricity supplied to Fort Frances Power Corporation Distribution Inc. by Abitibi-Consolidated Inc. is excluded from the calculation).</w:t>
      </w:r>
    </w:p>
    <w:p w14:paraId="0EAD9C07" w14:textId="77777777" w:rsidR="00470B3C" w:rsidRPr="00587C98" w:rsidRDefault="00BC35C1" w:rsidP="00D231F5">
      <w:pPr>
        <w:pStyle w:val="BodyText"/>
        <w:ind w:left="45"/>
      </w:pPr>
      <w:r w:rsidRPr="00BC35C1">
        <w:t xml:space="preserve">The portion of aggregate renewable generation connection compensation that each eligible </w:t>
      </w:r>
      <w:r w:rsidR="00DA3379" w:rsidRPr="00DA3379">
        <w:rPr>
          <w:i/>
        </w:rPr>
        <w:t xml:space="preserve">distributor </w:t>
      </w:r>
      <w:r w:rsidRPr="00BC35C1">
        <w:t xml:space="preserve">receives is determined by the </w:t>
      </w:r>
      <w:r w:rsidRPr="00BC35C1">
        <w:rPr>
          <w:i/>
        </w:rPr>
        <w:t>OEB</w:t>
      </w:r>
      <w:r w:rsidRPr="00BC35C1">
        <w:t>.</w:t>
      </w:r>
    </w:p>
    <w:p w14:paraId="3547771C" w14:textId="77777777" w:rsidR="00D231F5" w:rsidRPr="00587C98" w:rsidRDefault="00BC35C1" w:rsidP="00D231F5">
      <w:pPr>
        <w:pStyle w:val="BodyText"/>
      </w:pPr>
      <w:r w:rsidRPr="00BC35C1">
        <w:rPr>
          <w:i/>
        </w:rPr>
        <w:t>Charge type</w:t>
      </w:r>
      <w:r w:rsidRPr="00BC35C1">
        <w:t xml:space="preserve"> 1413 “Renewable Generation Connection - Monthly Compensation Settlement Credit” will appear on the </w:t>
      </w:r>
      <w:r w:rsidRPr="00BC35C1">
        <w:rPr>
          <w:i/>
        </w:rPr>
        <w:t>preliminary</w:t>
      </w:r>
      <w:r w:rsidRPr="00BC35C1">
        <w:t xml:space="preserve"> </w:t>
      </w:r>
      <w:r w:rsidRPr="00BC35C1">
        <w:rPr>
          <w:i/>
        </w:rPr>
        <w:t xml:space="preserve">settlement statement </w:t>
      </w:r>
      <w:r w:rsidRPr="00BC35C1">
        <w:t xml:space="preserve">and </w:t>
      </w:r>
      <w:r w:rsidRPr="00BC35C1">
        <w:rPr>
          <w:i/>
        </w:rPr>
        <w:t>final settlement statement</w:t>
      </w:r>
      <w:r w:rsidRPr="00BC35C1">
        <w:t xml:space="preserve"> of each eligible local distribution company for the last </w:t>
      </w:r>
      <w:r w:rsidRPr="00BC35C1">
        <w:rPr>
          <w:i/>
        </w:rPr>
        <w:t>trading day</w:t>
      </w:r>
      <w:r w:rsidRPr="00BC35C1">
        <w:t xml:space="preserve"> of the month.</w:t>
      </w:r>
    </w:p>
    <w:p w14:paraId="11B13A5A" w14:textId="77777777" w:rsidR="00D231F5" w:rsidRDefault="00BC35C1" w:rsidP="00D231F5">
      <w:pPr>
        <w:pStyle w:val="BodyText"/>
      </w:pPr>
      <w:r w:rsidRPr="00BC35C1">
        <w:t xml:space="preserve">The corresponding debit, </w:t>
      </w:r>
      <w:r w:rsidRPr="00BC35C1">
        <w:rPr>
          <w:i/>
        </w:rPr>
        <w:t>charge type</w:t>
      </w:r>
      <w:r w:rsidRPr="00BC35C1">
        <w:t xml:space="preserve"> 1463 “Renewable Generation Connection - Monthly Compensation Settlement Debit”, is included on the </w:t>
      </w:r>
      <w:r w:rsidRPr="00BC35C1">
        <w:rPr>
          <w:i/>
        </w:rPr>
        <w:t>preliminary</w:t>
      </w:r>
      <w:r w:rsidRPr="00BC35C1">
        <w:t xml:space="preserve"> </w:t>
      </w:r>
      <w:r w:rsidRPr="00BC35C1">
        <w:rPr>
          <w:i/>
        </w:rPr>
        <w:t xml:space="preserve">settlement statement </w:t>
      </w:r>
      <w:r w:rsidRPr="00BC35C1">
        <w:t xml:space="preserve">and </w:t>
      </w:r>
      <w:r w:rsidRPr="00BC35C1">
        <w:rPr>
          <w:i/>
        </w:rPr>
        <w:t>final settlement statement</w:t>
      </w:r>
      <w:r w:rsidRPr="00BC35C1">
        <w:t xml:space="preserve"> of all load customers for the last </w:t>
      </w:r>
      <w:r w:rsidRPr="00BC35C1">
        <w:rPr>
          <w:i/>
        </w:rPr>
        <w:t>trading day</w:t>
      </w:r>
      <w:r w:rsidRPr="00BC35C1">
        <w:t xml:space="preserve"> of the month to balance the compensation credit.</w:t>
      </w:r>
    </w:p>
    <w:p w14:paraId="5718459E" w14:textId="77777777" w:rsidR="002277BD" w:rsidRDefault="002277BD" w:rsidP="00133618">
      <w:pPr>
        <w:pStyle w:val="Heading4"/>
      </w:pPr>
      <w:r>
        <w:t>Conservation and Demand Management Programs</w:t>
      </w:r>
    </w:p>
    <w:p w14:paraId="59339DB5" w14:textId="77777777" w:rsidR="004D4AD7" w:rsidRDefault="002277BD">
      <w:r w:rsidRPr="008679CB">
        <w:t xml:space="preserve">Under section 78.5 of the </w:t>
      </w:r>
      <w:r w:rsidRPr="008679CB">
        <w:rPr>
          <w:i/>
          <w:iCs/>
        </w:rPr>
        <w:t>Ontario Energy Board Act, 1998</w:t>
      </w:r>
      <w:r w:rsidRPr="008679CB">
        <w:t xml:space="preserve">, the </w:t>
      </w:r>
      <w:r w:rsidRPr="008679CB">
        <w:rPr>
          <w:i/>
        </w:rPr>
        <w:t>IESO</w:t>
      </w:r>
      <w:r w:rsidRPr="008679CB">
        <w:t xml:space="preserve"> must make payments to a </w:t>
      </w:r>
      <w:r w:rsidRPr="008679CB">
        <w:rPr>
          <w:i/>
        </w:rPr>
        <w:t>distributor</w:t>
      </w:r>
      <w:r w:rsidRPr="008679CB">
        <w:t xml:space="preserve"> (</w:t>
      </w:r>
      <w:r w:rsidR="00C63DD8">
        <w:t xml:space="preserve">or </w:t>
      </w:r>
      <w:r w:rsidR="00B2717F">
        <w:t xml:space="preserve">LDC) </w:t>
      </w:r>
      <w:r w:rsidRPr="008679CB">
        <w:t xml:space="preserve">for amounts approved by the </w:t>
      </w:r>
      <w:r w:rsidRPr="008679CB">
        <w:rPr>
          <w:i/>
        </w:rPr>
        <w:t>OEB</w:t>
      </w:r>
      <w:r w:rsidRPr="008679CB">
        <w:t xml:space="preserve"> relating to conservation and demand management (CDM).  Specifically, these payments relate to the recovery of costs for Board-approved CDM initiatives that are undertaken by LDCs to meet the CDM targets set out in their </w:t>
      </w:r>
      <w:r w:rsidR="000E268A" w:rsidRPr="008679CB">
        <w:t>licenses</w:t>
      </w:r>
      <w:r w:rsidRPr="008679CB">
        <w:t xml:space="preserve">, and to associated performance incentives.  The </w:t>
      </w:r>
      <w:r w:rsidRPr="008679CB">
        <w:rPr>
          <w:i/>
        </w:rPr>
        <w:t>IESO</w:t>
      </w:r>
      <w:r w:rsidRPr="008679CB">
        <w:t xml:space="preserve"> will make these payments, as directed by the </w:t>
      </w:r>
      <w:r w:rsidRPr="008679CB">
        <w:rPr>
          <w:i/>
        </w:rPr>
        <w:t>OEB</w:t>
      </w:r>
      <w:r w:rsidRPr="008679CB">
        <w:t xml:space="preserve">, through </w:t>
      </w:r>
      <w:r w:rsidRPr="008679CB">
        <w:rPr>
          <w:i/>
        </w:rPr>
        <w:t>charge type</w:t>
      </w:r>
      <w:r w:rsidRPr="008679CB">
        <w:t xml:space="preserve"> 1416 “Conservation and Demand Management – Compensation Settlement Credit”.  These payments will be recovered through the Global Adjustment.</w:t>
      </w:r>
    </w:p>
    <w:p w14:paraId="2C360465" w14:textId="77777777" w:rsidR="00CA25FD" w:rsidRDefault="00CA25FD">
      <w:pPr>
        <w:rPr>
          <w:i/>
          <w:sz w:val="2"/>
          <w:szCs w:val="2"/>
        </w:rPr>
      </w:pPr>
    </w:p>
    <w:p w14:paraId="2F534FCA" w14:textId="77777777" w:rsidR="00A34282" w:rsidRDefault="00161C7C">
      <w:r w:rsidRPr="00161C7C">
        <w:rPr>
          <w:i/>
        </w:rPr>
        <w:t>Charge type</w:t>
      </w:r>
      <w:r w:rsidR="002277BD" w:rsidRPr="008679CB">
        <w:t xml:space="preserve"> 1416 “Conservation and Demand Management – Compensation Settlement Credit” will appear on the </w:t>
      </w:r>
      <w:r w:rsidR="002277BD" w:rsidRPr="008679CB">
        <w:rPr>
          <w:i/>
        </w:rPr>
        <w:t>preliminary settlement statement</w:t>
      </w:r>
      <w:r w:rsidR="002277BD" w:rsidRPr="008679CB">
        <w:t xml:space="preserve"> and</w:t>
      </w:r>
      <w:r w:rsidR="002277BD">
        <w:t xml:space="preserve"> </w:t>
      </w:r>
      <w:r w:rsidR="002277BD" w:rsidRPr="008679CB">
        <w:rPr>
          <w:i/>
        </w:rPr>
        <w:t>final settlement statement</w:t>
      </w:r>
      <w:r w:rsidR="002277BD" w:rsidRPr="008679CB">
        <w:t xml:space="preserve"> of each eligible LDC for the last </w:t>
      </w:r>
      <w:r w:rsidR="002277BD" w:rsidRPr="00CA6372">
        <w:rPr>
          <w:i/>
        </w:rPr>
        <w:t>trading day</w:t>
      </w:r>
      <w:r w:rsidR="002277BD" w:rsidRPr="008679CB">
        <w:t xml:space="preserve"> of the month.</w:t>
      </w:r>
    </w:p>
    <w:p w14:paraId="2A28BB98" w14:textId="77777777" w:rsidR="00855CB7" w:rsidRDefault="00855CB7" w:rsidP="00133618">
      <w:pPr>
        <w:pStyle w:val="Heading4"/>
      </w:pPr>
      <w:r>
        <w:t>Regulated Price Plan</w:t>
      </w:r>
    </w:p>
    <w:p w14:paraId="77B18D6F" w14:textId="77777777" w:rsidR="000E2E7D" w:rsidRDefault="00855CB7">
      <w:pPr>
        <w:pStyle w:val="BodyText"/>
      </w:pPr>
      <w:r>
        <w:t xml:space="preserve">The </w:t>
      </w:r>
      <w:r w:rsidR="00B955F8">
        <w:t xml:space="preserve">Regulated Price Plan is an </w:t>
      </w:r>
      <w:r w:rsidR="00B955F8">
        <w:rPr>
          <w:i/>
        </w:rPr>
        <w:t>OEB-</w:t>
      </w:r>
      <w:r w:rsidR="00B955F8">
        <w:t xml:space="preserve">mandated </w:t>
      </w:r>
      <w:r>
        <w:t xml:space="preserve">pricing </w:t>
      </w:r>
      <w:r w:rsidR="00ED06CA">
        <w:t>mechanism</w:t>
      </w:r>
      <w:r w:rsidR="00B955F8">
        <w:t xml:space="preserve"> </w:t>
      </w:r>
      <w:r>
        <w:t xml:space="preserve">for low-volume and designated </w:t>
      </w:r>
      <w:r w:rsidR="00DA3379" w:rsidRPr="00DA3379">
        <w:rPr>
          <w:i/>
        </w:rPr>
        <w:t>consumers</w:t>
      </w:r>
      <w:r w:rsidR="00B955F8" w:rsidRPr="00323413">
        <w:t>.</w:t>
      </w:r>
      <w:r>
        <w:t xml:space="preserve"> </w:t>
      </w:r>
      <w:r w:rsidR="00B955F8">
        <w:t xml:space="preserve"> </w:t>
      </w:r>
      <w:r w:rsidR="000E2470">
        <w:t xml:space="preserve">There are two distinct Regulated Price Plans – one for customers with conventional </w:t>
      </w:r>
      <w:r w:rsidR="00DA3379" w:rsidRPr="00DA3379">
        <w:rPr>
          <w:i/>
        </w:rPr>
        <w:t>meter</w:t>
      </w:r>
      <w:r w:rsidR="000E2470">
        <w:t xml:space="preserve"> systems and another for customers with </w:t>
      </w:r>
      <w:r w:rsidR="00424226">
        <w:t>time-of-use (or “</w:t>
      </w:r>
      <w:r w:rsidR="000E2470">
        <w:t>smart</w:t>
      </w:r>
      <w:r w:rsidR="00424226">
        <w:t>”)</w:t>
      </w:r>
      <w:r w:rsidR="000E2470">
        <w:t xml:space="preserve"> </w:t>
      </w:r>
      <w:r w:rsidR="000E2470" w:rsidRPr="00C353C6">
        <w:rPr>
          <w:i/>
        </w:rPr>
        <w:t>meters</w:t>
      </w:r>
      <w:r w:rsidR="000E2470">
        <w:t>.</w:t>
      </w:r>
    </w:p>
    <w:p w14:paraId="718BC5A5" w14:textId="77777777" w:rsidR="0048205C" w:rsidRDefault="000E2E7D">
      <w:pPr>
        <w:pStyle w:val="BodyText"/>
      </w:pPr>
      <w:r>
        <w:t>The conve</w:t>
      </w:r>
      <w:r w:rsidR="000E2470">
        <w:t xml:space="preserve">ntional </w:t>
      </w:r>
      <w:r w:rsidR="00DA3379" w:rsidRPr="00DA3379">
        <w:rPr>
          <w:i/>
        </w:rPr>
        <w:t xml:space="preserve">meter </w:t>
      </w:r>
      <w:r w:rsidR="000E2470">
        <w:t xml:space="preserve">plan </w:t>
      </w:r>
      <w:r w:rsidR="00725DFA">
        <w:t xml:space="preserve">sets </w:t>
      </w:r>
      <w:r w:rsidR="000E2470">
        <w:t xml:space="preserve">a </w:t>
      </w:r>
      <w:r>
        <w:t xml:space="preserve">lower </w:t>
      </w:r>
      <w:r w:rsidR="000E2470">
        <w:t xml:space="preserve">fixed </w:t>
      </w:r>
      <w:r w:rsidR="0048205C">
        <w:t>price</w:t>
      </w:r>
      <w:r w:rsidR="000E2470">
        <w:t xml:space="preserve"> for </w:t>
      </w:r>
      <w:r w:rsidR="00C2447D" w:rsidRPr="00C2447D">
        <w:rPr>
          <w:i/>
        </w:rPr>
        <w:t>energy</w:t>
      </w:r>
      <w:r w:rsidR="000E2470">
        <w:t xml:space="preserve"> consumption up to a monthly threshold amount</w:t>
      </w:r>
      <w:r w:rsidR="00725DFA">
        <w:t>,</w:t>
      </w:r>
      <w:r w:rsidR="000E2470">
        <w:t xml:space="preserve"> with consumption above this level</w:t>
      </w:r>
      <w:r w:rsidRPr="000E2E7D">
        <w:t xml:space="preserve"> </w:t>
      </w:r>
      <w:r>
        <w:t>at a higher price</w:t>
      </w:r>
      <w:r w:rsidR="000E2470">
        <w:t xml:space="preserve">. </w:t>
      </w:r>
      <w:r w:rsidR="001841AF">
        <w:t xml:space="preserve"> </w:t>
      </w:r>
      <w:r w:rsidR="0048205C">
        <w:t xml:space="preserve">The </w:t>
      </w:r>
      <w:r w:rsidR="0048205C" w:rsidRPr="00801CFE">
        <w:rPr>
          <w:i/>
        </w:rPr>
        <w:t xml:space="preserve">OEB </w:t>
      </w:r>
      <w:r w:rsidR="0048205C">
        <w:t>adjust</w:t>
      </w:r>
      <w:r w:rsidR="00743853">
        <w:t>s</w:t>
      </w:r>
      <w:r w:rsidR="0048205C">
        <w:t xml:space="preserve"> both the threshold </w:t>
      </w:r>
      <w:r w:rsidR="00801CFE">
        <w:t xml:space="preserve">amount </w:t>
      </w:r>
      <w:r w:rsidR="0048205C">
        <w:t>and price</w:t>
      </w:r>
      <w:r w:rsidR="00743853">
        <w:t>s</w:t>
      </w:r>
      <w:r w:rsidR="0048205C">
        <w:t xml:space="preserve"> every six months.</w:t>
      </w:r>
      <w:r w:rsidR="00CD52AB">
        <w:t xml:space="preserve">  The two six</w:t>
      </w:r>
      <w:r w:rsidR="00801CFE">
        <w:t>-</w:t>
      </w:r>
      <w:r w:rsidR="00CD52AB">
        <w:t xml:space="preserve">month periods are </w:t>
      </w:r>
      <w:r w:rsidR="00801CFE">
        <w:t xml:space="preserve">referred to as </w:t>
      </w:r>
      <w:r w:rsidR="00424226">
        <w:t xml:space="preserve">the </w:t>
      </w:r>
      <w:r w:rsidR="00725DFA">
        <w:t xml:space="preserve">winter </w:t>
      </w:r>
      <w:r w:rsidR="00424226">
        <w:t xml:space="preserve">season </w:t>
      </w:r>
      <w:r w:rsidR="00CD52AB">
        <w:t xml:space="preserve">(November 1 – April 30) and </w:t>
      </w:r>
      <w:r w:rsidR="00424226">
        <w:t xml:space="preserve">the </w:t>
      </w:r>
      <w:r w:rsidR="00725DFA">
        <w:t xml:space="preserve">summer </w:t>
      </w:r>
      <w:r w:rsidR="00424226">
        <w:t xml:space="preserve">season </w:t>
      </w:r>
      <w:r w:rsidR="00CD52AB">
        <w:t>(May 1 – October 31).</w:t>
      </w:r>
    </w:p>
    <w:p w14:paraId="1A2A418E" w14:textId="77777777" w:rsidR="00E6372F" w:rsidRDefault="000E2470" w:rsidP="001635E8">
      <w:pPr>
        <w:pStyle w:val="BodyText"/>
        <w:keepNext/>
        <w:pageBreakBefore/>
      </w:pPr>
      <w:r>
        <w:lastRenderedPageBreak/>
        <w:t xml:space="preserve">The smart </w:t>
      </w:r>
      <w:r w:rsidR="00DA3379" w:rsidRPr="00DA3379">
        <w:rPr>
          <w:i/>
        </w:rPr>
        <w:t>meter</w:t>
      </w:r>
      <w:r>
        <w:t xml:space="preserve"> plan establishes prices for </w:t>
      </w:r>
      <w:r w:rsidRPr="00801CFE">
        <w:rPr>
          <w:i/>
        </w:rPr>
        <w:t>energy</w:t>
      </w:r>
      <w:r>
        <w:t xml:space="preserve"> based on when the </w:t>
      </w:r>
      <w:r w:rsidRPr="00801CFE">
        <w:rPr>
          <w:i/>
        </w:rPr>
        <w:t>energy</w:t>
      </w:r>
      <w:r>
        <w:t xml:space="preserve"> is consumed.  </w:t>
      </w:r>
      <w:r w:rsidR="001572CB">
        <w:t xml:space="preserve">The basic unit is a </w:t>
      </w:r>
      <w:r w:rsidR="00300A90">
        <w:t>week</w:t>
      </w:r>
      <w:r w:rsidR="001572CB">
        <w:t xml:space="preserve">. </w:t>
      </w:r>
      <w:r w:rsidR="001841AF">
        <w:t xml:space="preserve"> </w:t>
      </w:r>
      <w:r w:rsidR="00893166">
        <w:t xml:space="preserve">As with the conventional </w:t>
      </w:r>
      <w:r w:rsidR="00DA3379" w:rsidRPr="00DA3379">
        <w:rPr>
          <w:i/>
        </w:rPr>
        <w:t>meter</w:t>
      </w:r>
      <w:r w:rsidR="00893166">
        <w:t xml:space="preserve"> RPP, the</w:t>
      </w:r>
      <w:r w:rsidR="00893166" w:rsidRPr="00893166">
        <w:t xml:space="preserve"> </w:t>
      </w:r>
      <w:r w:rsidR="00893166" w:rsidRPr="007136F0">
        <w:rPr>
          <w:i/>
        </w:rPr>
        <w:t>OEB</w:t>
      </w:r>
      <w:r w:rsidR="00893166">
        <w:t xml:space="preserve"> adjusts prices every six months to coincide with the </w:t>
      </w:r>
      <w:r w:rsidR="00725DFA">
        <w:t xml:space="preserve">winter </w:t>
      </w:r>
      <w:r w:rsidR="00893166">
        <w:t xml:space="preserve">and </w:t>
      </w:r>
      <w:r w:rsidR="00725DFA">
        <w:t xml:space="preserve">summer </w:t>
      </w:r>
      <w:r w:rsidR="00893166">
        <w:t xml:space="preserve">seasons.  </w:t>
      </w:r>
      <w:r w:rsidR="00DA3379" w:rsidRPr="00DA3379">
        <w:rPr>
          <w:i/>
        </w:rPr>
        <w:t>Energy</w:t>
      </w:r>
      <w:r w:rsidR="001572CB">
        <w:t xml:space="preserve"> consumption during a week</w:t>
      </w:r>
      <w:r w:rsidR="00300A90">
        <w:t xml:space="preserve"> </w:t>
      </w:r>
      <w:r w:rsidR="001572CB">
        <w:t>falls</w:t>
      </w:r>
      <w:r w:rsidR="00300A90">
        <w:t xml:space="preserve"> into three categories</w:t>
      </w:r>
      <w:r w:rsidR="000E2E7D">
        <w:t xml:space="preserve"> with respect to </w:t>
      </w:r>
      <w:r w:rsidR="001572CB">
        <w:t xml:space="preserve">both </w:t>
      </w:r>
      <w:r w:rsidR="0048205C">
        <w:t xml:space="preserve">prices and </w:t>
      </w:r>
      <w:r w:rsidR="000E2E7D">
        <w:t>consumption</w:t>
      </w:r>
      <w:r w:rsidR="0048205C">
        <w:t xml:space="preserve"> times.</w:t>
      </w:r>
    </w:p>
    <w:p w14:paraId="6221ACBD" w14:textId="77777777" w:rsidR="00801CFE" w:rsidRDefault="0048205C">
      <w:pPr>
        <w:pStyle w:val="BodyText"/>
      </w:pPr>
      <w:r>
        <w:t>The three categories</w:t>
      </w:r>
      <w:r w:rsidR="00300A90">
        <w:t xml:space="preserve"> are</w:t>
      </w:r>
      <w:r w:rsidR="00801CFE">
        <w:t>:</w:t>
      </w:r>
    </w:p>
    <w:p w14:paraId="40ECCBCA" w14:textId="77777777" w:rsidR="00801CFE" w:rsidRDefault="00B658A8" w:rsidP="00E66AB1">
      <w:pPr>
        <w:pStyle w:val="Bullet"/>
        <w:tabs>
          <w:tab w:val="clear" w:pos="720"/>
          <w:tab w:val="num" w:pos="1440"/>
        </w:tabs>
        <w:ind w:left="1530"/>
      </w:pPr>
      <w:r>
        <w:t>On</w:t>
      </w:r>
      <w:r w:rsidR="0084406E">
        <w:t>-</w:t>
      </w:r>
      <w:r w:rsidR="00300A90">
        <w:t>peak</w:t>
      </w:r>
      <w:r w:rsidR="007169D9">
        <w:t>;</w:t>
      </w:r>
    </w:p>
    <w:p w14:paraId="5752EB42" w14:textId="77777777" w:rsidR="00801CFE" w:rsidRDefault="00B658A8" w:rsidP="00E66AB1">
      <w:pPr>
        <w:pStyle w:val="Bullet"/>
        <w:tabs>
          <w:tab w:val="clear" w:pos="720"/>
          <w:tab w:val="num" w:pos="1440"/>
        </w:tabs>
        <w:ind w:left="1530"/>
      </w:pPr>
      <w:r>
        <w:t>Mid</w:t>
      </w:r>
      <w:r w:rsidR="0084406E">
        <w:t>-</w:t>
      </w:r>
      <w:r w:rsidR="0048205C">
        <w:t>peak</w:t>
      </w:r>
      <w:r w:rsidR="007169D9">
        <w:t>; and</w:t>
      </w:r>
    </w:p>
    <w:p w14:paraId="23182BE1" w14:textId="77777777" w:rsidR="00801CFE" w:rsidRDefault="00B658A8" w:rsidP="00E66AB1">
      <w:pPr>
        <w:pStyle w:val="Bullet"/>
        <w:tabs>
          <w:tab w:val="clear" w:pos="720"/>
          <w:tab w:val="num" w:pos="1440"/>
        </w:tabs>
        <w:ind w:left="1530"/>
      </w:pPr>
      <w:r>
        <w:t>Off</w:t>
      </w:r>
      <w:r w:rsidR="0084406E">
        <w:t>-</w:t>
      </w:r>
      <w:r w:rsidR="0048205C">
        <w:t>peak</w:t>
      </w:r>
      <w:r w:rsidR="007169D9">
        <w:t>.</w:t>
      </w:r>
    </w:p>
    <w:p w14:paraId="7158159A" w14:textId="77777777" w:rsidR="00274BEB" w:rsidRDefault="00CC7D1B">
      <w:pPr>
        <w:pStyle w:val="Bibliographytext"/>
        <w:spacing w:before="120"/>
      </w:pPr>
      <w:r>
        <w:t xml:space="preserve">On-peak times reflect those times on weekdays when average </w:t>
      </w:r>
      <w:r w:rsidRPr="007A6FC9">
        <w:rPr>
          <w:i/>
        </w:rPr>
        <w:t>demand</w:t>
      </w:r>
      <w:r>
        <w:t xml:space="preserve"> is highest. </w:t>
      </w:r>
      <w:r w:rsidRPr="00CC7D1B">
        <w:t xml:space="preserve"> </w:t>
      </w:r>
      <w:r w:rsidR="009C616D">
        <w:t>T</w:t>
      </w:r>
      <w:r>
        <w:t>he on-peak</w:t>
      </w:r>
      <w:r w:rsidR="00BD3770">
        <w:t xml:space="preserve"> periods are weekdays from 7:00 to 11:00</w:t>
      </w:r>
      <w:r>
        <w:t xml:space="preserve"> and from </w:t>
      </w:r>
      <w:r w:rsidR="00BD3770">
        <w:t>17:00</w:t>
      </w:r>
      <w:r>
        <w:t xml:space="preserve"> to </w:t>
      </w:r>
      <w:r w:rsidR="009C616D">
        <w:t>21</w:t>
      </w:r>
      <w:r w:rsidR="00BD3770">
        <w:t xml:space="preserve">:00 in the </w:t>
      </w:r>
      <w:r w:rsidR="00725DFA">
        <w:t xml:space="preserve">winter </w:t>
      </w:r>
      <w:r w:rsidR="00BD3770">
        <w:t xml:space="preserve">and </w:t>
      </w:r>
      <w:r w:rsidR="00725DFA">
        <w:t xml:space="preserve">from </w:t>
      </w:r>
      <w:r w:rsidR="00BD3770">
        <w:t xml:space="preserve">11:00 </w:t>
      </w:r>
      <w:r>
        <w:t xml:space="preserve">to </w:t>
      </w:r>
      <w:r w:rsidR="00BD3770">
        <w:t>17:00</w:t>
      </w:r>
      <w:r>
        <w:t xml:space="preserve">. in the </w:t>
      </w:r>
      <w:r w:rsidR="00725DFA">
        <w:t>summer</w:t>
      </w:r>
      <w:r>
        <w:t>.</w:t>
      </w:r>
    </w:p>
    <w:p w14:paraId="5B419DFE" w14:textId="77777777" w:rsidR="00CC7D1B" w:rsidRDefault="00CC7D1B" w:rsidP="00CC7D1B">
      <w:pPr>
        <w:pStyle w:val="Bibliographytext"/>
      </w:pPr>
      <w:r>
        <w:t>Mid-peak consumption refers to the shoulder periods between on-peak and off-peak times.  The mid-peak p</w:t>
      </w:r>
      <w:r w:rsidR="00BD3770">
        <w:t>eriods are weekdays from 11:00</w:t>
      </w:r>
      <w:r>
        <w:t xml:space="preserve"> to </w:t>
      </w:r>
      <w:r w:rsidR="00BD3770">
        <w:t>17:00</w:t>
      </w:r>
      <w:r>
        <w:t xml:space="preserve"> in</w:t>
      </w:r>
      <w:r w:rsidR="00BD3770">
        <w:t xml:space="preserve"> the </w:t>
      </w:r>
      <w:r w:rsidR="00725DFA">
        <w:t xml:space="preserve">winter </w:t>
      </w:r>
      <w:r w:rsidR="00BD3770">
        <w:t xml:space="preserve">and weekdays from 7:00 to 11:00 </w:t>
      </w:r>
      <w:r>
        <w:t xml:space="preserve">and from </w:t>
      </w:r>
      <w:r w:rsidR="00BD3770">
        <w:t>17:00</w:t>
      </w:r>
      <w:r>
        <w:t xml:space="preserve"> to </w:t>
      </w:r>
      <w:r w:rsidR="009C616D">
        <w:t>21</w:t>
      </w:r>
      <w:r w:rsidR="00BD3770">
        <w:t>:00</w:t>
      </w:r>
      <w:r>
        <w:t xml:space="preserve"> in the </w:t>
      </w:r>
      <w:r w:rsidR="00725DFA">
        <w:t>summer</w:t>
      </w:r>
      <w:r>
        <w:t>. All other times</w:t>
      </w:r>
      <w:r w:rsidR="00BD3770">
        <w:t xml:space="preserve"> (weekdays from </w:t>
      </w:r>
      <w:r w:rsidR="009C616D">
        <w:t>21</w:t>
      </w:r>
      <w:r w:rsidR="00BD3770">
        <w:t>:00</w:t>
      </w:r>
      <w:r>
        <w:t xml:space="preserve"> to 7</w:t>
      </w:r>
      <w:r w:rsidR="00BD3770">
        <w:t>:00</w:t>
      </w:r>
      <w:r>
        <w:t xml:space="preserve">, on weekends and holidays) are off </w:t>
      </w:r>
      <w:r w:rsidR="00725DFA">
        <w:t>-</w:t>
      </w:r>
      <w:r>
        <w:t>peak.</w:t>
      </w:r>
    </w:p>
    <w:p w14:paraId="7F570C96" w14:textId="77777777" w:rsidR="009F1E59" w:rsidRDefault="00300A90" w:rsidP="00CC7D1B">
      <w:pPr>
        <w:pStyle w:val="Bibliographytext"/>
      </w:pPr>
      <w:r>
        <w:t>Generally</w:t>
      </w:r>
      <w:r w:rsidR="00743853">
        <w:t>,</w:t>
      </w:r>
      <w:r>
        <w:t xml:space="preserve"> off</w:t>
      </w:r>
      <w:r w:rsidR="0084406E">
        <w:t>-</w:t>
      </w:r>
      <w:r>
        <w:t xml:space="preserve">peak times </w:t>
      </w:r>
      <w:r w:rsidR="000E2E7D">
        <w:t xml:space="preserve">refer to consumption </w:t>
      </w:r>
      <w:r>
        <w:t>ov</w:t>
      </w:r>
      <w:r w:rsidR="000E2E7D">
        <w:t>ernight</w:t>
      </w:r>
      <w:r w:rsidR="00893166">
        <w:t xml:space="preserve"> on weekdays</w:t>
      </w:r>
      <w:r w:rsidR="000E2E7D">
        <w:t xml:space="preserve">, </w:t>
      </w:r>
      <w:r w:rsidR="00725DFA">
        <w:t xml:space="preserve">and </w:t>
      </w:r>
      <w:r w:rsidR="00743853">
        <w:t xml:space="preserve">on </w:t>
      </w:r>
      <w:r>
        <w:t>weekends</w:t>
      </w:r>
      <w:r w:rsidR="000E2E7D">
        <w:t xml:space="preserve"> and holidays</w:t>
      </w:r>
      <w:r>
        <w:t>.</w:t>
      </w:r>
    </w:p>
    <w:p w14:paraId="498AC53C" w14:textId="1B29CAF5" w:rsidR="00855CB7" w:rsidRDefault="00855CB7">
      <w:pPr>
        <w:pStyle w:val="BodyText"/>
      </w:pPr>
      <w:r>
        <w:rPr>
          <w:i/>
        </w:rPr>
        <w:t>Distributors</w:t>
      </w:r>
      <w:r>
        <w:t xml:space="preserve"> must calculate the difference between the payments received from regulated </w:t>
      </w:r>
      <w:r>
        <w:rPr>
          <w:i/>
        </w:rPr>
        <w:t>consumers</w:t>
      </w:r>
      <w:r>
        <w:t xml:space="preserve"> subject to RPP and the wholesale cost of power</w:t>
      </w:r>
      <w:r w:rsidR="00725DFA">
        <w:t>,</w:t>
      </w:r>
      <w:r>
        <w:t xml:space="preserve"> including the amount of the </w:t>
      </w:r>
      <w:r w:rsidR="00565A62">
        <w:t xml:space="preserve">Global Adjustment </w:t>
      </w:r>
      <w:r>
        <w:t xml:space="preserve">allocated to </w:t>
      </w:r>
      <w:r w:rsidR="00565A62">
        <w:t>the RPP</w:t>
      </w:r>
      <w:r>
        <w:t xml:space="preserve"> portion of a </w:t>
      </w:r>
      <w:r>
        <w:rPr>
          <w:i/>
        </w:rPr>
        <w:t>distributor</w:t>
      </w:r>
      <w:r>
        <w:t xml:space="preserve">’s load.  Submissions by </w:t>
      </w:r>
      <w:r>
        <w:rPr>
          <w:i/>
        </w:rPr>
        <w:t>distributors</w:t>
      </w:r>
      <w:r>
        <w:t xml:space="preserve"> to </w:t>
      </w:r>
      <w:r w:rsidR="00D134AD">
        <w:t>us</w:t>
      </w:r>
      <w:r>
        <w:t xml:space="preserve"> </w:t>
      </w:r>
      <w:r w:rsidR="00725DFA">
        <w:t>are</w:t>
      </w:r>
      <w:r>
        <w:t xml:space="preserve"> processed as manual line items in </w:t>
      </w:r>
      <w:r>
        <w:rPr>
          <w:i/>
        </w:rPr>
        <w:t>settlement</w:t>
      </w:r>
      <w:r>
        <w:t xml:space="preserve"> </w:t>
      </w:r>
      <w:r>
        <w:rPr>
          <w:i/>
        </w:rPr>
        <w:t>statements</w:t>
      </w:r>
      <w:r>
        <w:t xml:space="preserve"> and monthly </w:t>
      </w:r>
      <w:r>
        <w:rPr>
          <w:i/>
        </w:rPr>
        <w:t>invoices</w:t>
      </w:r>
      <w:r>
        <w:t xml:space="preserve">. </w:t>
      </w:r>
      <w:r w:rsidR="00E15010">
        <w:t xml:space="preserve"> </w:t>
      </w:r>
      <w:r w:rsidR="00725DFA">
        <w:t xml:space="preserve">We use </w:t>
      </w:r>
      <w:r>
        <w:rPr>
          <w:i/>
        </w:rPr>
        <w:t>charge type</w:t>
      </w:r>
      <w:r w:rsidR="00C91D67">
        <w:rPr>
          <w:i/>
        </w:rPr>
        <w:t xml:space="preserve"> 142</w:t>
      </w:r>
      <w:r>
        <w:t xml:space="preserve"> </w:t>
      </w:r>
      <w:r w:rsidR="00DB0F88">
        <w:t>“</w:t>
      </w:r>
      <w:r w:rsidR="005F4C72" w:rsidRPr="005F4C72">
        <w:t>Regulated Price Plan Settlement Amount</w:t>
      </w:r>
      <w:r w:rsidR="00DB0F88">
        <w:t>”</w:t>
      </w:r>
      <w:r>
        <w:rPr>
          <w:i/>
        </w:rPr>
        <w:t xml:space="preserve"> </w:t>
      </w:r>
      <w:r>
        <w:t xml:space="preserve">for processing </w:t>
      </w:r>
      <w:r>
        <w:rPr>
          <w:i/>
        </w:rPr>
        <w:t>distributor</w:t>
      </w:r>
      <w:r>
        <w:t xml:space="preserve"> submissions. </w:t>
      </w:r>
      <w:r w:rsidR="00765ED6">
        <w:t xml:space="preserve"> </w:t>
      </w:r>
      <w:r>
        <w:t xml:space="preserve">RPP eligible </w:t>
      </w:r>
      <w:r>
        <w:rPr>
          <w:i/>
        </w:rPr>
        <w:t>consumers</w:t>
      </w:r>
      <w:r>
        <w:t xml:space="preserve"> </w:t>
      </w:r>
      <w:r w:rsidR="00611260">
        <w:t>are</w:t>
      </w:r>
      <w:r>
        <w:t xml:space="preserve"> defined by </w:t>
      </w:r>
      <w:r w:rsidR="00DC011C" w:rsidRPr="0099695B">
        <w:t>regulation</w:t>
      </w:r>
      <w:r>
        <w:t>.</w:t>
      </w:r>
    </w:p>
    <w:p w14:paraId="6BBD7A9E" w14:textId="37920768" w:rsidR="00855CB7" w:rsidRDefault="00855CB7">
      <w:pPr>
        <w:pStyle w:val="BodyText"/>
      </w:pPr>
      <w:r>
        <w:rPr>
          <w:i/>
        </w:rPr>
        <w:t>Distributors</w:t>
      </w:r>
      <w:r>
        <w:t xml:space="preserve"> that are </w:t>
      </w:r>
      <w:r>
        <w:rPr>
          <w:i/>
        </w:rPr>
        <w:t>market participants</w:t>
      </w:r>
      <w:r>
        <w:t xml:space="preserve"> must submit the information to </w:t>
      </w:r>
      <w:r w:rsidR="00D134AD">
        <w:t>us</w:t>
      </w:r>
      <w:r>
        <w:t xml:space="preserve"> </w:t>
      </w:r>
      <w:r w:rsidR="00155FEE">
        <w:t xml:space="preserve">online </w:t>
      </w:r>
      <w:r>
        <w:t>noting the amount of</w:t>
      </w:r>
      <w:r w:rsidR="00765ED6">
        <w:t xml:space="preserve"> the claim for each category. </w:t>
      </w:r>
      <w:r w:rsidR="001841AF">
        <w:t xml:space="preserve"> </w:t>
      </w:r>
      <w:r>
        <w:t>Th</w:t>
      </w:r>
      <w:r w:rsidR="00155FEE">
        <w:t xml:space="preserve">e </w:t>
      </w:r>
      <w:r w:rsidR="00972031" w:rsidRPr="00BA0260">
        <w:rPr>
          <w:lang w:val="en-CA"/>
        </w:rPr>
        <w:t xml:space="preserve">settlement </w:t>
      </w:r>
      <w:r w:rsidR="00972031">
        <w:rPr>
          <w:lang w:val="en-CA"/>
        </w:rPr>
        <w:t xml:space="preserve">form available within Online IESO </w:t>
      </w:r>
      <w:r>
        <w:t xml:space="preserve">is used </w:t>
      </w:r>
      <w:r w:rsidR="0031696D">
        <w:t xml:space="preserve">to submit </w:t>
      </w:r>
      <w:r>
        <w:t xml:space="preserve">all information required from the </w:t>
      </w:r>
      <w:r>
        <w:rPr>
          <w:i/>
        </w:rPr>
        <w:t>distributor</w:t>
      </w:r>
      <w:r>
        <w:t xml:space="preserve">, embedded </w:t>
      </w:r>
      <w:r>
        <w:rPr>
          <w:i/>
        </w:rPr>
        <w:t>distributor</w:t>
      </w:r>
      <w:r>
        <w:t xml:space="preserve"> or participating </w:t>
      </w:r>
      <w:r>
        <w:rPr>
          <w:i/>
        </w:rPr>
        <w:t>retailer</w:t>
      </w:r>
      <w:r>
        <w:t xml:space="preserve"> to </w:t>
      </w:r>
      <w:r w:rsidR="00BA295D">
        <w:t>balance the market</w:t>
      </w:r>
      <w:r>
        <w:t xml:space="preserve">.  </w:t>
      </w:r>
      <w:r w:rsidR="00DA3379" w:rsidRPr="00DA3379">
        <w:rPr>
          <w:i/>
        </w:rPr>
        <w:t>Settlement</w:t>
      </w:r>
      <w:r w:rsidR="00155FEE">
        <w:t xml:space="preserve"> data </w:t>
      </w:r>
      <w:r>
        <w:t xml:space="preserve">must be submitted to </w:t>
      </w:r>
      <w:r w:rsidR="00D134AD">
        <w:t>us</w:t>
      </w:r>
      <w:r>
        <w:t xml:space="preserve"> </w:t>
      </w:r>
      <w:r w:rsidR="004B2D02">
        <w:t xml:space="preserve">monthly, </w:t>
      </w:r>
      <w:r>
        <w:t xml:space="preserve">as soon as possible after the last </w:t>
      </w:r>
      <w:r>
        <w:rPr>
          <w:i/>
        </w:rPr>
        <w:t>trading day</w:t>
      </w:r>
      <w:r>
        <w:t xml:space="preserve"> of the month and no later than the </w:t>
      </w:r>
      <w:r w:rsidR="005F4C72">
        <w:t xml:space="preserve">4th </w:t>
      </w:r>
      <w:r>
        <w:rPr>
          <w:i/>
        </w:rPr>
        <w:t>business day</w:t>
      </w:r>
      <w:r>
        <w:t xml:space="preserve"> after the last </w:t>
      </w:r>
      <w:r>
        <w:rPr>
          <w:i/>
        </w:rPr>
        <w:t>trading day</w:t>
      </w:r>
      <w:r>
        <w:t xml:space="preserve"> of the month. </w:t>
      </w:r>
      <w:r w:rsidR="00E15010">
        <w:t xml:space="preserve"> </w:t>
      </w:r>
      <w:r w:rsidR="004B2D02">
        <w:t>We process t</w:t>
      </w:r>
      <w:r>
        <w:t xml:space="preserve">his information </w:t>
      </w:r>
      <w:r w:rsidR="004B2D02">
        <w:t xml:space="preserve">so </w:t>
      </w:r>
      <w:r>
        <w:t xml:space="preserve">that the </w:t>
      </w:r>
      <w:r>
        <w:rPr>
          <w:i/>
        </w:rPr>
        <w:t>preliminary settlement statement</w:t>
      </w:r>
      <w:r>
        <w:t xml:space="preserve"> for the last </w:t>
      </w:r>
      <w:r>
        <w:rPr>
          <w:i/>
        </w:rPr>
        <w:t>trading day</w:t>
      </w:r>
      <w:r>
        <w:t xml:space="preserve"> of the month indicate</w:t>
      </w:r>
      <w:r w:rsidR="004B2D02">
        <w:t>s</w:t>
      </w:r>
      <w:r>
        <w:t xml:space="preserve"> a </w:t>
      </w:r>
      <w:r w:rsidR="00765ED6">
        <w:rPr>
          <w:i/>
        </w:rPr>
        <w:t>charge t</w:t>
      </w:r>
      <w:r>
        <w:rPr>
          <w:i/>
        </w:rPr>
        <w:t>ype</w:t>
      </w:r>
      <w:r>
        <w:t xml:space="preserve"> </w:t>
      </w:r>
      <w:r w:rsidR="00C91D67">
        <w:t>1</w:t>
      </w:r>
      <w:r>
        <w:t>42</w:t>
      </w:r>
      <w:r w:rsidR="004B2D02">
        <w:t>,</w:t>
      </w:r>
      <w:r>
        <w:t xml:space="preserve"> with the </w:t>
      </w:r>
      <w:r w:rsidR="004B2D02">
        <w:t xml:space="preserve">category noted in the </w:t>
      </w:r>
      <w:r>
        <w:t>Comments field</w:t>
      </w:r>
      <w:r w:rsidR="004B2D02">
        <w:t>.</w:t>
      </w:r>
      <w:r w:rsidR="00B26319">
        <w:t xml:space="preserve"> If any changes are required to the amounts submitted during the preliminary submission period, final adjustments can be submitted during the 11th </w:t>
      </w:r>
      <w:r w:rsidR="00B26319" w:rsidRPr="00B26319">
        <w:t xml:space="preserve">to 14th </w:t>
      </w:r>
      <w:r w:rsidR="00B26319" w:rsidRPr="00E76385">
        <w:rPr>
          <w:i/>
        </w:rPr>
        <w:t>business day</w:t>
      </w:r>
      <w:r w:rsidR="00B26319" w:rsidRPr="00B26319">
        <w:t xml:space="preserve"> </w:t>
      </w:r>
      <w:r w:rsidR="00B26319">
        <w:t xml:space="preserve">after the last </w:t>
      </w:r>
      <w:r w:rsidR="00B26319" w:rsidRPr="00B26319">
        <w:rPr>
          <w:i/>
        </w:rPr>
        <w:t>trading day</w:t>
      </w:r>
      <w:r w:rsidR="00B26319" w:rsidRPr="00B26319">
        <w:t xml:space="preserve"> of the month</w:t>
      </w:r>
      <w:r w:rsidR="00B26319">
        <w:t xml:space="preserve">. The adjustments will be reflected on the </w:t>
      </w:r>
      <w:r w:rsidR="00B26319" w:rsidRPr="00B26319">
        <w:rPr>
          <w:i/>
        </w:rPr>
        <w:t xml:space="preserve">final settlement statement </w:t>
      </w:r>
      <w:r w:rsidR="00B26319">
        <w:t xml:space="preserve">for the last </w:t>
      </w:r>
      <w:r w:rsidR="00B26319" w:rsidRPr="00B26319">
        <w:rPr>
          <w:i/>
        </w:rPr>
        <w:t>trading day</w:t>
      </w:r>
      <w:r w:rsidR="00B26319">
        <w:t xml:space="preserve"> of the month.</w:t>
      </w:r>
      <w:r w:rsidR="0043626A">
        <w:t xml:space="preserve"> Furthermore, post final adjustments can be submitted through Online IESO for any previous settlement period. </w:t>
      </w:r>
      <w:r w:rsidR="00182CAC" w:rsidRPr="00182CAC">
        <w:t xml:space="preserve">Any amount submitted as a post final adjustment will be settled on the </w:t>
      </w:r>
      <w:r w:rsidR="00182CAC" w:rsidRPr="00E76385">
        <w:rPr>
          <w:i/>
        </w:rPr>
        <w:t>preliminary settlement statement</w:t>
      </w:r>
      <w:r w:rsidR="00182CAC" w:rsidRPr="00182CAC">
        <w:t xml:space="preserve"> for the last </w:t>
      </w:r>
      <w:r w:rsidR="00182CAC" w:rsidRPr="00182CAC">
        <w:rPr>
          <w:i/>
        </w:rPr>
        <w:t>trading day</w:t>
      </w:r>
      <w:r w:rsidR="00182CAC" w:rsidRPr="00182CAC">
        <w:t xml:space="preserve"> of the </w:t>
      </w:r>
      <w:r w:rsidR="00182CAC">
        <w:t>current settlement month</w:t>
      </w:r>
      <w:r w:rsidR="00182CAC" w:rsidRPr="00182CAC">
        <w:t>.</w:t>
      </w:r>
    </w:p>
    <w:p w14:paraId="5F15E7D9" w14:textId="77777777" w:rsidR="00BA1FAB" w:rsidRDefault="00D134AD">
      <w:pPr>
        <w:pStyle w:val="BodyText"/>
      </w:pPr>
      <w:r>
        <w:t>We</w:t>
      </w:r>
      <w:r w:rsidR="00855CB7">
        <w:t xml:space="preserve"> adjust </w:t>
      </w:r>
      <w:r w:rsidR="00855CB7">
        <w:rPr>
          <w:i/>
        </w:rPr>
        <w:t>settlement amounts</w:t>
      </w:r>
      <w:r w:rsidR="00855CB7">
        <w:t xml:space="preserve"> for directly </w:t>
      </w:r>
      <w:r w:rsidR="00CC00BC" w:rsidRPr="00CC00BC">
        <w:rPr>
          <w:i/>
        </w:rPr>
        <w:t>connected</w:t>
      </w:r>
      <w:r w:rsidR="00855CB7">
        <w:t xml:space="preserve"> </w:t>
      </w:r>
      <w:r w:rsidR="00855CB7">
        <w:rPr>
          <w:i/>
        </w:rPr>
        <w:t>consumers</w:t>
      </w:r>
      <w:r w:rsidR="00855CB7">
        <w:t xml:space="preserve"> who are eligible for the RPP for the net volume of electricity withdrawn from the </w:t>
      </w:r>
      <w:r w:rsidR="00855CB7">
        <w:rPr>
          <w:i/>
        </w:rPr>
        <w:t>IESO-controlled grid</w:t>
      </w:r>
      <w:r w:rsidR="00855CB7">
        <w:t xml:space="preserve"> not covered by </w:t>
      </w:r>
      <w:r w:rsidR="00DA3379" w:rsidRPr="00DA3379">
        <w:rPr>
          <w:i/>
        </w:rPr>
        <w:t>physical bilateral contracts</w:t>
      </w:r>
      <w:r w:rsidR="00855CB7">
        <w:t>.</w:t>
      </w:r>
    </w:p>
    <w:p w14:paraId="666C51C3" w14:textId="546412DA" w:rsidR="00855CB7" w:rsidRDefault="00855CB7" w:rsidP="001635E8">
      <w:pPr>
        <w:pStyle w:val="BodyText"/>
      </w:pPr>
      <w:r>
        <w:t xml:space="preserve">The corresponding setoff, </w:t>
      </w:r>
      <w:r w:rsidR="00765ED6">
        <w:rPr>
          <w:i/>
        </w:rPr>
        <w:t>charge t</w:t>
      </w:r>
      <w:r>
        <w:rPr>
          <w:i/>
        </w:rPr>
        <w:t>ype</w:t>
      </w:r>
      <w:r w:rsidR="00CB152D">
        <w:t xml:space="preserve"> </w:t>
      </w:r>
      <w:r w:rsidR="00C91D67">
        <w:t>1</w:t>
      </w:r>
      <w:r w:rsidR="00CB152D">
        <w:t>92 “</w:t>
      </w:r>
      <w:r w:rsidR="005F4C72" w:rsidRPr="005F4C72">
        <w:t>Regulated Price Plan Balancing Amount</w:t>
      </w:r>
      <w:r w:rsidR="00CB152D">
        <w:t xml:space="preserve">” </w:t>
      </w:r>
      <w:r w:rsidR="00C91D67">
        <w:t xml:space="preserve">is </w:t>
      </w:r>
      <w:r>
        <w:t xml:space="preserve">entered as manual line items on the </w:t>
      </w:r>
      <w:r w:rsidR="00C51A68">
        <w:t xml:space="preserve">IESO’s </w:t>
      </w:r>
      <w:r>
        <w:rPr>
          <w:i/>
        </w:rPr>
        <w:t>preliminary</w:t>
      </w:r>
      <w:r>
        <w:t xml:space="preserve"> </w:t>
      </w:r>
      <w:r>
        <w:rPr>
          <w:i/>
        </w:rPr>
        <w:t xml:space="preserve">settlement statement </w:t>
      </w:r>
      <w:r>
        <w:t xml:space="preserve">and </w:t>
      </w:r>
      <w:r>
        <w:rPr>
          <w:i/>
        </w:rPr>
        <w:t>final settlement statement</w:t>
      </w:r>
      <w:r>
        <w:t xml:space="preserve"> for the last </w:t>
      </w:r>
      <w:r>
        <w:rPr>
          <w:i/>
        </w:rPr>
        <w:t xml:space="preserve">trading day </w:t>
      </w:r>
      <w:r>
        <w:t xml:space="preserve">of the month to </w:t>
      </w:r>
      <w:r w:rsidR="00BA295D">
        <w:t>balance the market</w:t>
      </w:r>
      <w:r>
        <w:t>.</w:t>
      </w:r>
    </w:p>
    <w:p w14:paraId="64898F30" w14:textId="77777777" w:rsidR="002F19CC" w:rsidRDefault="002F19CC">
      <w:pPr>
        <w:spacing w:after="0"/>
        <w:rPr>
          <w:rFonts w:ascii="Arial" w:hAnsi="Arial"/>
          <w:b/>
          <w:bCs/>
          <w:sz w:val="24"/>
        </w:rPr>
      </w:pPr>
      <w:r>
        <w:rPr>
          <w:rFonts w:ascii="Arial" w:hAnsi="Arial"/>
          <w:b/>
          <w:bCs/>
          <w:sz w:val="24"/>
        </w:rPr>
        <w:br w:type="page"/>
      </w:r>
    </w:p>
    <w:p w14:paraId="0C470D1E" w14:textId="77777777" w:rsidR="006C029C" w:rsidRPr="009704E5" w:rsidRDefault="006C029C" w:rsidP="0086306A">
      <w:pPr>
        <w:pStyle w:val="BodyText"/>
        <w:spacing w:before="0"/>
        <w:rPr>
          <w:rFonts w:ascii="Arial" w:hAnsi="Arial"/>
          <w:b/>
          <w:bCs/>
          <w:sz w:val="24"/>
        </w:rPr>
      </w:pPr>
      <w:r w:rsidRPr="009704E5">
        <w:rPr>
          <w:rFonts w:ascii="Arial" w:hAnsi="Arial"/>
          <w:b/>
          <w:bCs/>
          <w:sz w:val="24"/>
        </w:rPr>
        <w:lastRenderedPageBreak/>
        <w:t>Declaration Required for Designated Consumers</w:t>
      </w:r>
    </w:p>
    <w:p w14:paraId="47BB83F9" w14:textId="60FEA2EE" w:rsidR="00E6372F" w:rsidRDefault="006C029C" w:rsidP="003500FF">
      <w:pPr>
        <w:pStyle w:val="BodyText"/>
        <w:spacing w:before="0" w:after="0"/>
        <w:rPr>
          <w:lang w:val="en-CA"/>
        </w:rPr>
      </w:pPr>
      <w:r w:rsidRPr="00E0318C">
        <w:rPr>
          <w:lang w:val="en-CA"/>
        </w:rPr>
        <w:t>“Regulations 435/02, 43/04 and 433/02”</w:t>
      </w:r>
      <w:r w:rsidR="004B2D02">
        <w:rPr>
          <w:lang w:val="en-CA"/>
        </w:rPr>
        <w:t xml:space="preserve"> define ‘designated </w:t>
      </w:r>
      <w:r w:rsidR="0099695B">
        <w:rPr>
          <w:i/>
          <w:lang w:val="en-CA"/>
        </w:rPr>
        <w:t>c</w:t>
      </w:r>
      <w:r w:rsidR="00DA3379" w:rsidRPr="00DA3379">
        <w:rPr>
          <w:i/>
          <w:lang w:val="en-CA"/>
        </w:rPr>
        <w:t>onsumer</w:t>
      </w:r>
      <w:r w:rsidR="004B2D02">
        <w:rPr>
          <w:lang w:val="en-CA"/>
        </w:rPr>
        <w:t>’</w:t>
      </w:r>
      <w:r w:rsidRPr="00E0318C">
        <w:rPr>
          <w:lang w:val="en-CA"/>
        </w:rPr>
        <w:t xml:space="preserve">.  Wholesale </w:t>
      </w:r>
      <w:r w:rsidRPr="00E0318C">
        <w:rPr>
          <w:i/>
          <w:lang w:val="en-CA"/>
        </w:rPr>
        <w:t>market participants</w:t>
      </w:r>
      <w:r w:rsidRPr="00E0318C">
        <w:rPr>
          <w:lang w:val="en-CA"/>
        </w:rPr>
        <w:t xml:space="preserve"> who qualify as ‘designated </w:t>
      </w:r>
      <w:r w:rsidR="00DA3379" w:rsidRPr="00DA3379">
        <w:rPr>
          <w:i/>
          <w:lang w:val="en-CA"/>
        </w:rPr>
        <w:t>consumers</w:t>
      </w:r>
      <w:r w:rsidR="00444EB6" w:rsidRPr="00444EB6">
        <w:rPr>
          <w:lang w:val="en-CA"/>
        </w:rPr>
        <w:t>’</w:t>
      </w:r>
      <w:r w:rsidR="00B658A8">
        <w:rPr>
          <w:lang w:val="en-CA"/>
        </w:rPr>
        <w:t>,</w:t>
      </w:r>
      <w:r w:rsidR="006D6F68">
        <w:rPr>
          <w:lang w:val="en-CA"/>
        </w:rPr>
        <w:t xml:space="preserve"> </w:t>
      </w:r>
      <w:r w:rsidRPr="00E0318C">
        <w:rPr>
          <w:lang w:val="en-CA"/>
        </w:rPr>
        <w:t xml:space="preserve">must inform </w:t>
      </w:r>
      <w:r w:rsidR="00D134AD">
        <w:rPr>
          <w:lang w:val="en-CA"/>
        </w:rPr>
        <w:t>us</w:t>
      </w:r>
      <w:r w:rsidRPr="00E0318C">
        <w:rPr>
          <w:i/>
          <w:lang w:val="en-CA"/>
        </w:rPr>
        <w:t xml:space="preserve"> </w:t>
      </w:r>
      <w:r w:rsidRPr="00E0318C">
        <w:rPr>
          <w:lang w:val="en-CA"/>
        </w:rPr>
        <w:t xml:space="preserve">by submitting </w:t>
      </w:r>
      <w:r w:rsidR="00565A62">
        <w:rPr>
          <w:lang w:val="en-CA"/>
        </w:rPr>
        <w:t xml:space="preserve">the on-line form </w:t>
      </w:r>
      <w:r w:rsidRPr="00E0318C">
        <w:rPr>
          <w:lang w:val="en-CA"/>
        </w:rPr>
        <w:t xml:space="preserve">“Declaration of Designated Consumer” located on </w:t>
      </w:r>
      <w:r w:rsidR="00565A62">
        <w:rPr>
          <w:lang w:val="en-CA"/>
        </w:rPr>
        <w:t xml:space="preserve">the </w:t>
      </w:r>
      <w:r w:rsidR="00402A9E">
        <w:rPr>
          <w:i/>
          <w:lang w:val="en-CA"/>
        </w:rPr>
        <w:t>IESO</w:t>
      </w:r>
      <w:r w:rsidR="00565A62">
        <w:rPr>
          <w:i/>
          <w:lang w:val="en-CA"/>
        </w:rPr>
        <w:t xml:space="preserve"> </w:t>
      </w:r>
      <w:r w:rsidR="004A7BF5">
        <w:rPr>
          <w:lang w:val="en-CA"/>
        </w:rPr>
        <w:t>Gateway</w:t>
      </w:r>
      <w:r w:rsidR="00565A62">
        <w:rPr>
          <w:lang w:val="en-CA"/>
        </w:rPr>
        <w:t>.</w:t>
      </w:r>
      <w:r w:rsidRPr="00E0318C">
        <w:rPr>
          <w:lang w:val="en-CA"/>
        </w:rPr>
        <w:t xml:space="preserve">  </w:t>
      </w:r>
      <w:r w:rsidRPr="00E0318C">
        <w:rPr>
          <w:i/>
          <w:lang w:val="en-CA"/>
        </w:rPr>
        <w:t>Market participants</w:t>
      </w:r>
      <w:r w:rsidRPr="00E0318C">
        <w:rPr>
          <w:lang w:val="en-CA"/>
        </w:rPr>
        <w:t xml:space="preserve"> who satisfy </w:t>
      </w:r>
      <w:r w:rsidR="00D134AD">
        <w:rPr>
          <w:lang w:val="en-CA"/>
        </w:rPr>
        <w:t>us</w:t>
      </w:r>
      <w:r w:rsidRPr="00E0318C">
        <w:rPr>
          <w:lang w:val="en-CA"/>
        </w:rPr>
        <w:t xml:space="preserve"> that they qualify as designated </w:t>
      </w:r>
      <w:r w:rsidR="00DA3379" w:rsidRPr="00DA3379">
        <w:rPr>
          <w:i/>
          <w:lang w:val="en-CA"/>
        </w:rPr>
        <w:t>consumers</w:t>
      </w:r>
      <w:r w:rsidRPr="00323413">
        <w:rPr>
          <w:lang w:val="en-CA"/>
        </w:rPr>
        <w:t xml:space="preserve"> </w:t>
      </w:r>
      <w:r w:rsidR="004B2D02">
        <w:rPr>
          <w:lang w:val="en-CA"/>
        </w:rPr>
        <w:t>are</w:t>
      </w:r>
      <w:r w:rsidRPr="00E0318C">
        <w:rPr>
          <w:lang w:val="en-CA"/>
        </w:rPr>
        <w:t xml:space="preserve"> settled at the RPP</w:t>
      </w:r>
      <w:r w:rsidRPr="00E0318C">
        <w:rPr>
          <w:i/>
          <w:lang w:val="en-CA"/>
        </w:rPr>
        <w:t xml:space="preserve"> </w:t>
      </w:r>
      <w:r w:rsidRPr="00E0318C">
        <w:rPr>
          <w:lang w:val="en-CA"/>
        </w:rPr>
        <w:t>rate.</w:t>
      </w:r>
      <w:r w:rsidR="003500FF">
        <w:rPr>
          <w:lang w:val="en-CA"/>
        </w:rPr>
        <w:t xml:space="preserve">  </w:t>
      </w:r>
    </w:p>
    <w:p w14:paraId="7FC2B322" w14:textId="77777777" w:rsidR="006C029C" w:rsidRPr="009704E5" w:rsidRDefault="006C029C" w:rsidP="00B6137B">
      <w:pPr>
        <w:pStyle w:val="BodyText"/>
        <w:spacing w:before="240"/>
        <w:rPr>
          <w:rFonts w:ascii="Arial" w:hAnsi="Arial"/>
          <w:b/>
          <w:bCs/>
          <w:sz w:val="24"/>
        </w:rPr>
      </w:pPr>
      <w:r w:rsidRPr="009704E5">
        <w:rPr>
          <w:rFonts w:ascii="Arial" w:hAnsi="Arial"/>
          <w:b/>
          <w:bCs/>
          <w:sz w:val="24"/>
        </w:rPr>
        <w:t>Opt</w:t>
      </w:r>
      <w:r w:rsidR="004B2D02">
        <w:rPr>
          <w:rFonts w:ascii="Arial" w:hAnsi="Arial"/>
          <w:b/>
          <w:bCs/>
          <w:sz w:val="24"/>
        </w:rPr>
        <w:t>-</w:t>
      </w:r>
      <w:r w:rsidRPr="009704E5">
        <w:rPr>
          <w:rFonts w:ascii="Arial" w:hAnsi="Arial"/>
          <w:b/>
          <w:bCs/>
          <w:sz w:val="24"/>
        </w:rPr>
        <w:t>Out Provisions</w:t>
      </w:r>
    </w:p>
    <w:p w14:paraId="6B5F0AB9" w14:textId="77777777" w:rsidR="006C029C" w:rsidRDefault="006C029C" w:rsidP="003500FF">
      <w:pPr>
        <w:pStyle w:val="BodyText"/>
        <w:spacing w:before="0" w:after="0"/>
        <w:rPr>
          <w:lang w:val="en-CA"/>
        </w:rPr>
      </w:pPr>
      <w:r w:rsidRPr="00E0318C">
        <w:rPr>
          <w:lang w:val="en-CA"/>
        </w:rPr>
        <w:t xml:space="preserve">Eligibility of </w:t>
      </w:r>
      <w:r w:rsidRPr="00E0318C">
        <w:rPr>
          <w:i/>
          <w:lang w:val="en-CA"/>
        </w:rPr>
        <w:t>market participants</w:t>
      </w:r>
      <w:r w:rsidRPr="00E0318C">
        <w:rPr>
          <w:lang w:val="en-CA"/>
        </w:rPr>
        <w:t xml:space="preserve"> to opt out of the RPP is based on the following provision:</w:t>
      </w:r>
    </w:p>
    <w:p w14:paraId="382B4049" w14:textId="77777777" w:rsidR="006C029C" w:rsidRPr="006C029C" w:rsidRDefault="007169D9" w:rsidP="006C029C">
      <w:pPr>
        <w:pStyle w:val="ListBullet"/>
      </w:pPr>
      <w:r>
        <w:rPr>
          <w:lang w:val="en-CA"/>
        </w:rPr>
        <w:t>d</w:t>
      </w:r>
      <w:r w:rsidRPr="00E0318C">
        <w:rPr>
          <w:lang w:val="en-CA"/>
        </w:rPr>
        <w:t>irectly</w:t>
      </w:r>
      <w:r w:rsidR="006C029C" w:rsidRPr="00E0318C">
        <w:rPr>
          <w:lang w:val="en-CA"/>
        </w:rPr>
        <w:t>-</w:t>
      </w:r>
      <w:r w:rsidR="00CC00BC" w:rsidRPr="00CC00BC">
        <w:rPr>
          <w:i/>
          <w:lang w:val="en-CA"/>
        </w:rPr>
        <w:t>connected</w:t>
      </w:r>
      <w:r w:rsidR="006C029C" w:rsidRPr="00E0318C">
        <w:rPr>
          <w:lang w:val="en-CA"/>
        </w:rPr>
        <w:t xml:space="preserve"> load-consuming </w:t>
      </w:r>
      <w:r w:rsidR="006C029C" w:rsidRPr="00E0318C">
        <w:rPr>
          <w:i/>
          <w:lang w:val="en-CA"/>
        </w:rPr>
        <w:t>market participants</w:t>
      </w:r>
      <w:r w:rsidR="006C029C" w:rsidRPr="00E0318C">
        <w:rPr>
          <w:lang w:val="en-CA"/>
        </w:rPr>
        <w:t xml:space="preserve"> meeting the regulated definition of “low-volume </w:t>
      </w:r>
      <w:r w:rsidR="00CC00BC" w:rsidRPr="00CC00BC">
        <w:rPr>
          <w:i/>
          <w:lang w:val="en-CA"/>
        </w:rPr>
        <w:t>consumers</w:t>
      </w:r>
      <w:r w:rsidR="006C029C" w:rsidRPr="00323413">
        <w:rPr>
          <w:lang w:val="en-CA"/>
        </w:rPr>
        <w:t>”</w:t>
      </w:r>
      <w:r w:rsidR="006C029C" w:rsidRPr="00E0318C">
        <w:rPr>
          <w:lang w:val="en-CA"/>
        </w:rPr>
        <w:t xml:space="preserve"> or “designated </w:t>
      </w:r>
      <w:r w:rsidR="00CC00BC" w:rsidRPr="00CC00BC">
        <w:rPr>
          <w:i/>
          <w:lang w:val="en-CA"/>
        </w:rPr>
        <w:t>consumers</w:t>
      </w:r>
      <w:r w:rsidR="006C029C" w:rsidRPr="00323413">
        <w:rPr>
          <w:lang w:val="en-CA"/>
        </w:rPr>
        <w:t>”</w:t>
      </w:r>
      <w:r w:rsidR="006C029C" w:rsidRPr="00E0318C">
        <w:rPr>
          <w:lang w:val="en-CA"/>
        </w:rPr>
        <w:t xml:space="preserve"> may opt out of RPP for all </w:t>
      </w:r>
      <w:r w:rsidR="006C029C" w:rsidRPr="00E0318C">
        <w:rPr>
          <w:i/>
          <w:lang w:val="en-CA"/>
        </w:rPr>
        <w:t>registered facilities</w:t>
      </w:r>
      <w:r w:rsidR="006C029C" w:rsidRPr="00E0318C">
        <w:rPr>
          <w:lang w:val="en-CA"/>
        </w:rPr>
        <w:t xml:space="preserve"> for which they play the role of a </w:t>
      </w:r>
      <w:r w:rsidR="006C029C" w:rsidRPr="00E0318C">
        <w:rPr>
          <w:i/>
          <w:lang w:val="en-CA"/>
        </w:rPr>
        <w:t>metered</w:t>
      </w:r>
      <w:r w:rsidR="006C029C" w:rsidRPr="00E0318C">
        <w:rPr>
          <w:lang w:val="en-CA"/>
        </w:rPr>
        <w:t xml:space="preserve"> </w:t>
      </w:r>
      <w:r w:rsidR="006C029C" w:rsidRPr="00E0318C">
        <w:rPr>
          <w:i/>
          <w:lang w:val="en-CA"/>
        </w:rPr>
        <w:t>market participant</w:t>
      </w:r>
      <w:r w:rsidR="006C029C" w:rsidRPr="00E0318C">
        <w:rPr>
          <w:lang w:val="en-CA"/>
        </w:rPr>
        <w:t xml:space="preserve"> provided the</w:t>
      </w:r>
      <w:r w:rsidR="004B2D02">
        <w:rPr>
          <w:lang w:val="en-CA"/>
        </w:rPr>
        <w:t xml:space="preserve"> </w:t>
      </w:r>
      <w:r w:rsidR="00DA3379" w:rsidRPr="00DA3379">
        <w:rPr>
          <w:i/>
          <w:lang w:val="en-CA"/>
        </w:rPr>
        <w:t>facilities</w:t>
      </w:r>
      <w:r w:rsidR="006C029C" w:rsidRPr="00E0318C">
        <w:rPr>
          <w:lang w:val="en-CA"/>
        </w:rPr>
        <w:t xml:space="preserve"> have interval </w:t>
      </w:r>
      <w:r w:rsidR="006C029C" w:rsidRPr="00323413">
        <w:rPr>
          <w:lang w:val="en-CA"/>
        </w:rPr>
        <w:t>metering.</w:t>
      </w:r>
    </w:p>
    <w:p w14:paraId="6E4E0BB4" w14:textId="77777777" w:rsidR="006C029C" w:rsidRDefault="006C029C" w:rsidP="006C029C">
      <w:pPr>
        <w:pStyle w:val="BodyText"/>
        <w:rPr>
          <w:lang w:val="en-CA"/>
        </w:rPr>
      </w:pPr>
      <w:r w:rsidRPr="00E0318C">
        <w:rPr>
          <w:i/>
          <w:lang w:val="en-CA"/>
        </w:rPr>
        <w:t>Market participants</w:t>
      </w:r>
      <w:r w:rsidRPr="00E0318C">
        <w:rPr>
          <w:lang w:val="en-CA"/>
        </w:rPr>
        <w:t xml:space="preserve"> must inform </w:t>
      </w:r>
      <w:r w:rsidR="00D134AD">
        <w:rPr>
          <w:lang w:val="en-CA"/>
        </w:rPr>
        <w:t>us</w:t>
      </w:r>
      <w:r w:rsidRPr="00E0318C">
        <w:rPr>
          <w:lang w:val="en-CA"/>
        </w:rPr>
        <w:t xml:space="preserve"> in writing if they wish to exercise this option.</w:t>
      </w:r>
    </w:p>
    <w:p w14:paraId="4323FAC4" w14:textId="77777777" w:rsidR="00855CB7" w:rsidRDefault="00855CB7" w:rsidP="00133618">
      <w:pPr>
        <w:pStyle w:val="Heading4"/>
      </w:pPr>
      <w:bookmarkStart w:id="427" w:name="GA"/>
      <w:bookmarkEnd w:id="427"/>
      <w:r>
        <w:t>Global Adjustment</w:t>
      </w:r>
    </w:p>
    <w:p w14:paraId="56580D24" w14:textId="394A374F" w:rsidR="004A745A" w:rsidRDefault="0029108A" w:rsidP="000E3B3D">
      <w:pPr>
        <w:pStyle w:val="BodyText"/>
        <w:rPr>
          <w:szCs w:val="22"/>
        </w:rPr>
      </w:pPr>
      <w:r w:rsidRPr="0029108A">
        <w:rPr>
          <w:szCs w:val="22"/>
        </w:rPr>
        <w:t xml:space="preserve">We make adjustments to settlement amounts monthly to reflect the portion of the Global Adjustment allocated to each </w:t>
      </w:r>
      <w:r w:rsidRPr="0029108A">
        <w:rPr>
          <w:i/>
          <w:szCs w:val="22"/>
        </w:rPr>
        <w:t>market participant</w:t>
      </w:r>
      <w:r w:rsidRPr="0029108A">
        <w:rPr>
          <w:szCs w:val="22"/>
        </w:rPr>
        <w:t xml:space="preserve"> with load in Ontario. The total Global Adjustment for a month is the sum of the charges shown below</w:t>
      </w:r>
      <w:r w:rsidR="004C590F">
        <w:rPr>
          <w:szCs w:val="22"/>
        </w:rPr>
        <w:t xml:space="preserve"> in Table 1.2.</w:t>
      </w:r>
    </w:p>
    <w:p w14:paraId="34A71B6A" w14:textId="77777777" w:rsidR="00E16474" w:rsidRDefault="00E16474">
      <w:pPr>
        <w:pStyle w:val="Default"/>
        <w:rPr>
          <w:sz w:val="22"/>
          <w:szCs w:val="22"/>
        </w:rPr>
      </w:pPr>
    </w:p>
    <w:p w14:paraId="6F38B6A0" w14:textId="5F514D65" w:rsidR="00E16474" w:rsidRDefault="00E16474">
      <w:pPr>
        <w:pStyle w:val="Default"/>
        <w:rPr>
          <w:szCs w:val="22"/>
        </w:rPr>
      </w:pPr>
      <w:r>
        <w:rPr>
          <w:sz w:val="22"/>
          <w:szCs w:val="22"/>
        </w:rPr>
        <w:t xml:space="preserve">For further certainty, and without otherwise affecting its interpretation, for the purposes of this section 1.6.7.8, references to </w:t>
      </w:r>
      <w:r>
        <w:rPr>
          <w:i/>
          <w:iCs/>
          <w:sz w:val="22"/>
          <w:szCs w:val="22"/>
        </w:rPr>
        <w:t>load facilities</w:t>
      </w:r>
      <w:r>
        <w:rPr>
          <w:sz w:val="22"/>
          <w:szCs w:val="22"/>
        </w:rPr>
        <w:t xml:space="preserve"> includes the withdrawing component of </w:t>
      </w:r>
      <w:r>
        <w:rPr>
          <w:i/>
          <w:iCs/>
          <w:sz w:val="22"/>
          <w:szCs w:val="22"/>
        </w:rPr>
        <w:t>electricity storage facilities.</w:t>
      </w:r>
    </w:p>
    <w:p w14:paraId="0AFCF30D" w14:textId="459701FA" w:rsidR="004A745A" w:rsidRDefault="004C590F">
      <w:pPr>
        <w:pStyle w:val="TableCaption"/>
      </w:pPr>
      <w:bookmarkStart w:id="428" w:name="_Toc400369592"/>
      <w:bookmarkStart w:id="429" w:name="_Toc35796426"/>
      <w:bookmarkStart w:id="430" w:name="_Toc79657833"/>
      <w:r>
        <w:t>Table 1</w:t>
      </w:r>
      <w:r w:rsidR="005241AE" w:rsidRPr="005241AE">
        <w:t>–</w:t>
      </w:r>
      <w:r>
        <w:t>2:  Global Adjustment Charge Types</w:t>
      </w:r>
      <w:bookmarkEnd w:id="428"/>
      <w:bookmarkEnd w:id="429"/>
      <w:bookmarkEnd w:id="430"/>
    </w:p>
    <w:tbl>
      <w:tblPr>
        <w:tblW w:w="9090" w:type="dxa"/>
        <w:tblInd w:w="108" w:type="dxa"/>
        <w:tblLayout w:type="fixed"/>
        <w:tblLook w:val="0000" w:firstRow="0" w:lastRow="0" w:firstColumn="0" w:lastColumn="0" w:noHBand="0" w:noVBand="0"/>
      </w:tblPr>
      <w:tblGrid>
        <w:gridCol w:w="2516"/>
        <w:gridCol w:w="6574"/>
      </w:tblGrid>
      <w:tr w:rsidR="00565A62" w:rsidRPr="004C590F" w14:paraId="331E4E03" w14:textId="77777777" w:rsidTr="00901332">
        <w:trPr>
          <w:trHeight w:val="290"/>
          <w:tblHeader/>
        </w:trPr>
        <w:tc>
          <w:tcPr>
            <w:tcW w:w="2516"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2504EC73" w14:textId="77777777" w:rsidR="004A745A" w:rsidRPr="00F66F6C" w:rsidRDefault="0029108A">
            <w:pPr>
              <w:ind w:left="720"/>
              <w:contextualSpacing/>
              <w:rPr>
                <w:b/>
                <w:bCs/>
                <w:szCs w:val="22"/>
              </w:rPr>
            </w:pPr>
            <w:r w:rsidRPr="00F66F6C">
              <w:rPr>
                <w:b/>
                <w:bCs/>
                <w:szCs w:val="22"/>
              </w:rPr>
              <w:t xml:space="preserve">Charge Type </w:t>
            </w:r>
            <w:r w:rsidR="00645431" w:rsidRPr="00F66F6C">
              <w:rPr>
                <w:b/>
                <w:bCs/>
                <w:szCs w:val="22"/>
              </w:rPr>
              <w:t>#</w:t>
            </w:r>
          </w:p>
        </w:tc>
        <w:tc>
          <w:tcPr>
            <w:tcW w:w="6574"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48EFD07E" w14:textId="77777777" w:rsidR="004A745A" w:rsidRPr="00F66F6C" w:rsidRDefault="0029108A" w:rsidP="00327E5A">
            <w:pPr>
              <w:ind w:left="720"/>
              <w:contextualSpacing/>
              <w:rPr>
                <w:b/>
                <w:bCs/>
                <w:szCs w:val="22"/>
              </w:rPr>
            </w:pPr>
            <w:r w:rsidRPr="00F66F6C">
              <w:rPr>
                <w:b/>
                <w:bCs/>
                <w:szCs w:val="22"/>
              </w:rPr>
              <w:t xml:space="preserve">Charge Type </w:t>
            </w:r>
            <w:r w:rsidR="00CB053F" w:rsidRPr="00F66F6C">
              <w:rPr>
                <w:b/>
                <w:bCs/>
                <w:szCs w:val="22"/>
              </w:rPr>
              <w:t>Name</w:t>
            </w:r>
          </w:p>
        </w:tc>
      </w:tr>
      <w:tr w:rsidR="00565A62" w:rsidRPr="004C590F" w14:paraId="18C86428" w14:textId="77777777" w:rsidTr="004C590F">
        <w:trPr>
          <w:trHeight w:val="372"/>
        </w:trPr>
        <w:tc>
          <w:tcPr>
            <w:tcW w:w="2516" w:type="dxa"/>
            <w:tcBorders>
              <w:top w:val="single" w:sz="6" w:space="0" w:color="auto"/>
              <w:left w:val="single" w:sz="6" w:space="0" w:color="auto"/>
              <w:bottom w:val="single" w:sz="6" w:space="0" w:color="auto"/>
              <w:right w:val="single" w:sz="6" w:space="0" w:color="auto"/>
            </w:tcBorders>
          </w:tcPr>
          <w:p w14:paraId="2CA39392" w14:textId="77777777" w:rsidR="00565A62" w:rsidRPr="00F66F6C" w:rsidRDefault="00645431" w:rsidP="00565A62">
            <w:pPr>
              <w:autoSpaceDE w:val="0"/>
              <w:autoSpaceDN w:val="0"/>
              <w:adjustRightInd w:val="0"/>
              <w:spacing w:after="0"/>
              <w:jc w:val="center"/>
              <w:rPr>
                <w:color w:val="000000"/>
                <w:szCs w:val="22"/>
              </w:rPr>
            </w:pPr>
            <w:r w:rsidRPr="00F66F6C">
              <w:rPr>
                <w:color w:val="000000"/>
                <w:szCs w:val="22"/>
              </w:rPr>
              <w:t>143</w:t>
            </w:r>
          </w:p>
        </w:tc>
        <w:tc>
          <w:tcPr>
            <w:tcW w:w="6574" w:type="dxa"/>
            <w:tcBorders>
              <w:top w:val="single" w:sz="6" w:space="0" w:color="auto"/>
              <w:left w:val="single" w:sz="6" w:space="0" w:color="auto"/>
              <w:bottom w:val="single" w:sz="6" w:space="0" w:color="auto"/>
              <w:right w:val="single" w:sz="6" w:space="0" w:color="auto"/>
            </w:tcBorders>
          </w:tcPr>
          <w:p w14:paraId="1A6110A6" w14:textId="77777777" w:rsidR="00565A62" w:rsidRPr="00F66F6C" w:rsidRDefault="0029108A" w:rsidP="00565A62">
            <w:pPr>
              <w:autoSpaceDE w:val="0"/>
              <w:autoSpaceDN w:val="0"/>
              <w:adjustRightInd w:val="0"/>
              <w:spacing w:after="0"/>
              <w:rPr>
                <w:color w:val="000000"/>
                <w:szCs w:val="22"/>
              </w:rPr>
            </w:pPr>
            <w:r w:rsidRPr="00F66F6C">
              <w:rPr>
                <w:color w:val="000000"/>
                <w:szCs w:val="22"/>
              </w:rPr>
              <w:t>OEFC Adjustment Settlement Amount</w:t>
            </w:r>
          </w:p>
        </w:tc>
      </w:tr>
      <w:tr w:rsidR="00565A62" w:rsidRPr="004C590F" w14:paraId="0E60FF86" w14:textId="77777777" w:rsidTr="004C590F">
        <w:trPr>
          <w:trHeight w:val="374"/>
        </w:trPr>
        <w:tc>
          <w:tcPr>
            <w:tcW w:w="2516" w:type="dxa"/>
            <w:tcBorders>
              <w:top w:val="single" w:sz="6" w:space="0" w:color="auto"/>
              <w:left w:val="single" w:sz="6" w:space="0" w:color="auto"/>
              <w:bottom w:val="single" w:sz="6" w:space="0" w:color="auto"/>
              <w:right w:val="single" w:sz="6" w:space="0" w:color="auto"/>
            </w:tcBorders>
          </w:tcPr>
          <w:p w14:paraId="5AB720AE" w14:textId="77777777" w:rsidR="00565A62" w:rsidRPr="00F66F6C" w:rsidRDefault="00645431" w:rsidP="00565A62">
            <w:pPr>
              <w:autoSpaceDE w:val="0"/>
              <w:autoSpaceDN w:val="0"/>
              <w:adjustRightInd w:val="0"/>
              <w:spacing w:after="0"/>
              <w:jc w:val="center"/>
              <w:rPr>
                <w:color w:val="000000"/>
                <w:szCs w:val="22"/>
              </w:rPr>
            </w:pPr>
            <w:r w:rsidRPr="00F66F6C">
              <w:rPr>
                <w:color w:val="000000"/>
                <w:szCs w:val="22"/>
              </w:rPr>
              <w:t>144</w:t>
            </w:r>
          </w:p>
        </w:tc>
        <w:tc>
          <w:tcPr>
            <w:tcW w:w="6574" w:type="dxa"/>
            <w:tcBorders>
              <w:top w:val="single" w:sz="6" w:space="0" w:color="auto"/>
              <w:left w:val="single" w:sz="6" w:space="0" w:color="auto"/>
              <w:bottom w:val="single" w:sz="6" w:space="0" w:color="auto"/>
              <w:right w:val="single" w:sz="6" w:space="0" w:color="auto"/>
            </w:tcBorders>
          </w:tcPr>
          <w:p w14:paraId="3E6D9E5C" w14:textId="77777777" w:rsidR="00565A62" w:rsidRPr="00F66F6C" w:rsidRDefault="0029108A" w:rsidP="00565A62">
            <w:pPr>
              <w:autoSpaceDE w:val="0"/>
              <w:autoSpaceDN w:val="0"/>
              <w:adjustRightInd w:val="0"/>
              <w:spacing w:after="0"/>
              <w:rPr>
                <w:color w:val="000000"/>
                <w:szCs w:val="22"/>
              </w:rPr>
            </w:pPr>
            <w:r w:rsidRPr="00F66F6C">
              <w:rPr>
                <w:color w:val="000000"/>
                <w:szCs w:val="22"/>
              </w:rPr>
              <w:t>Regulated Nuclear Generation Adjustment Amount</w:t>
            </w:r>
          </w:p>
        </w:tc>
      </w:tr>
      <w:tr w:rsidR="00565A62" w:rsidRPr="004C590F" w14:paraId="06C7078E" w14:textId="77777777" w:rsidTr="00CB053F">
        <w:trPr>
          <w:trHeight w:val="374"/>
        </w:trPr>
        <w:tc>
          <w:tcPr>
            <w:tcW w:w="2516" w:type="dxa"/>
            <w:tcBorders>
              <w:top w:val="single" w:sz="6" w:space="0" w:color="auto"/>
              <w:left w:val="single" w:sz="6" w:space="0" w:color="auto"/>
              <w:bottom w:val="single" w:sz="6" w:space="0" w:color="auto"/>
              <w:right w:val="single" w:sz="6" w:space="0" w:color="auto"/>
            </w:tcBorders>
          </w:tcPr>
          <w:p w14:paraId="3A3771D3" w14:textId="77777777" w:rsidR="00565A62" w:rsidRPr="00F66F6C" w:rsidRDefault="00645431" w:rsidP="00565A62">
            <w:pPr>
              <w:autoSpaceDE w:val="0"/>
              <w:autoSpaceDN w:val="0"/>
              <w:adjustRightInd w:val="0"/>
              <w:spacing w:after="0"/>
              <w:jc w:val="center"/>
              <w:rPr>
                <w:color w:val="000000"/>
                <w:szCs w:val="22"/>
              </w:rPr>
            </w:pPr>
            <w:r w:rsidRPr="00F66F6C">
              <w:rPr>
                <w:color w:val="000000"/>
                <w:szCs w:val="22"/>
              </w:rPr>
              <w:t>145</w:t>
            </w:r>
          </w:p>
        </w:tc>
        <w:tc>
          <w:tcPr>
            <w:tcW w:w="6574" w:type="dxa"/>
            <w:tcBorders>
              <w:top w:val="single" w:sz="6" w:space="0" w:color="auto"/>
              <w:left w:val="single" w:sz="6" w:space="0" w:color="auto"/>
              <w:bottom w:val="single" w:sz="6" w:space="0" w:color="auto"/>
              <w:right w:val="single" w:sz="6" w:space="0" w:color="auto"/>
            </w:tcBorders>
          </w:tcPr>
          <w:p w14:paraId="7C1683B1" w14:textId="77777777" w:rsidR="00565A62" w:rsidRPr="00F66F6C" w:rsidRDefault="0029108A" w:rsidP="00565A62">
            <w:pPr>
              <w:autoSpaceDE w:val="0"/>
              <w:autoSpaceDN w:val="0"/>
              <w:adjustRightInd w:val="0"/>
              <w:spacing w:after="0"/>
              <w:rPr>
                <w:color w:val="000000"/>
                <w:szCs w:val="22"/>
              </w:rPr>
            </w:pPr>
            <w:r w:rsidRPr="00F66F6C">
              <w:rPr>
                <w:color w:val="000000"/>
                <w:szCs w:val="22"/>
              </w:rPr>
              <w:t>Regulated Hydroelectric Generation Adjustment Amount</w:t>
            </w:r>
          </w:p>
        </w:tc>
      </w:tr>
      <w:tr w:rsidR="00565A62" w:rsidRPr="004C590F" w14:paraId="7AA59F7D" w14:textId="77777777" w:rsidTr="00CB053F">
        <w:trPr>
          <w:trHeight w:val="374"/>
        </w:trPr>
        <w:tc>
          <w:tcPr>
            <w:tcW w:w="2516" w:type="dxa"/>
            <w:tcBorders>
              <w:top w:val="single" w:sz="6" w:space="0" w:color="auto"/>
              <w:left w:val="single" w:sz="6" w:space="0" w:color="auto"/>
              <w:bottom w:val="single" w:sz="6" w:space="0" w:color="auto"/>
              <w:right w:val="single" w:sz="6" w:space="0" w:color="auto"/>
            </w:tcBorders>
          </w:tcPr>
          <w:p w14:paraId="1C797594" w14:textId="77777777" w:rsidR="00565A62" w:rsidRPr="00F66F6C" w:rsidRDefault="00645431" w:rsidP="00565A62">
            <w:pPr>
              <w:autoSpaceDE w:val="0"/>
              <w:autoSpaceDN w:val="0"/>
              <w:adjustRightInd w:val="0"/>
              <w:spacing w:after="0"/>
              <w:jc w:val="center"/>
              <w:rPr>
                <w:color w:val="000000"/>
                <w:szCs w:val="22"/>
              </w:rPr>
            </w:pPr>
            <w:r w:rsidRPr="00F66F6C">
              <w:rPr>
                <w:color w:val="000000"/>
                <w:szCs w:val="22"/>
              </w:rPr>
              <w:t>1400</w:t>
            </w:r>
          </w:p>
        </w:tc>
        <w:tc>
          <w:tcPr>
            <w:tcW w:w="6574" w:type="dxa"/>
            <w:tcBorders>
              <w:top w:val="single" w:sz="6" w:space="0" w:color="auto"/>
              <w:left w:val="single" w:sz="6" w:space="0" w:color="auto"/>
              <w:bottom w:val="single" w:sz="6" w:space="0" w:color="auto"/>
              <w:right w:val="single" w:sz="6" w:space="0" w:color="auto"/>
            </w:tcBorders>
          </w:tcPr>
          <w:p w14:paraId="7AA081EF" w14:textId="77777777" w:rsidR="00565A62" w:rsidRPr="00F66F6C" w:rsidRDefault="0029108A" w:rsidP="00565A62">
            <w:pPr>
              <w:autoSpaceDE w:val="0"/>
              <w:autoSpaceDN w:val="0"/>
              <w:adjustRightInd w:val="0"/>
              <w:spacing w:after="0"/>
              <w:rPr>
                <w:color w:val="000000"/>
                <w:szCs w:val="22"/>
              </w:rPr>
            </w:pPr>
            <w:r w:rsidRPr="00F66F6C">
              <w:rPr>
                <w:color w:val="000000"/>
                <w:szCs w:val="22"/>
              </w:rPr>
              <w:t>OPA Contract Adjustment Settlement Amount</w:t>
            </w:r>
          </w:p>
        </w:tc>
      </w:tr>
      <w:tr w:rsidR="00565A62" w:rsidRPr="004C590F" w14:paraId="5D989C29" w14:textId="77777777" w:rsidTr="00CB053F">
        <w:trPr>
          <w:trHeight w:val="374"/>
        </w:trPr>
        <w:tc>
          <w:tcPr>
            <w:tcW w:w="2516" w:type="dxa"/>
            <w:tcBorders>
              <w:top w:val="single" w:sz="6" w:space="0" w:color="auto"/>
              <w:left w:val="single" w:sz="6" w:space="0" w:color="auto"/>
              <w:bottom w:val="single" w:sz="6" w:space="0" w:color="auto"/>
              <w:right w:val="single" w:sz="6" w:space="0" w:color="auto"/>
            </w:tcBorders>
          </w:tcPr>
          <w:p w14:paraId="3EE46D61" w14:textId="77777777" w:rsidR="00565A62" w:rsidRPr="00F66F6C" w:rsidRDefault="00645431" w:rsidP="00565A62">
            <w:pPr>
              <w:autoSpaceDE w:val="0"/>
              <w:autoSpaceDN w:val="0"/>
              <w:adjustRightInd w:val="0"/>
              <w:spacing w:after="0"/>
              <w:jc w:val="center"/>
              <w:rPr>
                <w:color w:val="000000"/>
                <w:szCs w:val="22"/>
              </w:rPr>
            </w:pPr>
            <w:r w:rsidRPr="00F66F6C">
              <w:rPr>
                <w:color w:val="000000"/>
                <w:szCs w:val="22"/>
              </w:rPr>
              <w:t>1410</w:t>
            </w:r>
          </w:p>
        </w:tc>
        <w:tc>
          <w:tcPr>
            <w:tcW w:w="6574" w:type="dxa"/>
            <w:tcBorders>
              <w:top w:val="single" w:sz="6" w:space="0" w:color="auto"/>
              <w:left w:val="single" w:sz="6" w:space="0" w:color="auto"/>
              <w:bottom w:val="single" w:sz="6" w:space="0" w:color="auto"/>
              <w:right w:val="single" w:sz="6" w:space="0" w:color="auto"/>
            </w:tcBorders>
          </w:tcPr>
          <w:p w14:paraId="5C44FC87" w14:textId="77777777" w:rsidR="00565A62" w:rsidRPr="00F66F6C" w:rsidRDefault="0029108A" w:rsidP="00565A62">
            <w:pPr>
              <w:autoSpaceDE w:val="0"/>
              <w:autoSpaceDN w:val="0"/>
              <w:adjustRightInd w:val="0"/>
              <w:spacing w:after="0"/>
              <w:rPr>
                <w:color w:val="000000"/>
                <w:szCs w:val="22"/>
              </w:rPr>
            </w:pPr>
            <w:r w:rsidRPr="00F66F6C">
              <w:rPr>
                <w:color w:val="000000"/>
                <w:szCs w:val="22"/>
              </w:rPr>
              <w:t>Renewable Energy Standard Offer Program Settlement Amount</w:t>
            </w:r>
          </w:p>
        </w:tc>
      </w:tr>
      <w:tr w:rsidR="00565A62" w:rsidRPr="004C590F" w14:paraId="4A57333D" w14:textId="77777777" w:rsidTr="00CB053F">
        <w:trPr>
          <w:trHeight w:val="374"/>
        </w:trPr>
        <w:tc>
          <w:tcPr>
            <w:tcW w:w="2516" w:type="dxa"/>
            <w:tcBorders>
              <w:top w:val="single" w:sz="6" w:space="0" w:color="auto"/>
              <w:left w:val="single" w:sz="6" w:space="0" w:color="auto"/>
              <w:bottom w:val="single" w:sz="6" w:space="0" w:color="auto"/>
              <w:right w:val="single" w:sz="6" w:space="0" w:color="auto"/>
            </w:tcBorders>
          </w:tcPr>
          <w:p w14:paraId="42ABB7EC" w14:textId="77777777" w:rsidR="00565A62" w:rsidRPr="00F66F6C" w:rsidRDefault="00645431" w:rsidP="00565A62">
            <w:pPr>
              <w:autoSpaceDE w:val="0"/>
              <w:autoSpaceDN w:val="0"/>
              <w:adjustRightInd w:val="0"/>
              <w:spacing w:after="0"/>
              <w:jc w:val="center"/>
              <w:rPr>
                <w:color w:val="000000"/>
                <w:szCs w:val="22"/>
              </w:rPr>
            </w:pPr>
            <w:r w:rsidRPr="00F66F6C">
              <w:rPr>
                <w:color w:val="000000"/>
                <w:szCs w:val="22"/>
              </w:rPr>
              <w:t>1411</w:t>
            </w:r>
          </w:p>
        </w:tc>
        <w:tc>
          <w:tcPr>
            <w:tcW w:w="6574" w:type="dxa"/>
            <w:tcBorders>
              <w:top w:val="single" w:sz="6" w:space="0" w:color="auto"/>
              <w:left w:val="single" w:sz="6" w:space="0" w:color="auto"/>
              <w:bottom w:val="single" w:sz="6" w:space="0" w:color="auto"/>
              <w:right w:val="single" w:sz="6" w:space="0" w:color="auto"/>
            </w:tcBorders>
          </w:tcPr>
          <w:p w14:paraId="50BBA935" w14:textId="77777777" w:rsidR="00565A62" w:rsidRPr="00F66F6C" w:rsidRDefault="0029108A" w:rsidP="00565A62">
            <w:pPr>
              <w:autoSpaceDE w:val="0"/>
              <w:autoSpaceDN w:val="0"/>
              <w:adjustRightInd w:val="0"/>
              <w:spacing w:after="0"/>
              <w:rPr>
                <w:color w:val="000000"/>
                <w:szCs w:val="22"/>
              </w:rPr>
            </w:pPr>
            <w:r w:rsidRPr="00F66F6C">
              <w:rPr>
                <w:color w:val="000000"/>
                <w:szCs w:val="22"/>
              </w:rPr>
              <w:t>Clean Energy Standard Offer Program Settlement Amount</w:t>
            </w:r>
          </w:p>
        </w:tc>
      </w:tr>
      <w:tr w:rsidR="00565A62" w:rsidRPr="004C590F" w14:paraId="35C11496" w14:textId="77777777" w:rsidTr="00CB053F">
        <w:trPr>
          <w:trHeight w:val="374"/>
        </w:trPr>
        <w:tc>
          <w:tcPr>
            <w:tcW w:w="2516" w:type="dxa"/>
            <w:tcBorders>
              <w:top w:val="single" w:sz="6" w:space="0" w:color="auto"/>
              <w:left w:val="single" w:sz="6" w:space="0" w:color="auto"/>
              <w:bottom w:val="single" w:sz="6" w:space="0" w:color="auto"/>
              <w:right w:val="single" w:sz="6" w:space="0" w:color="auto"/>
            </w:tcBorders>
          </w:tcPr>
          <w:p w14:paraId="0E5594F6" w14:textId="77777777" w:rsidR="00565A62" w:rsidRPr="00F66F6C" w:rsidRDefault="00645431" w:rsidP="00565A62">
            <w:pPr>
              <w:autoSpaceDE w:val="0"/>
              <w:autoSpaceDN w:val="0"/>
              <w:adjustRightInd w:val="0"/>
              <w:spacing w:after="0"/>
              <w:jc w:val="center"/>
              <w:rPr>
                <w:color w:val="000000"/>
                <w:szCs w:val="22"/>
              </w:rPr>
            </w:pPr>
            <w:r w:rsidRPr="00F66F6C">
              <w:rPr>
                <w:color w:val="000000"/>
                <w:szCs w:val="22"/>
              </w:rPr>
              <w:t>1412</w:t>
            </w:r>
          </w:p>
        </w:tc>
        <w:tc>
          <w:tcPr>
            <w:tcW w:w="6574" w:type="dxa"/>
            <w:tcBorders>
              <w:top w:val="single" w:sz="6" w:space="0" w:color="auto"/>
              <w:left w:val="single" w:sz="6" w:space="0" w:color="auto"/>
              <w:bottom w:val="single" w:sz="6" w:space="0" w:color="auto"/>
              <w:right w:val="single" w:sz="6" w:space="0" w:color="auto"/>
            </w:tcBorders>
          </w:tcPr>
          <w:p w14:paraId="04406721" w14:textId="77777777" w:rsidR="00565A62" w:rsidRPr="00F66F6C" w:rsidRDefault="0029108A" w:rsidP="00565A62">
            <w:pPr>
              <w:autoSpaceDE w:val="0"/>
              <w:autoSpaceDN w:val="0"/>
              <w:adjustRightInd w:val="0"/>
              <w:spacing w:after="0"/>
              <w:rPr>
                <w:color w:val="000000"/>
                <w:szCs w:val="22"/>
              </w:rPr>
            </w:pPr>
            <w:r w:rsidRPr="00F66F6C">
              <w:rPr>
                <w:color w:val="000000"/>
                <w:szCs w:val="22"/>
              </w:rPr>
              <w:t>Feed-In Tariff Program Settlement Amount</w:t>
            </w:r>
          </w:p>
        </w:tc>
      </w:tr>
      <w:tr w:rsidR="00565A62" w:rsidRPr="004C590F" w14:paraId="1349C114" w14:textId="77777777" w:rsidTr="00CB053F">
        <w:trPr>
          <w:trHeight w:val="374"/>
        </w:trPr>
        <w:tc>
          <w:tcPr>
            <w:tcW w:w="2516" w:type="dxa"/>
            <w:tcBorders>
              <w:top w:val="single" w:sz="6" w:space="0" w:color="auto"/>
              <w:left w:val="single" w:sz="6" w:space="0" w:color="auto"/>
              <w:bottom w:val="single" w:sz="6" w:space="0" w:color="auto"/>
              <w:right w:val="single" w:sz="6" w:space="0" w:color="auto"/>
            </w:tcBorders>
          </w:tcPr>
          <w:p w14:paraId="4B3F8FCA" w14:textId="77777777" w:rsidR="00565A62" w:rsidRPr="00F66F6C" w:rsidRDefault="00645431" w:rsidP="00565A62">
            <w:pPr>
              <w:autoSpaceDE w:val="0"/>
              <w:autoSpaceDN w:val="0"/>
              <w:adjustRightInd w:val="0"/>
              <w:spacing w:after="0"/>
              <w:jc w:val="center"/>
              <w:rPr>
                <w:color w:val="000000"/>
                <w:szCs w:val="22"/>
              </w:rPr>
            </w:pPr>
            <w:r w:rsidRPr="00F66F6C">
              <w:rPr>
                <w:color w:val="000000"/>
                <w:szCs w:val="22"/>
              </w:rPr>
              <w:t>1414</w:t>
            </w:r>
          </w:p>
        </w:tc>
        <w:tc>
          <w:tcPr>
            <w:tcW w:w="6574" w:type="dxa"/>
            <w:tcBorders>
              <w:top w:val="single" w:sz="6" w:space="0" w:color="auto"/>
              <w:left w:val="single" w:sz="6" w:space="0" w:color="auto"/>
              <w:bottom w:val="single" w:sz="6" w:space="0" w:color="auto"/>
              <w:right w:val="single" w:sz="6" w:space="0" w:color="auto"/>
            </w:tcBorders>
          </w:tcPr>
          <w:p w14:paraId="607C154B" w14:textId="77777777" w:rsidR="00565A62" w:rsidRPr="00F66F6C" w:rsidRDefault="0029108A" w:rsidP="00565A62">
            <w:pPr>
              <w:autoSpaceDE w:val="0"/>
              <w:autoSpaceDN w:val="0"/>
              <w:adjustRightInd w:val="0"/>
              <w:spacing w:after="0"/>
              <w:rPr>
                <w:color w:val="000000"/>
                <w:szCs w:val="22"/>
              </w:rPr>
            </w:pPr>
            <w:r w:rsidRPr="00F66F6C">
              <w:rPr>
                <w:color w:val="000000"/>
                <w:szCs w:val="22"/>
              </w:rPr>
              <w:t>Hydroelectric Contract Initiative Settlement Amount</w:t>
            </w:r>
          </w:p>
        </w:tc>
      </w:tr>
      <w:tr w:rsidR="00565A62" w:rsidRPr="004C590F" w14:paraId="1C569C5D" w14:textId="77777777" w:rsidTr="00CB053F">
        <w:trPr>
          <w:trHeight w:val="374"/>
        </w:trPr>
        <w:tc>
          <w:tcPr>
            <w:tcW w:w="2516" w:type="dxa"/>
            <w:tcBorders>
              <w:top w:val="single" w:sz="6" w:space="0" w:color="auto"/>
              <w:left w:val="single" w:sz="6" w:space="0" w:color="auto"/>
              <w:bottom w:val="single" w:sz="6" w:space="0" w:color="auto"/>
              <w:right w:val="single" w:sz="6" w:space="0" w:color="auto"/>
            </w:tcBorders>
          </w:tcPr>
          <w:p w14:paraId="0F80E626" w14:textId="77777777" w:rsidR="00565A62" w:rsidRPr="00F66F6C" w:rsidRDefault="00645431" w:rsidP="00565A62">
            <w:pPr>
              <w:autoSpaceDE w:val="0"/>
              <w:autoSpaceDN w:val="0"/>
              <w:adjustRightInd w:val="0"/>
              <w:spacing w:after="0"/>
              <w:jc w:val="center"/>
              <w:rPr>
                <w:color w:val="000000"/>
                <w:szCs w:val="22"/>
              </w:rPr>
            </w:pPr>
            <w:r w:rsidRPr="00F66F6C">
              <w:rPr>
                <w:color w:val="000000"/>
                <w:szCs w:val="22"/>
              </w:rPr>
              <w:t>1416</w:t>
            </w:r>
          </w:p>
        </w:tc>
        <w:tc>
          <w:tcPr>
            <w:tcW w:w="6574" w:type="dxa"/>
            <w:tcBorders>
              <w:top w:val="single" w:sz="6" w:space="0" w:color="auto"/>
              <w:left w:val="single" w:sz="6" w:space="0" w:color="auto"/>
              <w:bottom w:val="single" w:sz="6" w:space="0" w:color="auto"/>
              <w:right w:val="single" w:sz="6" w:space="0" w:color="auto"/>
            </w:tcBorders>
          </w:tcPr>
          <w:p w14:paraId="5F09F706" w14:textId="77777777" w:rsidR="00565A62" w:rsidRPr="00F66F6C" w:rsidRDefault="0029108A" w:rsidP="00565A62">
            <w:pPr>
              <w:autoSpaceDE w:val="0"/>
              <w:autoSpaceDN w:val="0"/>
              <w:adjustRightInd w:val="0"/>
              <w:spacing w:after="0"/>
              <w:rPr>
                <w:color w:val="000000"/>
                <w:szCs w:val="22"/>
              </w:rPr>
            </w:pPr>
            <w:r w:rsidRPr="00F66F6C">
              <w:rPr>
                <w:color w:val="000000"/>
                <w:szCs w:val="22"/>
              </w:rPr>
              <w:t>Conservation and Demand Management – Compensation Settlement Credit</w:t>
            </w:r>
          </w:p>
        </w:tc>
      </w:tr>
      <w:tr w:rsidR="00A45356" w:rsidRPr="004C590F" w14:paraId="50BFF4EE" w14:textId="77777777" w:rsidTr="00CB053F">
        <w:trPr>
          <w:trHeight w:val="374"/>
        </w:trPr>
        <w:tc>
          <w:tcPr>
            <w:tcW w:w="2516" w:type="dxa"/>
            <w:tcBorders>
              <w:top w:val="single" w:sz="6" w:space="0" w:color="auto"/>
              <w:left w:val="single" w:sz="6" w:space="0" w:color="auto"/>
              <w:bottom w:val="single" w:sz="6" w:space="0" w:color="auto"/>
              <w:right w:val="single" w:sz="6" w:space="0" w:color="auto"/>
            </w:tcBorders>
          </w:tcPr>
          <w:p w14:paraId="41B966F0" w14:textId="77777777" w:rsidR="00A45356" w:rsidRPr="00F66F6C" w:rsidRDefault="00A45356" w:rsidP="00565A62">
            <w:pPr>
              <w:autoSpaceDE w:val="0"/>
              <w:autoSpaceDN w:val="0"/>
              <w:adjustRightInd w:val="0"/>
              <w:spacing w:after="0"/>
              <w:jc w:val="center"/>
              <w:rPr>
                <w:color w:val="000000"/>
                <w:szCs w:val="22"/>
              </w:rPr>
            </w:pPr>
            <w:r>
              <w:rPr>
                <w:color w:val="000000"/>
                <w:szCs w:val="22"/>
              </w:rPr>
              <w:t>1418</w:t>
            </w:r>
          </w:p>
        </w:tc>
        <w:tc>
          <w:tcPr>
            <w:tcW w:w="6574" w:type="dxa"/>
            <w:tcBorders>
              <w:top w:val="single" w:sz="6" w:space="0" w:color="auto"/>
              <w:left w:val="single" w:sz="6" w:space="0" w:color="auto"/>
              <w:bottom w:val="single" w:sz="6" w:space="0" w:color="auto"/>
              <w:right w:val="single" w:sz="6" w:space="0" w:color="auto"/>
            </w:tcBorders>
          </w:tcPr>
          <w:p w14:paraId="00AEE626" w14:textId="77777777" w:rsidR="00A45356" w:rsidRPr="00F66F6C" w:rsidRDefault="00A45356" w:rsidP="00565A62">
            <w:pPr>
              <w:autoSpaceDE w:val="0"/>
              <w:autoSpaceDN w:val="0"/>
              <w:adjustRightInd w:val="0"/>
              <w:spacing w:after="0"/>
              <w:rPr>
                <w:color w:val="000000"/>
                <w:szCs w:val="22"/>
              </w:rPr>
            </w:pPr>
            <w:r>
              <w:rPr>
                <w:color w:val="000000"/>
                <w:szCs w:val="22"/>
              </w:rPr>
              <w:t>Biomass Non-Utility Generation Contracts Settlement Amount</w:t>
            </w:r>
          </w:p>
        </w:tc>
      </w:tr>
      <w:tr w:rsidR="00A45356" w:rsidRPr="004C590F" w14:paraId="0E9BECAF" w14:textId="77777777" w:rsidTr="00CB053F">
        <w:trPr>
          <w:trHeight w:val="374"/>
        </w:trPr>
        <w:tc>
          <w:tcPr>
            <w:tcW w:w="2516" w:type="dxa"/>
            <w:tcBorders>
              <w:top w:val="single" w:sz="6" w:space="0" w:color="auto"/>
              <w:left w:val="single" w:sz="6" w:space="0" w:color="auto"/>
              <w:bottom w:val="single" w:sz="6" w:space="0" w:color="auto"/>
              <w:right w:val="single" w:sz="6" w:space="0" w:color="auto"/>
            </w:tcBorders>
          </w:tcPr>
          <w:p w14:paraId="6F241FFB" w14:textId="77777777" w:rsidR="00A45356" w:rsidRPr="00F66F6C" w:rsidRDefault="00A45356" w:rsidP="00565A62">
            <w:pPr>
              <w:autoSpaceDE w:val="0"/>
              <w:autoSpaceDN w:val="0"/>
              <w:adjustRightInd w:val="0"/>
              <w:spacing w:after="0"/>
              <w:jc w:val="center"/>
              <w:rPr>
                <w:color w:val="000000"/>
                <w:szCs w:val="22"/>
              </w:rPr>
            </w:pPr>
            <w:r>
              <w:rPr>
                <w:color w:val="000000"/>
                <w:szCs w:val="22"/>
              </w:rPr>
              <w:t>1419</w:t>
            </w:r>
          </w:p>
        </w:tc>
        <w:tc>
          <w:tcPr>
            <w:tcW w:w="6574" w:type="dxa"/>
            <w:tcBorders>
              <w:top w:val="single" w:sz="6" w:space="0" w:color="auto"/>
              <w:left w:val="single" w:sz="6" w:space="0" w:color="auto"/>
              <w:bottom w:val="single" w:sz="6" w:space="0" w:color="auto"/>
              <w:right w:val="single" w:sz="6" w:space="0" w:color="auto"/>
            </w:tcBorders>
          </w:tcPr>
          <w:p w14:paraId="57EBDD76" w14:textId="77777777" w:rsidR="00A45356" w:rsidRPr="00F66F6C" w:rsidRDefault="00A45356" w:rsidP="00565A62">
            <w:pPr>
              <w:autoSpaceDE w:val="0"/>
              <w:autoSpaceDN w:val="0"/>
              <w:adjustRightInd w:val="0"/>
              <w:spacing w:after="0"/>
              <w:rPr>
                <w:color w:val="000000"/>
                <w:szCs w:val="22"/>
              </w:rPr>
            </w:pPr>
            <w:r>
              <w:rPr>
                <w:color w:val="000000"/>
                <w:szCs w:val="22"/>
              </w:rPr>
              <w:t>Energy from Waste (EFW) Contracts Settlement Amount</w:t>
            </w:r>
          </w:p>
        </w:tc>
      </w:tr>
      <w:tr w:rsidR="000F4C7E" w:rsidRPr="004C590F" w14:paraId="528D8521" w14:textId="77777777" w:rsidTr="00CB053F">
        <w:trPr>
          <w:trHeight w:val="374"/>
        </w:trPr>
        <w:tc>
          <w:tcPr>
            <w:tcW w:w="2516" w:type="dxa"/>
            <w:tcBorders>
              <w:top w:val="single" w:sz="6" w:space="0" w:color="auto"/>
              <w:left w:val="single" w:sz="6" w:space="0" w:color="auto"/>
              <w:bottom w:val="single" w:sz="6" w:space="0" w:color="auto"/>
              <w:right w:val="single" w:sz="6" w:space="0" w:color="auto"/>
            </w:tcBorders>
          </w:tcPr>
          <w:p w14:paraId="0ED3AFDF" w14:textId="77777777" w:rsidR="000F4C7E" w:rsidRDefault="000F4C7E" w:rsidP="00565A62">
            <w:pPr>
              <w:autoSpaceDE w:val="0"/>
              <w:autoSpaceDN w:val="0"/>
              <w:adjustRightInd w:val="0"/>
              <w:spacing w:after="0"/>
              <w:jc w:val="center"/>
              <w:rPr>
                <w:color w:val="000000"/>
                <w:szCs w:val="22"/>
              </w:rPr>
            </w:pPr>
            <w:r>
              <w:rPr>
                <w:color w:val="000000"/>
                <w:szCs w:val="22"/>
              </w:rPr>
              <w:t>1421</w:t>
            </w:r>
          </w:p>
        </w:tc>
        <w:tc>
          <w:tcPr>
            <w:tcW w:w="6574" w:type="dxa"/>
            <w:tcBorders>
              <w:top w:val="single" w:sz="6" w:space="0" w:color="auto"/>
              <w:left w:val="single" w:sz="6" w:space="0" w:color="auto"/>
              <w:bottom w:val="single" w:sz="6" w:space="0" w:color="auto"/>
              <w:right w:val="single" w:sz="6" w:space="0" w:color="auto"/>
            </w:tcBorders>
          </w:tcPr>
          <w:p w14:paraId="6A0EBDA0" w14:textId="77777777" w:rsidR="000F4C7E" w:rsidRDefault="000F4C7E" w:rsidP="00565A62">
            <w:pPr>
              <w:autoSpaceDE w:val="0"/>
              <w:autoSpaceDN w:val="0"/>
              <w:adjustRightInd w:val="0"/>
              <w:spacing w:after="0"/>
              <w:rPr>
                <w:color w:val="000000"/>
                <w:szCs w:val="22"/>
              </w:rPr>
            </w:pPr>
            <w:r>
              <w:rPr>
                <w:color w:val="000000"/>
                <w:szCs w:val="22"/>
              </w:rPr>
              <w:t>Capacity Agreement Settlement Credit</w:t>
            </w:r>
          </w:p>
        </w:tc>
      </w:tr>
      <w:tr w:rsidR="000F4C7E" w:rsidRPr="004C590F" w14:paraId="77A4CA86" w14:textId="77777777" w:rsidTr="00CB053F">
        <w:trPr>
          <w:trHeight w:val="374"/>
        </w:trPr>
        <w:tc>
          <w:tcPr>
            <w:tcW w:w="2516" w:type="dxa"/>
            <w:tcBorders>
              <w:top w:val="single" w:sz="6" w:space="0" w:color="auto"/>
              <w:left w:val="single" w:sz="6" w:space="0" w:color="auto"/>
              <w:bottom w:val="single" w:sz="6" w:space="0" w:color="auto"/>
              <w:right w:val="single" w:sz="6" w:space="0" w:color="auto"/>
            </w:tcBorders>
          </w:tcPr>
          <w:p w14:paraId="1A39334F" w14:textId="77777777" w:rsidR="000F4C7E" w:rsidRDefault="000F4C7E" w:rsidP="00565A62">
            <w:pPr>
              <w:autoSpaceDE w:val="0"/>
              <w:autoSpaceDN w:val="0"/>
              <w:adjustRightInd w:val="0"/>
              <w:spacing w:after="0"/>
              <w:jc w:val="center"/>
              <w:rPr>
                <w:color w:val="000000"/>
                <w:szCs w:val="22"/>
              </w:rPr>
            </w:pPr>
            <w:r>
              <w:rPr>
                <w:color w:val="000000"/>
                <w:szCs w:val="22"/>
              </w:rPr>
              <w:t>1422</w:t>
            </w:r>
          </w:p>
        </w:tc>
        <w:tc>
          <w:tcPr>
            <w:tcW w:w="6574" w:type="dxa"/>
            <w:tcBorders>
              <w:top w:val="single" w:sz="6" w:space="0" w:color="auto"/>
              <w:left w:val="single" w:sz="6" w:space="0" w:color="auto"/>
              <w:bottom w:val="single" w:sz="6" w:space="0" w:color="auto"/>
              <w:right w:val="single" w:sz="6" w:space="0" w:color="auto"/>
            </w:tcBorders>
          </w:tcPr>
          <w:p w14:paraId="1F721BE4" w14:textId="77777777" w:rsidR="000F4C7E" w:rsidRDefault="000F4C7E" w:rsidP="00565A62">
            <w:pPr>
              <w:autoSpaceDE w:val="0"/>
              <w:autoSpaceDN w:val="0"/>
              <w:adjustRightInd w:val="0"/>
              <w:spacing w:after="0"/>
              <w:rPr>
                <w:color w:val="000000"/>
                <w:szCs w:val="22"/>
              </w:rPr>
            </w:pPr>
            <w:r>
              <w:rPr>
                <w:color w:val="000000"/>
                <w:szCs w:val="22"/>
              </w:rPr>
              <w:t>Capacity Agreement Penalty Settlement Amount</w:t>
            </w:r>
          </w:p>
        </w:tc>
      </w:tr>
      <w:tr w:rsidR="000F4C7E" w:rsidRPr="004C590F" w14:paraId="5955BD34" w14:textId="77777777" w:rsidTr="00CB053F">
        <w:trPr>
          <w:trHeight w:val="374"/>
        </w:trPr>
        <w:tc>
          <w:tcPr>
            <w:tcW w:w="2516" w:type="dxa"/>
            <w:tcBorders>
              <w:top w:val="single" w:sz="6" w:space="0" w:color="auto"/>
              <w:left w:val="single" w:sz="6" w:space="0" w:color="auto"/>
              <w:bottom w:val="single" w:sz="6" w:space="0" w:color="auto"/>
              <w:right w:val="single" w:sz="6" w:space="0" w:color="auto"/>
            </w:tcBorders>
          </w:tcPr>
          <w:p w14:paraId="07FA6893" w14:textId="77777777" w:rsidR="000F4C7E" w:rsidRDefault="000F4C7E" w:rsidP="00565A62">
            <w:pPr>
              <w:autoSpaceDE w:val="0"/>
              <w:autoSpaceDN w:val="0"/>
              <w:adjustRightInd w:val="0"/>
              <w:spacing w:after="0"/>
              <w:jc w:val="center"/>
              <w:rPr>
                <w:color w:val="000000"/>
                <w:szCs w:val="22"/>
              </w:rPr>
            </w:pPr>
            <w:r>
              <w:rPr>
                <w:color w:val="000000"/>
                <w:szCs w:val="22"/>
              </w:rPr>
              <w:t>1423</w:t>
            </w:r>
          </w:p>
        </w:tc>
        <w:tc>
          <w:tcPr>
            <w:tcW w:w="6574" w:type="dxa"/>
            <w:tcBorders>
              <w:top w:val="single" w:sz="6" w:space="0" w:color="auto"/>
              <w:left w:val="single" w:sz="6" w:space="0" w:color="auto"/>
              <w:bottom w:val="single" w:sz="6" w:space="0" w:color="auto"/>
              <w:right w:val="single" w:sz="6" w:space="0" w:color="auto"/>
            </w:tcBorders>
          </w:tcPr>
          <w:p w14:paraId="2C8A867A" w14:textId="77777777" w:rsidR="000F4C7E" w:rsidRDefault="000F4C7E" w:rsidP="00565A62">
            <w:pPr>
              <w:autoSpaceDE w:val="0"/>
              <w:autoSpaceDN w:val="0"/>
              <w:adjustRightInd w:val="0"/>
              <w:spacing w:after="0"/>
              <w:rPr>
                <w:color w:val="000000"/>
                <w:szCs w:val="22"/>
              </w:rPr>
            </w:pPr>
            <w:r>
              <w:rPr>
                <w:color w:val="000000"/>
                <w:szCs w:val="22"/>
              </w:rPr>
              <w:t>Energy Sales Agreement Settlement Credit</w:t>
            </w:r>
          </w:p>
        </w:tc>
      </w:tr>
      <w:tr w:rsidR="000F4C7E" w:rsidRPr="004C590F" w14:paraId="5ADA111A" w14:textId="77777777" w:rsidTr="00CB053F">
        <w:trPr>
          <w:trHeight w:val="374"/>
        </w:trPr>
        <w:tc>
          <w:tcPr>
            <w:tcW w:w="2516" w:type="dxa"/>
            <w:tcBorders>
              <w:top w:val="single" w:sz="6" w:space="0" w:color="auto"/>
              <w:left w:val="single" w:sz="6" w:space="0" w:color="auto"/>
              <w:bottom w:val="single" w:sz="6" w:space="0" w:color="auto"/>
              <w:right w:val="single" w:sz="6" w:space="0" w:color="auto"/>
            </w:tcBorders>
          </w:tcPr>
          <w:p w14:paraId="49484749" w14:textId="77777777" w:rsidR="000F4C7E" w:rsidRDefault="000F4C7E" w:rsidP="00565A62">
            <w:pPr>
              <w:autoSpaceDE w:val="0"/>
              <w:autoSpaceDN w:val="0"/>
              <w:adjustRightInd w:val="0"/>
              <w:spacing w:after="0"/>
              <w:jc w:val="center"/>
              <w:rPr>
                <w:color w:val="000000"/>
                <w:szCs w:val="22"/>
              </w:rPr>
            </w:pPr>
            <w:r>
              <w:rPr>
                <w:color w:val="000000"/>
                <w:szCs w:val="22"/>
              </w:rPr>
              <w:lastRenderedPageBreak/>
              <w:t>1424</w:t>
            </w:r>
          </w:p>
        </w:tc>
        <w:tc>
          <w:tcPr>
            <w:tcW w:w="6574" w:type="dxa"/>
            <w:tcBorders>
              <w:top w:val="single" w:sz="6" w:space="0" w:color="auto"/>
              <w:left w:val="single" w:sz="6" w:space="0" w:color="auto"/>
              <w:bottom w:val="single" w:sz="6" w:space="0" w:color="auto"/>
              <w:right w:val="single" w:sz="6" w:space="0" w:color="auto"/>
            </w:tcBorders>
          </w:tcPr>
          <w:p w14:paraId="74E39BB9" w14:textId="77777777" w:rsidR="000F4C7E" w:rsidRDefault="000F4C7E" w:rsidP="00565A62">
            <w:pPr>
              <w:autoSpaceDE w:val="0"/>
              <w:autoSpaceDN w:val="0"/>
              <w:adjustRightInd w:val="0"/>
              <w:spacing w:after="0"/>
              <w:rPr>
                <w:color w:val="000000"/>
                <w:szCs w:val="22"/>
              </w:rPr>
            </w:pPr>
            <w:r>
              <w:rPr>
                <w:color w:val="000000"/>
                <w:szCs w:val="22"/>
              </w:rPr>
              <w:t>Energy Sales Agreement Penalty Settlement Amount</w:t>
            </w:r>
          </w:p>
        </w:tc>
      </w:tr>
      <w:tr w:rsidR="00F66158" w:rsidRPr="004C590F" w14:paraId="3A672F37" w14:textId="77777777" w:rsidTr="00CB053F">
        <w:trPr>
          <w:trHeight w:val="374"/>
        </w:trPr>
        <w:tc>
          <w:tcPr>
            <w:tcW w:w="2516" w:type="dxa"/>
            <w:tcBorders>
              <w:top w:val="single" w:sz="6" w:space="0" w:color="auto"/>
              <w:left w:val="single" w:sz="6" w:space="0" w:color="auto"/>
              <w:bottom w:val="single" w:sz="6" w:space="0" w:color="auto"/>
              <w:right w:val="single" w:sz="6" w:space="0" w:color="auto"/>
            </w:tcBorders>
          </w:tcPr>
          <w:p w14:paraId="7ACEE6E3" w14:textId="77777777" w:rsidR="00F66158" w:rsidRDefault="00F66158" w:rsidP="00565A62">
            <w:pPr>
              <w:autoSpaceDE w:val="0"/>
              <w:autoSpaceDN w:val="0"/>
              <w:adjustRightInd w:val="0"/>
              <w:spacing w:after="0"/>
              <w:jc w:val="center"/>
              <w:rPr>
                <w:color w:val="000000"/>
                <w:szCs w:val="22"/>
              </w:rPr>
            </w:pPr>
            <w:r>
              <w:rPr>
                <w:color w:val="000000"/>
                <w:szCs w:val="22"/>
              </w:rPr>
              <w:t>1425</w:t>
            </w:r>
          </w:p>
        </w:tc>
        <w:tc>
          <w:tcPr>
            <w:tcW w:w="6574" w:type="dxa"/>
            <w:tcBorders>
              <w:top w:val="single" w:sz="6" w:space="0" w:color="auto"/>
              <w:left w:val="single" w:sz="6" w:space="0" w:color="auto"/>
              <w:bottom w:val="single" w:sz="6" w:space="0" w:color="auto"/>
              <w:right w:val="single" w:sz="6" w:space="0" w:color="auto"/>
            </w:tcBorders>
          </w:tcPr>
          <w:p w14:paraId="6E7C8780" w14:textId="77777777" w:rsidR="00F66158" w:rsidRDefault="00F66158" w:rsidP="00565A62">
            <w:pPr>
              <w:autoSpaceDE w:val="0"/>
              <w:autoSpaceDN w:val="0"/>
              <w:adjustRightInd w:val="0"/>
              <w:spacing w:after="0"/>
              <w:rPr>
                <w:color w:val="000000"/>
                <w:szCs w:val="22"/>
              </w:rPr>
            </w:pPr>
            <w:r w:rsidRPr="00AA3056">
              <w:rPr>
                <w:color w:val="000000"/>
                <w:szCs w:val="22"/>
              </w:rPr>
              <w:t xml:space="preserve">Hydroelectric Standard Offer Program </w:t>
            </w:r>
            <w:r>
              <w:rPr>
                <w:color w:val="000000"/>
                <w:szCs w:val="22"/>
              </w:rPr>
              <w:t>Settlement</w:t>
            </w:r>
            <w:r w:rsidRPr="00AA3056">
              <w:rPr>
                <w:color w:val="000000"/>
                <w:szCs w:val="22"/>
              </w:rPr>
              <w:t xml:space="preserve"> Amount</w:t>
            </w:r>
          </w:p>
        </w:tc>
      </w:tr>
    </w:tbl>
    <w:p w14:paraId="238B123F" w14:textId="77777777" w:rsidR="004A745A" w:rsidRDefault="004A745A">
      <w:pPr>
        <w:rPr>
          <w:szCs w:val="22"/>
        </w:rPr>
      </w:pPr>
    </w:p>
    <w:p w14:paraId="2947B662" w14:textId="77777777" w:rsidR="003F5E04" w:rsidRPr="00770452" w:rsidRDefault="0029108A" w:rsidP="001635E8">
      <w:pPr>
        <w:pStyle w:val="BodyText"/>
        <w:pageBreakBefore/>
        <w:rPr>
          <w:rFonts w:ascii="Arial" w:hAnsi="Arial" w:cs="Arial"/>
          <w:b/>
          <w:sz w:val="24"/>
          <w:szCs w:val="24"/>
          <w:u w:val="single"/>
        </w:rPr>
      </w:pPr>
      <w:r w:rsidRPr="0029108A">
        <w:rPr>
          <w:rFonts w:ascii="Arial" w:hAnsi="Arial" w:cs="Arial"/>
          <w:b/>
          <w:sz w:val="24"/>
          <w:szCs w:val="24"/>
          <w:u w:val="single"/>
        </w:rPr>
        <w:lastRenderedPageBreak/>
        <w:t>Market Participant Load Facility Classification</w:t>
      </w:r>
    </w:p>
    <w:p w14:paraId="3F2C899F" w14:textId="77777777" w:rsidR="001B5C9D" w:rsidRDefault="001B5C9D" w:rsidP="001B5C9D">
      <w:r>
        <w:t xml:space="preserve">Your portion of the Global Adjustment depends on the amount of load you withdraw from the </w:t>
      </w:r>
      <w:r w:rsidR="00161C7C" w:rsidRPr="00161C7C">
        <w:rPr>
          <w:i/>
        </w:rPr>
        <w:t>IESO controlled grid</w:t>
      </w:r>
      <w:r w:rsidR="008F45B8">
        <w:rPr>
          <w:i/>
        </w:rPr>
        <w:t xml:space="preserve"> </w:t>
      </w:r>
      <w:r w:rsidR="008F45B8">
        <w:t xml:space="preserve">at each of your </w:t>
      </w:r>
      <w:r w:rsidR="0029108A" w:rsidRPr="0029108A">
        <w:rPr>
          <w:i/>
        </w:rPr>
        <w:t>load facilities</w:t>
      </w:r>
      <w:r>
        <w:t xml:space="preserve">.  There are two </w:t>
      </w:r>
      <w:r w:rsidR="008F45B8">
        <w:t xml:space="preserve">methods for </w:t>
      </w:r>
      <w:r>
        <w:t>the distribution of the Global Adjustment.</w:t>
      </w:r>
    </w:p>
    <w:p w14:paraId="2AA85F32" w14:textId="77777777" w:rsidR="004A745A" w:rsidRDefault="00B7472A" w:rsidP="001635E8">
      <w:pPr>
        <w:pStyle w:val="BodyText"/>
        <w:keepNext/>
        <w:spacing w:before="240"/>
        <w:rPr>
          <w:rFonts w:ascii="Arial" w:hAnsi="Arial" w:cs="Arial"/>
          <w:b/>
          <w:sz w:val="24"/>
          <w:szCs w:val="24"/>
        </w:rPr>
      </w:pPr>
      <w:r>
        <w:rPr>
          <w:rFonts w:ascii="Arial" w:hAnsi="Arial" w:cs="Arial"/>
          <w:b/>
          <w:sz w:val="24"/>
          <w:szCs w:val="24"/>
        </w:rPr>
        <w:t>Method 1</w:t>
      </w:r>
      <w:r w:rsidR="00A45356">
        <w:rPr>
          <w:rFonts w:ascii="Arial" w:hAnsi="Arial" w:cs="Arial"/>
          <w:b/>
          <w:sz w:val="24"/>
          <w:szCs w:val="24"/>
        </w:rPr>
        <w:t>A</w:t>
      </w:r>
      <w:r>
        <w:rPr>
          <w:rFonts w:ascii="Arial" w:hAnsi="Arial" w:cs="Arial"/>
          <w:b/>
          <w:sz w:val="24"/>
          <w:szCs w:val="24"/>
        </w:rPr>
        <w:t xml:space="preserve"> - </w:t>
      </w:r>
      <w:r w:rsidR="0029108A" w:rsidRPr="0029108A">
        <w:rPr>
          <w:rFonts w:ascii="Arial" w:hAnsi="Arial" w:cs="Arial"/>
          <w:b/>
          <w:sz w:val="24"/>
          <w:szCs w:val="24"/>
        </w:rPr>
        <w:t>Class A Market Participant Load Facilities</w:t>
      </w:r>
    </w:p>
    <w:p w14:paraId="1858D11E" w14:textId="77777777" w:rsidR="001B5C9D" w:rsidRDefault="001B5C9D" w:rsidP="001B5C9D">
      <w:r>
        <w:t xml:space="preserve">Class A </w:t>
      </w:r>
      <w:r w:rsidR="0029108A" w:rsidRPr="0029108A">
        <w:rPr>
          <w:i/>
        </w:rPr>
        <w:t>Market Participant</w:t>
      </w:r>
      <w:r>
        <w:t xml:space="preserve"> </w:t>
      </w:r>
      <w:r w:rsidR="0029108A" w:rsidRPr="0029108A">
        <w:rPr>
          <w:i/>
        </w:rPr>
        <w:t>Load Facilities</w:t>
      </w:r>
      <w:r w:rsidR="008F45B8">
        <w:t xml:space="preserve"> </w:t>
      </w:r>
      <w:r>
        <w:t>are defined by the following criteria:</w:t>
      </w:r>
    </w:p>
    <w:p w14:paraId="225B181C" w14:textId="77777777" w:rsidR="004A745A" w:rsidRDefault="00161C7C" w:rsidP="003853C6">
      <w:pPr>
        <w:pStyle w:val="paragraph-e"/>
        <w:numPr>
          <w:ilvl w:val="0"/>
          <w:numId w:val="86"/>
        </w:numPr>
        <w:tabs>
          <w:tab w:val="clear" w:pos="836"/>
          <w:tab w:val="clear" w:pos="1076"/>
        </w:tabs>
        <w:spacing w:before="120" w:after="120"/>
        <w:rPr>
          <w:sz w:val="22"/>
          <w:szCs w:val="22"/>
        </w:rPr>
      </w:pPr>
      <w:r w:rsidRPr="00161C7C">
        <w:rPr>
          <w:sz w:val="22"/>
          <w:szCs w:val="22"/>
        </w:rPr>
        <w:t xml:space="preserve">The </w:t>
      </w:r>
      <w:r w:rsidRPr="00161C7C">
        <w:rPr>
          <w:i/>
          <w:sz w:val="22"/>
          <w:szCs w:val="22"/>
        </w:rPr>
        <w:t>market participant</w:t>
      </w:r>
      <w:r w:rsidRPr="00161C7C">
        <w:rPr>
          <w:sz w:val="22"/>
          <w:szCs w:val="22"/>
        </w:rPr>
        <w:t xml:space="preserve"> is neither a licensed </w:t>
      </w:r>
      <w:r w:rsidR="00DA3379" w:rsidRPr="00DA3379">
        <w:rPr>
          <w:i/>
          <w:sz w:val="22"/>
          <w:szCs w:val="22"/>
        </w:rPr>
        <w:t>distributor</w:t>
      </w:r>
      <w:r w:rsidRPr="00161C7C">
        <w:rPr>
          <w:sz w:val="22"/>
          <w:szCs w:val="22"/>
        </w:rPr>
        <w:t xml:space="preserve"> nor a regulated </w:t>
      </w:r>
      <w:r w:rsidR="00DA3379" w:rsidRPr="00DA3379">
        <w:rPr>
          <w:i/>
          <w:sz w:val="22"/>
          <w:szCs w:val="22"/>
        </w:rPr>
        <w:t>consumer.</w:t>
      </w:r>
    </w:p>
    <w:p w14:paraId="1BB8A418" w14:textId="77777777" w:rsidR="004A745A" w:rsidRDefault="00770452" w:rsidP="003853C6">
      <w:pPr>
        <w:pStyle w:val="paragraph-e"/>
        <w:numPr>
          <w:ilvl w:val="0"/>
          <w:numId w:val="86"/>
        </w:numPr>
        <w:tabs>
          <w:tab w:val="clear" w:pos="836"/>
          <w:tab w:val="clear" w:pos="1076"/>
        </w:tabs>
        <w:spacing w:before="120" w:after="120"/>
        <w:rPr>
          <w:sz w:val="22"/>
          <w:szCs w:val="22"/>
        </w:rPr>
      </w:pPr>
      <w:r w:rsidRPr="00161C7C">
        <w:rPr>
          <w:sz w:val="22"/>
          <w:szCs w:val="22"/>
        </w:rPr>
        <w:t xml:space="preserve">The </w:t>
      </w:r>
      <w:r w:rsidR="006C4C2D">
        <w:rPr>
          <w:i/>
          <w:sz w:val="22"/>
          <w:szCs w:val="22"/>
        </w:rPr>
        <w:t>market participant</w:t>
      </w:r>
      <w:r w:rsidRPr="00161C7C">
        <w:rPr>
          <w:sz w:val="22"/>
          <w:szCs w:val="22"/>
        </w:rPr>
        <w:t xml:space="preserve"> was a </w:t>
      </w:r>
      <w:r w:rsidR="006C4C2D">
        <w:rPr>
          <w:i/>
          <w:sz w:val="22"/>
          <w:szCs w:val="22"/>
        </w:rPr>
        <w:t>market participant</w:t>
      </w:r>
      <w:r w:rsidRPr="00161C7C">
        <w:rPr>
          <w:sz w:val="22"/>
          <w:szCs w:val="22"/>
        </w:rPr>
        <w:t xml:space="preserve"> throughout the applicable </w:t>
      </w:r>
      <w:r>
        <w:rPr>
          <w:sz w:val="22"/>
          <w:szCs w:val="22"/>
        </w:rPr>
        <w:t>B</w:t>
      </w:r>
      <w:r w:rsidRPr="00161C7C">
        <w:rPr>
          <w:sz w:val="22"/>
          <w:szCs w:val="22"/>
        </w:rPr>
        <w:t xml:space="preserve">ase </w:t>
      </w:r>
      <w:r>
        <w:rPr>
          <w:sz w:val="22"/>
          <w:szCs w:val="22"/>
        </w:rPr>
        <w:t>P</w:t>
      </w:r>
      <w:r w:rsidRPr="00161C7C">
        <w:rPr>
          <w:sz w:val="22"/>
          <w:szCs w:val="22"/>
        </w:rPr>
        <w:t>eriod.</w:t>
      </w:r>
    </w:p>
    <w:p w14:paraId="157BEFDC" w14:textId="77777777" w:rsidR="004A745A" w:rsidRDefault="00161C7C" w:rsidP="003853C6">
      <w:pPr>
        <w:pStyle w:val="paragraph-e"/>
        <w:numPr>
          <w:ilvl w:val="0"/>
          <w:numId w:val="86"/>
        </w:numPr>
        <w:tabs>
          <w:tab w:val="clear" w:pos="836"/>
          <w:tab w:val="clear" w:pos="1076"/>
        </w:tabs>
        <w:spacing w:before="120" w:after="120"/>
        <w:rPr>
          <w:sz w:val="22"/>
          <w:szCs w:val="22"/>
        </w:rPr>
      </w:pPr>
      <w:r w:rsidRPr="00161C7C">
        <w:rPr>
          <w:sz w:val="22"/>
          <w:szCs w:val="22"/>
        </w:rPr>
        <w:t xml:space="preserve">The total volume of electricity, as determined by the </w:t>
      </w:r>
      <w:r w:rsidR="006C4C2D">
        <w:rPr>
          <w:i/>
          <w:sz w:val="22"/>
          <w:szCs w:val="22"/>
        </w:rPr>
        <w:t>IESO</w:t>
      </w:r>
      <w:r w:rsidRPr="00161C7C">
        <w:rPr>
          <w:sz w:val="22"/>
          <w:szCs w:val="22"/>
        </w:rPr>
        <w:t xml:space="preserve">, supplied by the </w:t>
      </w:r>
      <w:r w:rsidR="006C4C2D">
        <w:rPr>
          <w:i/>
          <w:sz w:val="22"/>
          <w:szCs w:val="22"/>
        </w:rPr>
        <w:t>market participant</w:t>
      </w:r>
      <w:r w:rsidRPr="00161C7C">
        <w:rPr>
          <w:sz w:val="22"/>
          <w:szCs w:val="22"/>
        </w:rPr>
        <w:t xml:space="preserve"> to the </w:t>
      </w:r>
      <w:r w:rsidR="006C4C2D">
        <w:rPr>
          <w:i/>
          <w:sz w:val="22"/>
          <w:szCs w:val="22"/>
        </w:rPr>
        <w:t>IESO</w:t>
      </w:r>
      <w:r w:rsidR="0029108A" w:rsidRPr="0029108A">
        <w:rPr>
          <w:sz w:val="22"/>
          <w:szCs w:val="22"/>
        </w:rPr>
        <w:t>-controlled grid</w:t>
      </w:r>
      <w:r w:rsidRPr="00161C7C">
        <w:rPr>
          <w:sz w:val="22"/>
          <w:szCs w:val="22"/>
        </w:rPr>
        <w:t xml:space="preserve"> or to the distribution systems of licensed </w:t>
      </w:r>
      <w:r w:rsidR="006C4C2D">
        <w:rPr>
          <w:i/>
          <w:sz w:val="22"/>
          <w:szCs w:val="22"/>
        </w:rPr>
        <w:t>distributors</w:t>
      </w:r>
      <w:r w:rsidRPr="00161C7C">
        <w:rPr>
          <w:sz w:val="22"/>
          <w:szCs w:val="22"/>
        </w:rPr>
        <w:t xml:space="preserve"> during the applicable </w:t>
      </w:r>
      <w:r w:rsidR="007A0897">
        <w:rPr>
          <w:sz w:val="22"/>
          <w:szCs w:val="22"/>
        </w:rPr>
        <w:t>B</w:t>
      </w:r>
      <w:r w:rsidRPr="00161C7C">
        <w:rPr>
          <w:sz w:val="22"/>
          <w:szCs w:val="22"/>
        </w:rPr>
        <w:t xml:space="preserve">ase </w:t>
      </w:r>
      <w:r w:rsidR="007A0897">
        <w:rPr>
          <w:sz w:val="22"/>
          <w:szCs w:val="22"/>
        </w:rPr>
        <w:t>P</w:t>
      </w:r>
      <w:r w:rsidR="007A0897" w:rsidRPr="00161C7C">
        <w:rPr>
          <w:sz w:val="22"/>
          <w:szCs w:val="22"/>
        </w:rPr>
        <w:t xml:space="preserve">eriod </w:t>
      </w:r>
      <w:r w:rsidRPr="00161C7C">
        <w:rPr>
          <w:sz w:val="22"/>
          <w:szCs w:val="22"/>
        </w:rPr>
        <w:t xml:space="preserve">did not exceed the total volume of electricity the </w:t>
      </w:r>
      <w:r w:rsidRPr="00161C7C">
        <w:rPr>
          <w:i/>
          <w:sz w:val="22"/>
          <w:szCs w:val="22"/>
        </w:rPr>
        <w:t>market participant</w:t>
      </w:r>
      <w:r w:rsidRPr="00161C7C">
        <w:rPr>
          <w:sz w:val="22"/>
          <w:szCs w:val="22"/>
        </w:rPr>
        <w:t xml:space="preserve"> withdrew from the </w:t>
      </w:r>
      <w:r w:rsidRPr="00161C7C">
        <w:rPr>
          <w:i/>
          <w:sz w:val="22"/>
          <w:szCs w:val="22"/>
        </w:rPr>
        <w:t>IESO-controlled grid</w:t>
      </w:r>
      <w:r w:rsidRPr="00161C7C">
        <w:rPr>
          <w:sz w:val="22"/>
          <w:szCs w:val="22"/>
        </w:rPr>
        <w:t xml:space="preserve"> or the distribution systems of licensed </w:t>
      </w:r>
      <w:r w:rsidRPr="00161C7C">
        <w:rPr>
          <w:i/>
          <w:sz w:val="22"/>
          <w:szCs w:val="22"/>
        </w:rPr>
        <w:t>distributors</w:t>
      </w:r>
      <w:r w:rsidRPr="00161C7C">
        <w:rPr>
          <w:sz w:val="22"/>
          <w:szCs w:val="22"/>
        </w:rPr>
        <w:t xml:space="preserve"> during that </w:t>
      </w:r>
      <w:r w:rsidR="007A0897">
        <w:rPr>
          <w:sz w:val="22"/>
          <w:szCs w:val="22"/>
        </w:rPr>
        <w:t>B</w:t>
      </w:r>
      <w:r w:rsidR="007A0897" w:rsidRPr="00161C7C">
        <w:rPr>
          <w:sz w:val="22"/>
          <w:szCs w:val="22"/>
        </w:rPr>
        <w:t xml:space="preserve">ase </w:t>
      </w:r>
      <w:r w:rsidR="007A0897">
        <w:rPr>
          <w:sz w:val="22"/>
          <w:szCs w:val="22"/>
        </w:rPr>
        <w:t>P</w:t>
      </w:r>
      <w:r w:rsidR="007A0897" w:rsidRPr="00161C7C">
        <w:rPr>
          <w:sz w:val="22"/>
          <w:szCs w:val="22"/>
        </w:rPr>
        <w:t>eriod</w:t>
      </w:r>
      <w:r w:rsidRPr="00161C7C">
        <w:rPr>
          <w:sz w:val="22"/>
          <w:szCs w:val="22"/>
        </w:rPr>
        <w:t>.</w:t>
      </w:r>
    </w:p>
    <w:p w14:paraId="4EAD74CE" w14:textId="77777777" w:rsidR="00A45356" w:rsidRPr="0061777D" w:rsidRDefault="008F45B8" w:rsidP="00A45356">
      <w:pPr>
        <w:pStyle w:val="paragraph-e"/>
        <w:numPr>
          <w:ilvl w:val="0"/>
          <w:numId w:val="86"/>
        </w:numPr>
        <w:spacing w:before="120" w:after="120"/>
        <w:rPr>
          <w:rFonts w:ascii="Arial" w:hAnsi="Arial" w:cs="Arial"/>
          <w:b/>
          <w:sz w:val="24"/>
          <w:szCs w:val="24"/>
        </w:rPr>
      </w:pPr>
      <w:r w:rsidRPr="0061777D">
        <w:rPr>
          <w:sz w:val="22"/>
          <w:szCs w:val="22"/>
        </w:rPr>
        <w:t>The maximum hourly demand</w:t>
      </w:r>
      <w:r w:rsidR="004C590F">
        <w:rPr>
          <w:rStyle w:val="FootnoteReference"/>
          <w:sz w:val="22"/>
          <w:szCs w:val="22"/>
        </w:rPr>
        <w:footnoteReference w:id="28"/>
      </w:r>
      <w:r w:rsidRPr="0061777D">
        <w:rPr>
          <w:sz w:val="22"/>
          <w:szCs w:val="22"/>
        </w:rPr>
        <w:t xml:space="preserve"> </w:t>
      </w:r>
      <w:r w:rsidR="00E71FF2" w:rsidRPr="0061777D">
        <w:rPr>
          <w:sz w:val="22"/>
          <w:szCs w:val="22"/>
        </w:rPr>
        <w:t xml:space="preserve">for </w:t>
      </w:r>
      <w:r w:rsidRPr="0061777D">
        <w:rPr>
          <w:sz w:val="22"/>
          <w:szCs w:val="22"/>
        </w:rPr>
        <w:t xml:space="preserve">electricity for each </w:t>
      </w:r>
      <w:r w:rsidR="0029108A" w:rsidRPr="0061777D">
        <w:rPr>
          <w:i/>
          <w:sz w:val="22"/>
          <w:szCs w:val="22"/>
        </w:rPr>
        <w:t>load facility</w:t>
      </w:r>
      <w:r w:rsidRPr="0061777D">
        <w:rPr>
          <w:sz w:val="22"/>
          <w:szCs w:val="22"/>
        </w:rPr>
        <w:t xml:space="preserve"> in a month, determined independently, exceeds an average of 5 megawatts for the applicable </w:t>
      </w:r>
      <w:r w:rsidR="00B7472A" w:rsidRPr="0061777D">
        <w:rPr>
          <w:sz w:val="22"/>
          <w:szCs w:val="22"/>
        </w:rPr>
        <w:t>B</w:t>
      </w:r>
      <w:r w:rsidRPr="0061777D">
        <w:rPr>
          <w:sz w:val="22"/>
          <w:szCs w:val="22"/>
        </w:rPr>
        <w:t xml:space="preserve">ase </w:t>
      </w:r>
      <w:r w:rsidR="00B7472A" w:rsidRPr="0061777D">
        <w:rPr>
          <w:sz w:val="22"/>
          <w:szCs w:val="22"/>
        </w:rPr>
        <w:t>P</w:t>
      </w:r>
      <w:r w:rsidRPr="0061777D">
        <w:rPr>
          <w:sz w:val="22"/>
          <w:szCs w:val="22"/>
        </w:rPr>
        <w:t>eriod.</w:t>
      </w:r>
    </w:p>
    <w:p w14:paraId="6F66F147" w14:textId="77777777" w:rsidR="00A45356" w:rsidRDefault="00A45356" w:rsidP="0061777D">
      <w:pPr>
        <w:pStyle w:val="BodyText"/>
        <w:spacing w:before="240"/>
        <w:rPr>
          <w:rFonts w:ascii="Arial" w:hAnsi="Arial" w:cs="Arial"/>
          <w:b/>
          <w:sz w:val="24"/>
          <w:szCs w:val="24"/>
        </w:rPr>
      </w:pPr>
      <w:r>
        <w:rPr>
          <w:rFonts w:ascii="Arial" w:hAnsi="Arial" w:cs="Arial"/>
          <w:b/>
          <w:sz w:val="24"/>
          <w:szCs w:val="24"/>
        </w:rPr>
        <w:t>Method 1B – Optional Class</w:t>
      </w:r>
      <w:r w:rsidRPr="0029108A">
        <w:rPr>
          <w:rFonts w:ascii="Arial" w:hAnsi="Arial" w:cs="Arial"/>
          <w:b/>
          <w:sz w:val="24"/>
          <w:szCs w:val="24"/>
        </w:rPr>
        <w:t xml:space="preserve"> A Market Participant Load Facilities</w:t>
      </w:r>
    </w:p>
    <w:p w14:paraId="5B4326F4" w14:textId="77777777" w:rsidR="00A45356" w:rsidRDefault="00A45356" w:rsidP="00A45356">
      <w:pPr>
        <w:rPr>
          <w:i/>
        </w:rPr>
      </w:pPr>
      <w:r>
        <w:t>For Adjustment Periods commencing on or after July 1, 201</w:t>
      </w:r>
      <w:r w:rsidR="00680FB2">
        <w:t>7</w:t>
      </w:r>
      <w:r>
        <w:t xml:space="preserve">, optional Class A </w:t>
      </w:r>
      <w:r w:rsidRPr="0029108A">
        <w:rPr>
          <w:i/>
        </w:rPr>
        <w:t>Market Participant</w:t>
      </w:r>
      <w:r>
        <w:t xml:space="preserve"> </w:t>
      </w:r>
      <w:r w:rsidRPr="0029108A">
        <w:rPr>
          <w:i/>
        </w:rPr>
        <w:t>Load Facilities</w:t>
      </w:r>
      <w:r>
        <w:t xml:space="preserve"> are defined by the following criteria:</w:t>
      </w:r>
    </w:p>
    <w:p w14:paraId="3A3A49B7" w14:textId="77777777" w:rsidR="00A45356" w:rsidRDefault="00A45356" w:rsidP="007B3371">
      <w:pPr>
        <w:pStyle w:val="paragraph-e"/>
        <w:numPr>
          <w:ilvl w:val="0"/>
          <w:numId w:val="111"/>
        </w:numPr>
        <w:tabs>
          <w:tab w:val="clear" w:pos="836"/>
          <w:tab w:val="clear" w:pos="1076"/>
        </w:tabs>
        <w:spacing w:before="120" w:after="120"/>
        <w:rPr>
          <w:sz w:val="22"/>
          <w:szCs w:val="22"/>
        </w:rPr>
      </w:pPr>
      <w:r w:rsidRPr="00161C7C">
        <w:rPr>
          <w:sz w:val="22"/>
          <w:szCs w:val="22"/>
        </w:rPr>
        <w:t xml:space="preserve">The </w:t>
      </w:r>
      <w:r w:rsidRPr="00161C7C">
        <w:rPr>
          <w:i/>
          <w:sz w:val="22"/>
          <w:szCs w:val="22"/>
        </w:rPr>
        <w:t>market participant</w:t>
      </w:r>
      <w:r w:rsidRPr="00161C7C">
        <w:rPr>
          <w:sz w:val="22"/>
          <w:szCs w:val="22"/>
        </w:rPr>
        <w:t xml:space="preserve"> is neither a licensed </w:t>
      </w:r>
      <w:r w:rsidRPr="00DA3379">
        <w:rPr>
          <w:i/>
          <w:sz w:val="22"/>
          <w:szCs w:val="22"/>
        </w:rPr>
        <w:t>distributor</w:t>
      </w:r>
      <w:r w:rsidRPr="00161C7C">
        <w:rPr>
          <w:sz w:val="22"/>
          <w:szCs w:val="22"/>
        </w:rPr>
        <w:t xml:space="preserve"> nor a regulated </w:t>
      </w:r>
      <w:r w:rsidRPr="00DA3379">
        <w:rPr>
          <w:i/>
          <w:sz w:val="22"/>
          <w:szCs w:val="22"/>
        </w:rPr>
        <w:t>consumer.</w:t>
      </w:r>
    </w:p>
    <w:p w14:paraId="692ABA9C" w14:textId="77777777" w:rsidR="00A45356" w:rsidRDefault="00A45356" w:rsidP="007B3371">
      <w:pPr>
        <w:pStyle w:val="paragraph-e"/>
        <w:numPr>
          <w:ilvl w:val="0"/>
          <w:numId w:val="111"/>
        </w:numPr>
        <w:tabs>
          <w:tab w:val="clear" w:pos="836"/>
          <w:tab w:val="clear" w:pos="1076"/>
        </w:tabs>
        <w:spacing w:before="120" w:after="120"/>
        <w:rPr>
          <w:sz w:val="22"/>
          <w:szCs w:val="22"/>
        </w:rPr>
      </w:pPr>
      <w:r w:rsidRPr="00161C7C">
        <w:rPr>
          <w:sz w:val="22"/>
          <w:szCs w:val="22"/>
        </w:rPr>
        <w:t xml:space="preserve">The </w:t>
      </w:r>
      <w:r>
        <w:rPr>
          <w:i/>
          <w:sz w:val="22"/>
          <w:szCs w:val="22"/>
        </w:rPr>
        <w:t>market participant</w:t>
      </w:r>
      <w:r w:rsidRPr="00161C7C">
        <w:rPr>
          <w:sz w:val="22"/>
          <w:szCs w:val="22"/>
        </w:rPr>
        <w:t xml:space="preserve"> was a </w:t>
      </w:r>
      <w:r>
        <w:rPr>
          <w:i/>
          <w:sz w:val="22"/>
          <w:szCs w:val="22"/>
        </w:rPr>
        <w:t>market participant</w:t>
      </w:r>
      <w:r w:rsidRPr="00161C7C">
        <w:rPr>
          <w:sz w:val="22"/>
          <w:szCs w:val="22"/>
        </w:rPr>
        <w:t xml:space="preserve"> throughout the applicable </w:t>
      </w:r>
      <w:r>
        <w:rPr>
          <w:sz w:val="22"/>
          <w:szCs w:val="22"/>
        </w:rPr>
        <w:t>B</w:t>
      </w:r>
      <w:r w:rsidRPr="00161C7C">
        <w:rPr>
          <w:sz w:val="22"/>
          <w:szCs w:val="22"/>
        </w:rPr>
        <w:t xml:space="preserve">ase </w:t>
      </w:r>
      <w:r>
        <w:rPr>
          <w:sz w:val="22"/>
          <w:szCs w:val="22"/>
        </w:rPr>
        <w:t>P</w:t>
      </w:r>
      <w:r w:rsidRPr="00161C7C">
        <w:rPr>
          <w:sz w:val="22"/>
          <w:szCs w:val="22"/>
        </w:rPr>
        <w:t>eriod.</w:t>
      </w:r>
    </w:p>
    <w:p w14:paraId="2745D74D" w14:textId="77777777" w:rsidR="00A45356" w:rsidRPr="00BD51A8" w:rsidRDefault="00A45356" w:rsidP="007B3371">
      <w:pPr>
        <w:pStyle w:val="ListParagraph"/>
        <w:numPr>
          <w:ilvl w:val="0"/>
          <w:numId w:val="111"/>
        </w:numPr>
        <w:spacing w:before="120" w:after="120"/>
        <w:rPr>
          <w:szCs w:val="22"/>
          <w:lang w:val="en-CA"/>
        </w:rPr>
      </w:pPr>
      <w:r w:rsidRPr="00C932B6">
        <w:rPr>
          <w:szCs w:val="22"/>
          <w:lang w:val="en-CA"/>
        </w:rPr>
        <w:t xml:space="preserve">The </w:t>
      </w:r>
      <w:r w:rsidRPr="00C932B6">
        <w:rPr>
          <w:i/>
          <w:szCs w:val="22"/>
          <w:lang w:val="en-CA"/>
        </w:rPr>
        <w:t>market participant</w:t>
      </w:r>
      <w:r w:rsidRPr="00C932B6">
        <w:rPr>
          <w:szCs w:val="22"/>
          <w:lang w:val="en-CA"/>
        </w:rPr>
        <w:t xml:space="preserve"> elects to be a Class A </w:t>
      </w:r>
      <w:r w:rsidRPr="00C932B6">
        <w:rPr>
          <w:i/>
          <w:szCs w:val="22"/>
          <w:lang w:val="en-CA"/>
        </w:rPr>
        <w:t xml:space="preserve">market participant </w:t>
      </w:r>
      <w:r w:rsidRPr="00C932B6">
        <w:rPr>
          <w:szCs w:val="22"/>
          <w:lang w:val="en-CA"/>
        </w:rPr>
        <w:t xml:space="preserve">for the </w:t>
      </w:r>
      <w:r w:rsidRPr="00C932B6">
        <w:rPr>
          <w:i/>
          <w:szCs w:val="22"/>
          <w:lang w:val="en-CA"/>
        </w:rPr>
        <w:t>load facility</w:t>
      </w:r>
      <w:r>
        <w:rPr>
          <w:szCs w:val="22"/>
          <w:lang w:val="en-CA"/>
        </w:rPr>
        <w:t xml:space="preserve"> for the applicable Adjustment P</w:t>
      </w:r>
      <w:r w:rsidRPr="00C932B6">
        <w:rPr>
          <w:szCs w:val="22"/>
          <w:lang w:val="en-CA"/>
        </w:rPr>
        <w:t>eriod, or has mad</w:t>
      </w:r>
      <w:r>
        <w:rPr>
          <w:szCs w:val="22"/>
          <w:lang w:val="en-CA"/>
        </w:rPr>
        <w:t>e such an election for a prior Adjustment P</w:t>
      </w:r>
      <w:r w:rsidRPr="00C932B6">
        <w:rPr>
          <w:szCs w:val="22"/>
          <w:lang w:val="en-CA"/>
        </w:rPr>
        <w:t>eriod and the election has not been r</w:t>
      </w:r>
      <w:r w:rsidRPr="006416C5">
        <w:rPr>
          <w:snapToGrid w:val="0"/>
          <w:szCs w:val="22"/>
          <w:lang w:val="en-GB" w:eastAsia="en-US"/>
        </w:rPr>
        <w:t>evok</w:t>
      </w:r>
      <w:r w:rsidRPr="00C932B6">
        <w:rPr>
          <w:szCs w:val="22"/>
          <w:lang w:val="en-CA"/>
        </w:rPr>
        <w:t>ed.</w:t>
      </w:r>
      <w:r>
        <w:rPr>
          <w:szCs w:val="22"/>
          <w:lang w:val="en-CA"/>
        </w:rPr>
        <w:t xml:space="preserve"> </w:t>
      </w:r>
      <w:r>
        <w:rPr>
          <w:szCs w:val="22"/>
        </w:rPr>
        <w:t>W</w:t>
      </w:r>
      <w:r w:rsidRPr="001B3D6E">
        <w:rPr>
          <w:szCs w:val="22"/>
        </w:rPr>
        <w:t>ritten notice of the election</w:t>
      </w:r>
      <w:r>
        <w:rPr>
          <w:szCs w:val="22"/>
        </w:rPr>
        <w:t xml:space="preserve"> must be made</w:t>
      </w:r>
      <w:r w:rsidRPr="001B3D6E">
        <w:rPr>
          <w:szCs w:val="22"/>
        </w:rPr>
        <w:t xml:space="preserve"> to the IESO no later than June 15 of </w:t>
      </w:r>
      <w:r>
        <w:rPr>
          <w:szCs w:val="22"/>
        </w:rPr>
        <w:t>the calendar year in which the Adjustment P</w:t>
      </w:r>
      <w:r w:rsidRPr="001B3D6E">
        <w:rPr>
          <w:szCs w:val="22"/>
        </w:rPr>
        <w:t>eriod begins</w:t>
      </w:r>
      <w:r>
        <w:rPr>
          <w:szCs w:val="22"/>
        </w:rPr>
        <w:t xml:space="preserve">. </w:t>
      </w:r>
    </w:p>
    <w:p w14:paraId="3D617CA4" w14:textId="77777777" w:rsidR="00A45356" w:rsidRPr="006416C5" w:rsidRDefault="00A45356" w:rsidP="007B3371">
      <w:pPr>
        <w:pStyle w:val="paragraph-e"/>
        <w:numPr>
          <w:ilvl w:val="0"/>
          <w:numId w:val="111"/>
        </w:numPr>
        <w:tabs>
          <w:tab w:val="clear" w:pos="836"/>
          <w:tab w:val="clear" w:pos="1076"/>
        </w:tabs>
        <w:spacing w:before="120" w:after="120"/>
        <w:rPr>
          <w:szCs w:val="22"/>
        </w:rPr>
      </w:pPr>
      <w:r w:rsidRPr="00161C7C">
        <w:rPr>
          <w:sz w:val="22"/>
          <w:szCs w:val="22"/>
        </w:rPr>
        <w:t xml:space="preserve">The total volume of electricity, as determined by the </w:t>
      </w:r>
      <w:r>
        <w:rPr>
          <w:i/>
          <w:sz w:val="22"/>
          <w:szCs w:val="22"/>
        </w:rPr>
        <w:t>IESO</w:t>
      </w:r>
      <w:r w:rsidRPr="00161C7C">
        <w:rPr>
          <w:sz w:val="22"/>
          <w:szCs w:val="22"/>
        </w:rPr>
        <w:t xml:space="preserve">, supplied by the </w:t>
      </w:r>
      <w:r>
        <w:rPr>
          <w:i/>
          <w:sz w:val="22"/>
          <w:szCs w:val="22"/>
        </w:rPr>
        <w:t>market participant</w:t>
      </w:r>
      <w:r w:rsidRPr="00161C7C">
        <w:rPr>
          <w:sz w:val="22"/>
          <w:szCs w:val="22"/>
        </w:rPr>
        <w:t xml:space="preserve"> to the </w:t>
      </w:r>
      <w:r>
        <w:rPr>
          <w:i/>
          <w:sz w:val="22"/>
          <w:szCs w:val="22"/>
        </w:rPr>
        <w:t>IESO</w:t>
      </w:r>
      <w:r w:rsidRPr="0029108A">
        <w:rPr>
          <w:sz w:val="22"/>
          <w:szCs w:val="22"/>
        </w:rPr>
        <w:t>-controlled grid</w:t>
      </w:r>
      <w:r w:rsidRPr="00161C7C">
        <w:rPr>
          <w:sz w:val="22"/>
          <w:szCs w:val="22"/>
        </w:rPr>
        <w:t xml:space="preserve"> or to the distribution systems of licensed </w:t>
      </w:r>
      <w:r>
        <w:rPr>
          <w:i/>
          <w:sz w:val="22"/>
          <w:szCs w:val="22"/>
        </w:rPr>
        <w:t>distributors</w:t>
      </w:r>
      <w:r w:rsidRPr="00161C7C">
        <w:rPr>
          <w:sz w:val="22"/>
          <w:szCs w:val="22"/>
        </w:rPr>
        <w:t xml:space="preserve"> during the applicable </w:t>
      </w:r>
      <w:r>
        <w:rPr>
          <w:sz w:val="22"/>
          <w:szCs w:val="22"/>
        </w:rPr>
        <w:t>B</w:t>
      </w:r>
      <w:r w:rsidRPr="00161C7C">
        <w:rPr>
          <w:sz w:val="22"/>
          <w:szCs w:val="22"/>
        </w:rPr>
        <w:t xml:space="preserve">ase </w:t>
      </w:r>
      <w:r>
        <w:rPr>
          <w:sz w:val="22"/>
          <w:szCs w:val="22"/>
        </w:rPr>
        <w:t>P</w:t>
      </w:r>
      <w:r w:rsidRPr="00161C7C">
        <w:rPr>
          <w:sz w:val="22"/>
          <w:szCs w:val="22"/>
        </w:rPr>
        <w:t xml:space="preserve">eriod did not exceed the total volume of electricity the </w:t>
      </w:r>
      <w:r w:rsidRPr="00161C7C">
        <w:rPr>
          <w:i/>
          <w:sz w:val="22"/>
          <w:szCs w:val="22"/>
        </w:rPr>
        <w:t>market participant</w:t>
      </w:r>
      <w:r w:rsidRPr="00161C7C">
        <w:rPr>
          <w:sz w:val="22"/>
          <w:szCs w:val="22"/>
        </w:rPr>
        <w:t xml:space="preserve"> withdrew from the </w:t>
      </w:r>
      <w:r w:rsidRPr="00161C7C">
        <w:rPr>
          <w:i/>
          <w:sz w:val="22"/>
          <w:szCs w:val="22"/>
        </w:rPr>
        <w:t>IESO-controlled grid</w:t>
      </w:r>
      <w:r w:rsidRPr="00161C7C">
        <w:rPr>
          <w:sz w:val="22"/>
          <w:szCs w:val="22"/>
        </w:rPr>
        <w:t xml:space="preserve"> or the distribution systems of licensed </w:t>
      </w:r>
      <w:r w:rsidRPr="00161C7C">
        <w:rPr>
          <w:i/>
          <w:sz w:val="22"/>
          <w:szCs w:val="22"/>
        </w:rPr>
        <w:t>distributors</w:t>
      </w:r>
      <w:r w:rsidRPr="00161C7C">
        <w:rPr>
          <w:sz w:val="22"/>
          <w:szCs w:val="22"/>
        </w:rPr>
        <w:t xml:space="preserve"> during that </w:t>
      </w:r>
      <w:r>
        <w:rPr>
          <w:sz w:val="22"/>
          <w:szCs w:val="22"/>
        </w:rPr>
        <w:t>B</w:t>
      </w:r>
      <w:r w:rsidRPr="00161C7C">
        <w:rPr>
          <w:sz w:val="22"/>
          <w:szCs w:val="22"/>
        </w:rPr>
        <w:t xml:space="preserve">ase </w:t>
      </w:r>
      <w:r>
        <w:rPr>
          <w:sz w:val="22"/>
          <w:szCs w:val="22"/>
        </w:rPr>
        <w:t>P</w:t>
      </w:r>
      <w:r w:rsidRPr="00161C7C">
        <w:rPr>
          <w:sz w:val="22"/>
          <w:szCs w:val="22"/>
        </w:rPr>
        <w:t>eriod.</w:t>
      </w:r>
    </w:p>
    <w:p w14:paraId="5FF766FC" w14:textId="77777777" w:rsidR="00A45356" w:rsidRPr="00BD51A8" w:rsidRDefault="00A45356" w:rsidP="00A45356">
      <w:pPr>
        <w:pStyle w:val="paragraph-e"/>
        <w:numPr>
          <w:ilvl w:val="0"/>
          <w:numId w:val="86"/>
        </w:numPr>
        <w:spacing w:before="120" w:after="120"/>
        <w:rPr>
          <w:sz w:val="22"/>
          <w:szCs w:val="22"/>
        </w:rPr>
      </w:pPr>
      <w:r>
        <w:rPr>
          <w:sz w:val="22"/>
          <w:szCs w:val="22"/>
        </w:rPr>
        <w:t xml:space="preserve">The maximum hourly demand for electricity for each </w:t>
      </w:r>
      <w:r w:rsidRPr="0029108A">
        <w:rPr>
          <w:i/>
          <w:sz w:val="22"/>
          <w:szCs w:val="22"/>
        </w:rPr>
        <w:t>load facility</w:t>
      </w:r>
      <w:r>
        <w:rPr>
          <w:sz w:val="22"/>
          <w:szCs w:val="22"/>
        </w:rPr>
        <w:t xml:space="preserve"> in a month, determined independently, </w:t>
      </w:r>
      <w:r w:rsidRPr="003837FD">
        <w:rPr>
          <w:sz w:val="22"/>
          <w:szCs w:val="22"/>
          <w:lang w:val="en-CA"/>
        </w:rPr>
        <w:t xml:space="preserve">exceeds an average of </w:t>
      </w:r>
      <w:r w:rsidR="00680FB2">
        <w:rPr>
          <w:sz w:val="22"/>
          <w:szCs w:val="22"/>
          <w:lang w:val="en-CA"/>
        </w:rPr>
        <w:t>1</w:t>
      </w:r>
      <w:r w:rsidRPr="003837FD">
        <w:rPr>
          <w:sz w:val="22"/>
          <w:szCs w:val="22"/>
          <w:lang w:val="en-CA"/>
        </w:rPr>
        <w:t xml:space="preserve"> megawatt but is less than or equal to an average of 5 megawatts </w:t>
      </w:r>
      <w:r>
        <w:rPr>
          <w:sz w:val="22"/>
          <w:szCs w:val="22"/>
          <w:lang w:val="en-CA"/>
        </w:rPr>
        <w:t>for the</w:t>
      </w:r>
      <w:r>
        <w:rPr>
          <w:sz w:val="22"/>
          <w:szCs w:val="22"/>
        </w:rPr>
        <w:t xml:space="preserve"> applicable Base Period. </w:t>
      </w:r>
    </w:p>
    <w:p w14:paraId="3136AF5C" w14:textId="77777777" w:rsidR="00A45356" w:rsidRDefault="00A45356" w:rsidP="00901332">
      <w:pPr>
        <w:pStyle w:val="BodyText"/>
        <w:rPr>
          <w:rFonts w:ascii="Arial" w:hAnsi="Arial" w:cs="Arial"/>
          <w:b/>
          <w:sz w:val="24"/>
          <w:szCs w:val="24"/>
        </w:rPr>
      </w:pPr>
    </w:p>
    <w:p w14:paraId="19F21FC9" w14:textId="77777777" w:rsidR="00901332" w:rsidRPr="00770452" w:rsidRDefault="0029108A" w:rsidP="001635E8">
      <w:pPr>
        <w:pStyle w:val="BodyText"/>
        <w:pageBreakBefore/>
        <w:rPr>
          <w:rFonts w:ascii="Arial" w:hAnsi="Arial" w:cs="Arial"/>
          <w:b/>
          <w:sz w:val="24"/>
          <w:szCs w:val="24"/>
        </w:rPr>
      </w:pPr>
      <w:r w:rsidRPr="0029108A">
        <w:rPr>
          <w:rFonts w:ascii="Arial" w:hAnsi="Arial" w:cs="Arial"/>
          <w:b/>
          <w:sz w:val="24"/>
          <w:szCs w:val="24"/>
        </w:rPr>
        <w:lastRenderedPageBreak/>
        <w:t xml:space="preserve">Global Adjustment </w:t>
      </w:r>
      <w:r w:rsidR="00770452">
        <w:rPr>
          <w:rFonts w:ascii="Arial" w:hAnsi="Arial" w:cs="Arial"/>
          <w:b/>
          <w:sz w:val="24"/>
          <w:szCs w:val="24"/>
        </w:rPr>
        <w:t xml:space="preserve">– Base and Adjustment </w:t>
      </w:r>
      <w:r w:rsidRPr="0029108A">
        <w:rPr>
          <w:rFonts w:ascii="Arial" w:hAnsi="Arial" w:cs="Arial"/>
          <w:b/>
          <w:sz w:val="24"/>
          <w:szCs w:val="24"/>
        </w:rPr>
        <w:t>Periods</w:t>
      </w:r>
    </w:p>
    <w:p w14:paraId="78BA20CE" w14:textId="77777777" w:rsidR="00901332" w:rsidRDefault="00901332" w:rsidP="00901332">
      <w:pPr>
        <w:pStyle w:val="paragraph-e"/>
        <w:ind w:left="0" w:firstLine="0"/>
        <w:rPr>
          <w:sz w:val="22"/>
          <w:szCs w:val="22"/>
        </w:rPr>
      </w:pPr>
      <w:r w:rsidRPr="008679CB">
        <w:rPr>
          <w:sz w:val="22"/>
          <w:szCs w:val="22"/>
        </w:rPr>
        <w:t xml:space="preserve">There are two periods that relate to the </w:t>
      </w:r>
      <w:r w:rsidR="00E71FF2">
        <w:rPr>
          <w:sz w:val="22"/>
          <w:szCs w:val="22"/>
        </w:rPr>
        <w:t xml:space="preserve">eligibility and </w:t>
      </w:r>
      <w:r w:rsidRPr="00B704FD">
        <w:rPr>
          <w:i/>
          <w:sz w:val="22"/>
          <w:szCs w:val="22"/>
        </w:rPr>
        <w:t>settlemen</w:t>
      </w:r>
      <w:r w:rsidRPr="00161C7C">
        <w:rPr>
          <w:i/>
          <w:szCs w:val="22"/>
        </w:rPr>
        <w:t>t</w:t>
      </w:r>
      <w:r w:rsidRPr="008679CB">
        <w:rPr>
          <w:sz w:val="22"/>
          <w:szCs w:val="22"/>
        </w:rPr>
        <w:t xml:space="preserve"> of the Global Adjustment</w:t>
      </w:r>
      <w:r>
        <w:rPr>
          <w:sz w:val="22"/>
          <w:szCs w:val="22"/>
        </w:rPr>
        <w:t xml:space="preserve"> for Class A </w:t>
      </w:r>
      <w:r w:rsidRPr="00C34666">
        <w:rPr>
          <w:i/>
          <w:sz w:val="22"/>
          <w:szCs w:val="22"/>
        </w:rPr>
        <w:t>Market Participant Load Facilities</w:t>
      </w:r>
      <w:r w:rsidRPr="008679CB">
        <w:rPr>
          <w:sz w:val="22"/>
          <w:szCs w:val="22"/>
        </w:rPr>
        <w:t xml:space="preserve">.  The Base Period is the period during which the load pattern of the </w:t>
      </w:r>
      <w:r w:rsidRPr="008679CB">
        <w:rPr>
          <w:i/>
          <w:sz w:val="22"/>
          <w:szCs w:val="22"/>
        </w:rPr>
        <w:t>market participant</w:t>
      </w:r>
      <w:r w:rsidRPr="008679CB">
        <w:rPr>
          <w:sz w:val="22"/>
          <w:szCs w:val="22"/>
        </w:rPr>
        <w:t xml:space="preserve"> will determine potential Class A qualificatio</w:t>
      </w:r>
      <w:r>
        <w:rPr>
          <w:sz w:val="22"/>
          <w:szCs w:val="22"/>
        </w:rPr>
        <w:t xml:space="preserve">n.  </w:t>
      </w:r>
      <w:r w:rsidRPr="008679CB">
        <w:rPr>
          <w:sz w:val="22"/>
          <w:szCs w:val="22"/>
        </w:rPr>
        <w:t xml:space="preserve">The Adjustment Period is the </w:t>
      </w:r>
      <w:r w:rsidRPr="008679CB">
        <w:rPr>
          <w:i/>
          <w:sz w:val="22"/>
          <w:szCs w:val="22"/>
        </w:rPr>
        <w:t>settlement</w:t>
      </w:r>
      <w:r w:rsidRPr="008679CB">
        <w:rPr>
          <w:sz w:val="22"/>
          <w:szCs w:val="22"/>
        </w:rPr>
        <w:t xml:space="preserve"> period over which that Class A qualification will be applied.  The Base Periods and related Adjustment Periods for 201</w:t>
      </w:r>
      <w:r>
        <w:rPr>
          <w:sz w:val="22"/>
          <w:szCs w:val="22"/>
        </w:rPr>
        <w:t>2</w:t>
      </w:r>
      <w:r w:rsidRPr="008679CB">
        <w:rPr>
          <w:sz w:val="22"/>
          <w:szCs w:val="22"/>
        </w:rPr>
        <w:t xml:space="preserve"> and beyond are shown below:</w:t>
      </w:r>
    </w:p>
    <w:p w14:paraId="17898748" w14:textId="77777777" w:rsidR="00901332" w:rsidRDefault="00901332" w:rsidP="00901332">
      <w:pPr>
        <w:pStyle w:val="paragraph-e"/>
        <w:ind w:left="0" w:firstLine="0"/>
      </w:pPr>
    </w:p>
    <w:tbl>
      <w:tblPr>
        <w:tblW w:w="8928" w:type="dxa"/>
        <w:tblCellMar>
          <w:left w:w="0" w:type="dxa"/>
          <w:right w:w="0" w:type="dxa"/>
        </w:tblCellMar>
        <w:tblLook w:val="04A0" w:firstRow="1" w:lastRow="0" w:firstColumn="1" w:lastColumn="0" w:noHBand="0" w:noVBand="1"/>
        <w:tblDescription w:val="Global Adjustment – Base and Adjustment Periods"/>
      </w:tblPr>
      <w:tblGrid>
        <w:gridCol w:w="4338"/>
        <w:gridCol w:w="4590"/>
      </w:tblGrid>
      <w:tr w:rsidR="00901332" w14:paraId="3D6B66FE" w14:textId="77777777" w:rsidTr="00901332">
        <w:trPr>
          <w:trHeight w:val="624"/>
        </w:trPr>
        <w:tc>
          <w:tcPr>
            <w:tcW w:w="4338" w:type="dxa"/>
            <w:tcBorders>
              <w:top w:val="single" w:sz="8" w:space="0" w:color="000000"/>
              <w:left w:val="single" w:sz="8" w:space="0" w:color="000000"/>
              <w:bottom w:val="single" w:sz="8" w:space="0" w:color="000000"/>
              <w:right w:val="single" w:sz="8" w:space="0" w:color="000000"/>
            </w:tcBorders>
            <w:shd w:val="clear" w:color="auto" w:fill="002060"/>
            <w:tcMar>
              <w:top w:w="15" w:type="dxa"/>
              <w:left w:w="108" w:type="dxa"/>
              <w:bottom w:w="0" w:type="dxa"/>
              <w:right w:w="108" w:type="dxa"/>
            </w:tcMar>
            <w:hideMark/>
          </w:tcPr>
          <w:p w14:paraId="1217A628" w14:textId="77777777" w:rsidR="00901332" w:rsidRPr="003576D9" w:rsidRDefault="00901332" w:rsidP="00901332">
            <w:pPr>
              <w:ind w:left="720"/>
              <w:contextualSpacing/>
              <w:jc w:val="center"/>
              <w:rPr>
                <w:rFonts w:asciiTheme="minorHAnsi" w:hAnsiTheme="minorHAnsi"/>
              </w:rPr>
            </w:pPr>
            <w:r w:rsidRPr="003576D9">
              <w:rPr>
                <w:rFonts w:asciiTheme="minorHAnsi" w:hAnsiTheme="minorHAnsi"/>
                <w:b/>
                <w:bCs/>
              </w:rPr>
              <w:t>Base Period</w:t>
            </w:r>
          </w:p>
        </w:tc>
        <w:tc>
          <w:tcPr>
            <w:tcW w:w="4590" w:type="dxa"/>
            <w:tcBorders>
              <w:top w:val="single" w:sz="8" w:space="0" w:color="000000"/>
              <w:left w:val="nil"/>
              <w:bottom w:val="single" w:sz="8" w:space="0" w:color="000000"/>
              <w:right w:val="single" w:sz="8" w:space="0" w:color="000000"/>
            </w:tcBorders>
            <w:shd w:val="clear" w:color="auto" w:fill="002060"/>
            <w:tcMar>
              <w:top w:w="15" w:type="dxa"/>
              <w:left w:w="108" w:type="dxa"/>
              <w:bottom w:w="0" w:type="dxa"/>
              <w:right w:w="108" w:type="dxa"/>
            </w:tcMar>
            <w:hideMark/>
          </w:tcPr>
          <w:p w14:paraId="304E0D92" w14:textId="77777777" w:rsidR="00901332" w:rsidRPr="003576D9" w:rsidRDefault="00901332" w:rsidP="00901332">
            <w:pPr>
              <w:ind w:left="720"/>
              <w:contextualSpacing/>
              <w:jc w:val="center"/>
              <w:rPr>
                <w:rFonts w:asciiTheme="minorHAnsi" w:hAnsiTheme="minorHAnsi"/>
              </w:rPr>
            </w:pPr>
            <w:r w:rsidRPr="003576D9">
              <w:rPr>
                <w:rFonts w:asciiTheme="minorHAnsi" w:hAnsiTheme="minorHAnsi"/>
                <w:b/>
                <w:bCs/>
              </w:rPr>
              <w:t>Adjustment Period</w:t>
            </w:r>
          </w:p>
        </w:tc>
      </w:tr>
      <w:tr w:rsidR="00901332" w14:paraId="52FB641E" w14:textId="77777777" w:rsidTr="00901332">
        <w:trPr>
          <w:trHeight w:val="624"/>
        </w:trPr>
        <w:tc>
          <w:tcPr>
            <w:tcW w:w="4338" w:type="dxa"/>
            <w:tcBorders>
              <w:top w:val="nil"/>
              <w:left w:val="single" w:sz="8" w:space="0" w:color="000000"/>
              <w:bottom w:val="single" w:sz="8" w:space="0" w:color="000000"/>
              <w:right w:val="single" w:sz="8" w:space="0" w:color="000000"/>
            </w:tcBorders>
            <w:tcMar>
              <w:top w:w="15" w:type="dxa"/>
              <w:left w:w="108" w:type="dxa"/>
              <w:bottom w:w="0" w:type="dxa"/>
              <w:right w:w="108" w:type="dxa"/>
            </w:tcMar>
            <w:hideMark/>
          </w:tcPr>
          <w:p w14:paraId="5C5AE6A7" w14:textId="77777777" w:rsidR="00901332" w:rsidRPr="003576D9" w:rsidRDefault="00901332" w:rsidP="00901332">
            <w:pPr>
              <w:jc w:val="center"/>
              <w:rPr>
                <w:rFonts w:asciiTheme="minorHAnsi" w:hAnsiTheme="minorHAnsi"/>
              </w:rPr>
            </w:pPr>
            <w:r w:rsidRPr="003576D9">
              <w:rPr>
                <w:rFonts w:asciiTheme="minorHAnsi" w:hAnsiTheme="minorHAnsi"/>
                <w:b/>
                <w:bCs/>
              </w:rPr>
              <w:t>May 1, 2011 to April 30, 2012</w:t>
            </w:r>
          </w:p>
        </w:tc>
        <w:tc>
          <w:tcPr>
            <w:tcW w:w="4590" w:type="dxa"/>
            <w:tcBorders>
              <w:top w:val="nil"/>
              <w:left w:val="nil"/>
              <w:bottom w:val="single" w:sz="8" w:space="0" w:color="000000"/>
              <w:right w:val="single" w:sz="8" w:space="0" w:color="000000"/>
            </w:tcBorders>
            <w:shd w:val="clear" w:color="auto" w:fill="B8CCE4"/>
            <w:tcMar>
              <w:top w:w="15" w:type="dxa"/>
              <w:left w:w="108" w:type="dxa"/>
              <w:bottom w:w="0" w:type="dxa"/>
              <w:right w:w="108" w:type="dxa"/>
            </w:tcMar>
            <w:hideMark/>
          </w:tcPr>
          <w:p w14:paraId="264F8058" w14:textId="77777777" w:rsidR="00901332" w:rsidRPr="003576D9" w:rsidRDefault="00901332" w:rsidP="00901332">
            <w:pPr>
              <w:ind w:left="702"/>
              <w:contextualSpacing/>
              <w:rPr>
                <w:rFonts w:asciiTheme="minorHAnsi" w:hAnsiTheme="minorHAnsi"/>
              </w:rPr>
            </w:pPr>
            <w:r w:rsidRPr="003576D9">
              <w:rPr>
                <w:rFonts w:asciiTheme="minorHAnsi" w:hAnsiTheme="minorHAnsi"/>
                <w:b/>
                <w:bCs/>
              </w:rPr>
              <w:t>July 1, 2012 to June 30, 2013</w:t>
            </w:r>
          </w:p>
        </w:tc>
      </w:tr>
      <w:tr w:rsidR="00901332" w14:paraId="476C0EA7" w14:textId="77777777" w:rsidTr="00901332">
        <w:trPr>
          <w:trHeight w:val="624"/>
        </w:trPr>
        <w:tc>
          <w:tcPr>
            <w:tcW w:w="4338" w:type="dxa"/>
            <w:tcBorders>
              <w:top w:val="nil"/>
              <w:left w:val="single" w:sz="8" w:space="0" w:color="000000"/>
              <w:bottom w:val="single" w:sz="8" w:space="0" w:color="000000"/>
              <w:right w:val="single" w:sz="8" w:space="0" w:color="000000"/>
            </w:tcBorders>
            <w:tcMar>
              <w:top w:w="15" w:type="dxa"/>
              <w:left w:w="108" w:type="dxa"/>
              <w:bottom w:w="0" w:type="dxa"/>
              <w:right w:w="108" w:type="dxa"/>
            </w:tcMar>
            <w:hideMark/>
          </w:tcPr>
          <w:p w14:paraId="113CBCED" w14:textId="77777777" w:rsidR="00901332" w:rsidRPr="003576D9" w:rsidRDefault="00901332" w:rsidP="00901332">
            <w:pPr>
              <w:jc w:val="center"/>
              <w:rPr>
                <w:rFonts w:asciiTheme="minorHAnsi" w:hAnsiTheme="minorHAnsi"/>
                <w:b/>
                <w:bCs/>
              </w:rPr>
            </w:pPr>
            <w:r>
              <w:rPr>
                <w:rFonts w:asciiTheme="minorHAnsi" w:hAnsiTheme="minorHAnsi"/>
                <w:b/>
                <w:bCs/>
              </w:rPr>
              <w:t>May 1, 2012 to April 30, 2013</w:t>
            </w:r>
          </w:p>
        </w:tc>
        <w:tc>
          <w:tcPr>
            <w:tcW w:w="4590" w:type="dxa"/>
            <w:tcBorders>
              <w:top w:val="nil"/>
              <w:left w:val="nil"/>
              <w:bottom w:val="single" w:sz="8" w:space="0" w:color="000000"/>
              <w:right w:val="single" w:sz="8" w:space="0" w:color="000000"/>
            </w:tcBorders>
            <w:shd w:val="clear" w:color="auto" w:fill="B8CCE4"/>
            <w:tcMar>
              <w:top w:w="15" w:type="dxa"/>
              <w:left w:w="108" w:type="dxa"/>
              <w:bottom w:w="0" w:type="dxa"/>
              <w:right w:w="108" w:type="dxa"/>
            </w:tcMar>
            <w:hideMark/>
          </w:tcPr>
          <w:p w14:paraId="62288465" w14:textId="77777777" w:rsidR="00901332" w:rsidRPr="003576D9" w:rsidRDefault="00901332" w:rsidP="00AB5B41">
            <w:pPr>
              <w:ind w:left="702"/>
              <w:contextualSpacing/>
              <w:rPr>
                <w:rFonts w:asciiTheme="minorHAnsi" w:hAnsiTheme="minorHAnsi"/>
                <w:b/>
                <w:bCs/>
              </w:rPr>
            </w:pPr>
            <w:r>
              <w:rPr>
                <w:rFonts w:asciiTheme="minorHAnsi" w:hAnsiTheme="minorHAnsi"/>
                <w:b/>
                <w:bCs/>
              </w:rPr>
              <w:t xml:space="preserve">July 1, </w:t>
            </w:r>
            <w:r w:rsidR="00AB5B41">
              <w:rPr>
                <w:rFonts w:asciiTheme="minorHAnsi" w:hAnsiTheme="minorHAnsi"/>
                <w:b/>
                <w:bCs/>
              </w:rPr>
              <w:t xml:space="preserve">2013 </w:t>
            </w:r>
            <w:r>
              <w:rPr>
                <w:rFonts w:asciiTheme="minorHAnsi" w:hAnsiTheme="minorHAnsi"/>
                <w:b/>
                <w:bCs/>
              </w:rPr>
              <w:t>to June 30, 2014</w:t>
            </w:r>
          </w:p>
        </w:tc>
      </w:tr>
      <w:tr w:rsidR="00901332" w14:paraId="5D211FC4" w14:textId="77777777" w:rsidTr="00901332">
        <w:trPr>
          <w:trHeight w:val="624"/>
        </w:trPr>
        <w:tc>
          <w:tcPr>
            <w:tcW w:w="4338" w:type="dxa"/>
            <w:tcBorders>
              <w:top w:val="nil"/>
              <w:left w:val="single" w:sz="8" w:space="0" w:color="000000"/>
              <w:bottom w:val="single" w:sz="8" w:space="0" w:color="000000"/>
              <w:right w:val="single" w:sz="8" w:space="0" w:color="000000"/>
            </w:tcBorders>
            <w:tcMar>
              <w:top w:w="15" w:type="dxa"/>
              <w:left w:w="108" w:type="dxa"/>
              <w:bottom w:w="0" w:type="dxa"/>
              <w:right w:w="108" w:type="dxa"/>
            </w:tcMar>
            <w:hideMark/>
          </w:tcPr>
          <w:p w14:paraId="177AEF18" w14:textId="77777777" w:rsidR="00901332" w:rsidRPr="003576D9" w:rsidRDefault="00901332" w:rsidP="00901332">
            <w:pPr>
              <w:jc w:val="center"/>
              <w:rPr>
                <w:rFonts w:asciiTheme="minorHAnsi" w:hAnsiTheme="minorHAnsi"/>
              </w:rPr>
            </w:pPr>
            <w:r w:rsidRPr="003576D9">
              <w:rPr>
                <w:rFonts w:asciiTheme="minorHAnsi" w:hAnsiTheme="minorHAnsi"/>
                <w:b/>
                <w:bCs/>
              </w:rPr>
              <w:t>May 1, (Year X) to April 30, (Year X+1)</w:t>
            </w:r>
          </w:p>
        </w:tc>
        <w:tc>
          <w:tcPr>
            <w:tcW w:w="4590" w:type="dxa"/>
            <w:tcBorders>
              <w:top w:val="nil"/>
              <w:left w:val="nil"/>
              <w:bottom w:val="single" w:sz="8" w:space="0" w:color="000000"/>
              <w:right w:val="single" w:sz="8" w:space="0" w:color="000000"/>
            </w:tcBorders>
            <w:shd w:val="clear" w:color="auto" w:fill="B8CCE4"/>
            <w:tcMar>
              <w:top w:w="15" w:type="dxa"/>
              <w:left w:w="108" w:type="dxa"/>
              <w:bottom w:w="0" w:type="dxa"/>
              <w:right w:w="108" w:type="dxa"/>
            </w:tcMar>
            <w:hideMark/>
          </w:tcPr>
          <w:p w14:paraId="623317B3" w14:textId="77777777" w:rsidR="00901332" w:rsidRPr="003576D9" w:rsidRDefault="00901332" w:rsidP="00901332">
            <w:pPr>
              <w:jc w:val="center"/>
              <w:rPr>
                <w:rFonts w:asciiTheme="minorHAnsi" w:hAnsiTheme="minorHAnsi"/>
              </w:rPr>
            </w:pPr>
            <w:r w:rsidRPr="003576D9">
              <w:rPr>
                <w:rFonts w:asciiTheme="minorHAnsi" w:hAnsiTheme="minorHAnsi"/>
                <w:b/>
                <w:bCs/>
              </w:rPr>
              <w:t>July 1, (Year X+1) to June 30, (Year X+2)</w:t>
            </w:r>
          </w:p>
        </w:tc>
      </w:tr>
    </w:tbl>
    <w:p w14:paraId="5ACC9810" w14:textId="77777777" w:rsidR="001974EF" w:rsidRDefault="001974EF" w:rsidP="005B3663">
      <w:pPr>
        <w:spacing w:before="120" w:after="120"/>
        <w:rPr>
          <w:rFonts w:ascii="Arial" w:hAnsi="Arial" w:cs="Arial"/>
          <w:b/>
          <w:sz w:val="24"/>
          <w:szCs w:val="24"/>
        </w:rPr>
      </w:pPr>
    </w:p>
    <w:p w14:paraId="75F2934C" w14:textId="77777777" w:rsidR="004A745A" w:rsidRDefault="00B7472A">
      <w:pPr>
        <w:pStyle w:val="BodyText"/>
        <w:rPr>
          <w:rFonts w:ascii="Arial" w:hAnsi="Arial" w:cs="Arial"/>
          <w:b/>
          <w:sz w:val="24"/>
          <w:szCs w:val="24"/>
        </w:rPr>
      </w:pPr>
      <w:r>
        <w:rPr>
          <w:rFonts w:ascii="Arial" w:hAnsi="Arial" w:cs="Arial"/>
          <w:b/>
          <w:sz w:val="24"/>
          <w:szCs w:val="24"/>
        </w:rPr>
        <w:t xml:space="preserve">Method 2 - </w:t>
      </w:r>
      <w:r w:rsidR="0029108A" w:rsidRPr="0029108A">
        <w:rPr>
          <w:rFonts w:ascii="Arial" w:hAnsi="Arial" w:cs="Arial"/>
          <w:b/>
          <w:sz w:val="24"/>
          <w:szCs w:val="24"/>
        </w:rPr>
        <w:t>Class B Market Participant Load Facilities</w:t>
      </w:r>
    </w:p>
    <w:p w14:paraId="7609C39E" w14:textId="77777777" w:rsidR="004A745A" w:rsidRDefault="00645431">
      <w:pPr>
        <w:rPr>
          <w:szCs w:val="22"/>
        </w:rPr>
      </w:pPr>
      <w:r w:rsidRPr="00645431">
        <w:rPr>
          <w:szCs w:val="22"/>
        </w:rPr>
        <w:t xml:space="preserve">All other </w:t>
      </w:r>
      <w:r w:rsidR="0029108A" w:rsidRPr="0029108A">
        <w:rPr>
          <w:i/>
          <w:szCs w:val="22"/>
        </w:rPr>
        <w:t>Market P</w:t>
      </w:r>
      <w:r w:rsidRPr="00645431">
        <w:rPr>
          <w:i/>
          <w:szCs w:val="22"/>
        </w:rPr>
        <w:t>articipant</w:t>
      </w:r>
      <w:r w:rsidR="0029108A" w:rsidRPr="0029108A">
        <w:rPr>
          <w:i/>
          <w:szCs w:val="22"/>
        </w:rPr>
        <w:t xml:space="preserve"> Load Facilities </w:t>
      </w:r>
      <w:r w:rsidR="0029108A" w:rsidRPr="0029108A">
        <w:rPr>
          <w:szCs w:val="22"/>
        </w:rPr>
        <w:t>that</w:t>
      </w:r>
      <w:r w:rsidRPr="00645431">
        <w:rPr>
          <w:szCs w:val="22"/>
        </w:rPr>
        <w:t xml:space="preserve"> </w:t>
      </w:r>
      <w:r w:rsidR="0029108A" w:rsidRPr="0029108A">
        <w:rPr>
          <w:szCs w:val="22"/>
        </w:rPr>
        <w:t xml:space="preserve">consume electricity, excluding licensed </w:t>
      </w:r>
      <w:r w:rsidR="0029108A" w:rsidRPr="0029108A">
        <w:rPr>
          <w:i/>
          <w:szCs w:val="22"/>
        </w:rPr>
        <w:t>distributors</w:t>
      </w:r>
      <w:r w:rsidRPr="00645431">
        <w:rPr>
          <w:szCs w:val="22"/>
        </w:rPr>
        <w:t xml:space="preserve">, are considered Class B </w:t>
      </w:r>
      <w:r w:rsidR="0029108A" w:rsidRPr="0029108A">
        <w:rPr>
          <w:szCs w:val="22"/>
        </w:rPr>
        <w:t>load.</w:t>
      </w:r>
    </w:p>
    <w:p w14:paraId="6FA26BB9" w14:textId="77777777" w:rsidR="004A745A" w:rsidRDefault="0029108A">
      <w:pPr>
        <w:rPr>
          <w:b/>
          <w:szCs w:val="22"/>
        </w:rPr>
      </w:pPr>
      <w:r w:rsidRPr="0029108A">
        <w:rPr>
          <w:b/>
          <w:szCs w:val="22"/>
        </w:rPr>
        <w:t>Exception</w:t>
      </w:r>
    </w:p>
    <w:p w14:paraId="450B84A1" w14:textId="77777777" w:rsidR="004A745A" w:rsidRDefault="0029108A">
      <w:pPr>
        <w:rPr>
          <w:szCs w:val="22"/>
        </w:rPr>
      </w:pPr>
      <w:r w:rsidRPr="0029108A">
        <w:rPr>
          <w:szCs w:val="22"/>
        </w:rPr>
        <w:t>All</w:t>
      </w:r>
      <w:r w:rsidR="00E17FC8">
        <w:rPr>
          <w:szCs w:val="22"/>
        </w:rPr>
        <w:t xml:space="preserve"> registered </w:t>
      </w:r>
      <w:r w:rsidRPr="0029108A">
        <w:rPr>
          <w:i/>
          <w:szCs w:val="22"/>
        </w:rPr>
        <w:t>load facilities</w:t>
      </w:r>
      <w:r w:rsidR="00E17FC8">
        <w:rPr>
          <w:szCs w:val="22"/>
        </w:rPr>
        <w:t xml:space="preserve"> associated with </w:t>
      </w:r>
      <w:r w:rsidRPr="0029108A">
        <w:rPr>
          <w:i/>
          <w:szCs w:val="22"/>
        </w:rPr>
        <w:t>market participants</w:t>
      </w:r>
      <w:r w:rsidR="00E17FC8">
        <w:rPr>
          <w:szCs w:val="22"/>
        </w:rPr>
        <w:t xml:space="preserve"> that were deemed to be Class A in the May 1, 2011 to April 30, 2012 Base Period will be treated as Class A </w:t>
      </w:r>
      <w:r w:rsidR="00E71FF2">
        <w:rPr>
          <w:szCs w:val="22"/>
        </w:rPr>
        <w:t xml:space="preserve">if </w:t>
      </w:r>
      <w:r w:rsidR="00E17FC8">
        <w:rPr>
          <w:szCs w:val="22"/>
        </w:rPr>
        <w:t xml:space="preserve">the aggregated maximum hourly demand for electricity of all registered </w:t>
      </w:r>
      <w:r w:rsidRPr="0029108A">
        <w:rPr>
          <w:i/>
          <w:szCs w:val="22"/>
        </w:rPr>
        <w:t>load facilities</w:t>
      </w:r>
      <w:r w:rsidR="00E17FC8">
        <w:rPr>
          <w:i/>
          <w:szCs w:val="22"/>
        </w:rPr>
        <w:t xml:space="preserve"> </w:t>
      </w:r>
      <w:r w:rsidR="00E17FC8">
        <w:rPr>
          <w:szCs w:val="22"/>
        </w:rPr>
        <w:t xml:space="preserve">in a month exceeds an average of 5 megawatts in future </w:t>
      </w:r>
      <w:r w:rsidR="007A0897">
        <w:rPr>
          <w:szCs w:val="22"/>
        </w:rPr>
        <w:t>B</w:t>
      </w:r>
      <w:r w:rsidR="00E17FC8">
        <w:rPr>
          <w:szCs w:val="22"/>
        </w:rPr>
        <w:t xml:space="preserve">ase </w:t>
      </w:r>
      <w:r w:rsidR="007A0897">
        <w:rPr>
          <w:szCs w:val="22"/>
        </w:rPr>
        <w:t>P</w:t>
      </w:r>
      <w:r w:rsidR="00E17FC8">
        <w:rPr>
          <w:szCs w:val="22"/>
        </w:rPr>
        <w:t>eriods.</w:t>
      </w:r>
    </w:p>
    <w:p w14:paraId="65EBE808" w14:textId="77777777" w:rsidR="004A745A" w:rsidRDefault="0029108A">
      <w:pPr>
        <w:rPr>
          <w:b/>
          <w:szCs w:val="22"/>
        </w:rPr>
      </w:pPr>
      <w:r w:rsidRPr="0029108A">
        <w:rPr>
          <w:b/>
          <w:szCs w:val="22"/>
        </w:rPr>
        <w:t>Opt Out</w:t>
      </w:r>
    </w:p>
    <w:p w14:paraId="2631690E" w14:textId="77777777" w:rsidR="004A745A" w:rsidRDefault="0029108A">
      <w:pPr>
        <w:rPr>
          <w:szCs w:val="22"/>
        </w:rPr>
      </w:pPr>
      <w:r w:rsidRPr="0029108A">
        <w:rPr>
          <w:i/>
          <w:szCs w:val="22"/>
        </w:rPr>
        <w:t>Market Participant Load Facilities</w:t>
      </w:r>
      <w:r w:rsidR="00E17FC8">
        <w:rPr>
          <w:szCs w:val="22"/>
        </w:rPr>
        <w:t xml:space="preserve"> eligible for Class A treatment based on the eligibility criteria noted above for any </w:t>
      </w:r>
      <w:r w:rsidR="004F784D">
        <w:rPr>
          <w:szCs w:val="22"/>
        </w:rPr>
        <w:t xml:space="preserve">Base Period may elect to deem the </w:t>
      </w:r>
      <w:r w:rsidRPr="0029108A">
        <w:rPr>
          <w:i/>
          <w:szCs w:val="22"/>
        </w:rPr>
        <w:t>load facility</w:t>
      </w:r>
      <w:r w:rsidR="004F784D">
        <w:rPr>
          <w:szCs w:val="22"/>
        </w:rPr>
        <w:t xml:space="preserve"> as Class B for the related Adjustment Period.  This election must be made annually via written notice to the </w:t>
      </w:r>
      <w:r w:rsidRPr="0029108A">
        <w:rPr>
          <w:i/>
          <w:szCs w:val="22"/>
        </w:rPr>
        <w:t>IESO</w:t>
      </w:r>
      <w:r w:rsidR="004F784D">
        <w:rPr>
          <w:szCs w:val="22"/>
        </w:rPr>
        <w:t xml:space="preserve"> on or before June 15</w:t>
      </w:r>
      <w:r w:rsidRPr="0029108A">
        <w:rPr>
          <w:szCs w:val="22"/>
          <w:vertAlign w:val="superscript"/>
        </w:rPr>
        <w:t>th</w:t>
      </w:r>
      <w:r w:rsidR="004F784D">
        <w:rPr>
          <w:szCs w:val="22"/>
        </w:rPr>
        <w:t xml:space="preserve"> in any year.</w:t>
      </w:r>
    </w:p>
    <w:p w14:paraId="5097F203" w14:textId="77777777" w:rsidR="003F5E04" w:rsidRPr="00CB053F" w:rsidRDefault="0029108A" w:rsidP="005B3663">
      <w:pPr>
        <w:pStyle w:val="BodyText"/>
        <w:spacing w:before="360"/>
        <w:rPr>
          <w:rFonts w:ascii="Arial" w:hAnsi="Arial" w:cs="Arial"/>
          <w:b/>
          <w:sz w:val="24"/>
          <w:szCs w:val="24"/>
          <w:u w:val="single"/>
        </w:rPr>
      </w:pPr>
      <w:r w:rsidRPr="0029108A">
        <w:rPr>
          <w:rFonts w:ascii="Arial" w:hAnsi="Arial" w:cs="Arial"/>
          <w:b/>
          <w:sz w:val="24"/>
          <w:szCs w:val="24"/>
          <w:u w:val="single"/>
        </w:rPr>
        <w:t xml:space="preserve">Global Adjustment </w:t>
      </w:r>
      <w:r w:rsidR="00C24A72">
        <w:rPr>
          <w:rFonts w:ascii="Arial" w:hAnsi="Arial" w:cs="Arial"/>
          <w:b/>
          <w:sz w:val="24"/>
          <w:szCs w:val="24"/>
          <w:u w:val="single"/>
        </w:rPr>
        <w:t xml:space="preserve">- </w:t>
      </w:r>
      <w:r w:rsidRPr="0029108A">
        <w:rPr>
          <w:rFonts w:ascii="Arial" w:hAnsi="Arial" w:cs="Arial"/>
          <w:b/>
          <w:sz w:val="24"/>
          <w:szCs w:val="24"/>
          <w:u w:val="single"/>
        </w:rPr>
        <w:t>Settlement</w:t>
      </w:r>
    </w:p>
    <w:p w14:paraId="702C3235" w14:textId="77777777" w:rsidR="00093B41" w:rsidRPr="00093B41" w:rsidRDefault="00093B41">
      <w:pPr>
        <w:pStyle w:val="BodyText"/>
        <w:rPr>
          <w:rFonts w:ascii="Cambria" w:hAnsi="Cambria"/>
          <w:b/>
          <w:sz w:val="4"/>
          <w:szCs w:val="4"/>
          <w:u w:val="single"/>
        </w:rPr>
      </w:pPr>
    </w:p>
    <w:p w14:paraId="6A8F0247" w14:textId="77777777" w:rsidR="00E63380" w:rsidRPr="00CB053F" w:rsidRDefault="0029108A">
      <w:pPr>
        <w:pStyle w:val="BodyText"/>
        <w:rPr>
          <w:rFonts w:ascii="Arial" w:hAnsi="Arial" w:cs="Arial"/>
          <w:b/>
          <w:szCs w:val="22"/>
        </w:rPr>
      </w:pPr>
      <w:r w:rsidRPr="0029108A">
        <w:rPr>
          <w:rFonts w:ascii="Arial" w:hAnsi="Arial" w:cs="Arial"/>
          <w:b/>
          <w:szCs w:val="22"/>
        </w:rPr>
        <w:t>Class A Market Participant Load Facilities and Distributors with Class A Consumers</w:t>
      </w:r>
    </w:p>
    <w:p w14:paraId="0B5754B5" w14:textId="77777777" w:rsidR="00E63380" w:rsidRPr="00AB0BEC" w:rsidRDefault="00E63380" w:rsidP="00E63380">
      <w:r w:rsidRPr="008679CB">
        <w:t xml:space="preserve">Class A </w:t>
      </w:r>
      <w:r w:rsidRPr="008679CB">
        <w:rPr>
          <w:i/>
        </w:rPr>
        <w:t>market participant</w:t>
      </w:r>
      <w:r w:rsidR="004F784D">
        <w:rPr>
          <w:i/>
        </w:rPr>
        <w:t xml:space="preserve"> load facilities</w:t>
      </w:r>
      <w:r w:rsidRPr="008679CB">
        <w:t xml:space="preserve"> and </w:t>
      </w:r>
      <w:r w:rsidRPr="008679CB">
        <w:rPr>
          <w:i/>
        </w:rPr>
        <w:t>distributors</w:t>
      </w:r>
      <w:r w:rsidRPr="008679CB">
        <w:t xml:space="preserve"> with Class A </w:t>
      </w:r>
      <w:r w:rsidRPr="008679CB">
        <w:rPr>
          <w:i/>
        </w:rPr>
        <w:t>consumers</w:t>
      </w:r>
      <w:r w:rsidRPr="008679CB">
        <w:t xml:space="preserve"> will be apportioned their share of the total Global Adjustment amount each month in a defined Adjustment Period based on a “Peak Demand Factor” calculation based on their load pattern in the related Base Period.</w:t>
      </w:r>
    </w:p>
    <w:p w14:paraId="30596159" w14:textId="77777777" w:rsidR="00E63380" w:rsidRPr="00AB0BEC" w:rsidRDefault="00E63380" w:rsidP="00E63380">
      <w:pPr>
        <w:pStyle w:val="Default"/>
        <w:rPr>
          <w:sz w:val="22"/>
          <w:szCs w:val="22"/>
        </w:rPr>
      </w:pPr>
      <w:r w:rsidRPr="008679CB">
        <w:rPr>
          <w:sz w:val="22"/>
          <w:szCs w:val="22"/>
        </w:rPr>
        <w:t xml:space="preserve">The </w:t>
      </w:r>
      <w:r w:rsidRPr="008679CB">
        <w:rPr>
          <w:i/>
          <w:sz w:val="22"/>
          <w:szCs w:val="22"/>
        </w:rPr>
        <w:t>IESO</w:t>
      </w:r>
      <w:r w:rsidRPr="008679CB">
        <w:rPr>
          <w:sz w:val="22"/>
          <w:szCs w:val="22"/>
        </w:rPr>
        <w:t xml:space="preserve"> will determine, for the appropriate Base Period, the five hours where </w:t>
      </w:r>
      <w:r w:rsidRPr="008679CB">
        <w:rPr>
          <w:i/>
          <w:sz w:val="22"/>
          <w:szCs w:val="22"/>
        </w:rPr>
        <w:t>market participants</w:t>
      </w:r>
      <w:r w:rsidRPr="008679CB">
        <w:rPr>
          <w:sz w:val="22"/>
          <w:szCs w:val="22"/>
        </w:rPr>
        <w:t xml:space="preserve"> (including </w:t>
      </w:r>
      <w:r w:rsidRPr="008679CB">
        <w:rPr>
          <w:i/>
          <w:sz w:val="22"/>
          <w:szCs w:val="22"/>
        </w:rPr>
        <w:t>distributors</w:t>
      </w:r>
      <w:r w:rsidRPr="008679CB">
        <w:rPr>
          <w:sz w:val="22"/>
          <w:szCs w:val="22"/>
        </w:rPr>
        <w:t xml:space="preserve">) withdrew the greatest total net volume of electricity from the </w:t>
      </w:r>
      <w:r w:rsidRPr="008679CB">
        <w:rPr>
          <w:i/>
          <w:sz w:val="22"/>
          <w:szCs w:val="22"/>
        </w:rPr>
        <w:t>IESO-controlled grid</w:t>
      </w:r>
      <w:r w:rsidRPr="008679CB">
        <w:rPr>
          <w:sz w:val="22"/>
          <w:szCs w:val="22"/>
        </w:rPr>
        <w:t xml:space="preserve">.  These hours must be on different days.  The determination of the peak hour will be based on hourly </w:t>
      </w:r>
      <w:r>
        <w:rPr>
          <w:sz w:val="22"/>
          <w:szCs w:val="22"/>
        </w:rPr>
        <w:t xml:space="preserve">Allocated Quantity of Energy Withdrawn (AQEW) from the </w:t>
      </w:r>
      <w:r w:rsidRPr="008679CB">
        <w:rPr>
          <w:i/>
          <w:sz w:val="22"/>
          <w:szCs w:val="22"/>
        </w:rPr>
        <w:t>IESO</w:t>
      </w:r>
      <w:r w:rsidR="00F85F30">
        <w:rPr>
          <w:i/>
          <w:sz w:val="22"/>
          <w:szCs w:val="22"/>
        </w:rPr>
        <w:t>-</w:t>
      </w:r>
      <w:r w:rsidRPr="008679CB">
        <w:rPr>
          <w:i/>
          <w:sz w:val="22"/>
          <w:szCs w:val="22"/>
        </w:rPr>
        <w:t>controlled grid</w:t>
      </w:r>
      <w:r w:rsidRPr="008679CB">
        <w:rPr>
          <w:sz w:val="22"/>
          <w:szCs w:val="22"/>
        </w:rPr>
        <w:t xml:space="preserve"> net of several adjust</w:t>
      </w:r>
      <w:r>
        <w:rPr>
          <w:sz w:val="22"/>
          <w:szCs w:val="22"/>
        </w:rPr>
        <w:t>ments.</w:t>
      </w:r>
      <w:r w:rsidR="003B5490">
        <w:rPr>
          <w:sz w:val="22"/>
          <w:szCs w:val="22"/>
        </w:rPr>
        <w:t xml:space="preserve"> </w:t>
      </w:r>
      <w:r w:rsidRPr="008679CB">
        <w:rPr>
          <w:sz w:val="22"/>
          <w:szCs w:val="22"/>
        </w:rPr>
        <w:t>The adjust</w:t>
      </w:r>
      <w:r w:rsidR="002B2501">
        <w:rPr>
          <w:sz w:val="22"/>
          <w:szCs w:val="22"/>
        </w:rPr>
        <w:t>ments include:</w:t>
      </w:r>
    </w:p>
    <w:p w14:paraId="6FF852A5" w14:textId="77777777" w:rsidR="00E63380" w:rsidRPr="00AB0BEC" w:rsidRDefault="00E63380" w:rsidP="00E63380">
      <w:pPr>
        <w:pStyle w:val="Default"/>
        <w:rPr>
          <w:sz w:val="22"/>
          <w:szCs w:val="22"/>
        </w:rPr>
      </w:pPr>
    </w:p>
    <w:p w14:paraId="24877071" w14:textId="77777777" w:rsidR="00E63380" w:rsidRDefault="00E63380" w:rsidP="001635E8">
      <w:pPr>
        <w:pStyle w:val="clause-e"/>
        <w:numPr>
          <w:ilvl w:val="0"/>
          <w:numId w:val="80"/>
        </w:numPr>
        <w:tabs>
          <w:tab w:val="clear" w:pos="836"/>
          <w:tab w:val="clear" w:pos="1076"/>
          <w:tab w:val="left" w:pos="360"/>
        </w:tabs>
        <w:spacing w:after="80"/>
        <w:rPr>
          <w:sz w:val="22"/>
          <w:szCs w:val="22"/>
        </w:rPr>
      </w:pPr>
      <w:r w:rsidRPr="008679CB">
        <w:rPr>
          <w:sz w:val="22"/>
          <w:szCs w:val="22"/>
        </w:rPr>
        <w:lastRenderedPageBreak/>
        <w:t>the net volume withdrawn at the Sir Adam Beck Pump Generating Station;</w:t>
      </w:r>
    </w:p>
    <w:p w14:paraId="7AF1531F" w14:textId="77777777" w:rsidR="00E63380" w:rsidRDefault="00E63380" w:rsidP="001635E8">
      <w:pPr>
        <w:pStyle w:val="clause-e"/>
        <w:numPr>
          <w:ilvl w:val="0"/>
          <w:numId w:val="80"/>
        </w:numPr>
        <w:tabs>
          <w:tab w:val="clear" w:pos="836"/>
          <w:tab w:val="clear" w:pos="1076"/>
          <w:tab w:val="left" w:pos="360"/>
        </w:tabs>
        <w:spacing w:after="80"/>
        <w:rPr>
          <w:sz w:val="22"/>
          <w:szCs w:val="22"/>
        </w:rPr>
      </w:pPr>
      <w:r w:rsidRPr="008679CB">
        <w:rPr>
          <w:sz w:val="22"/>
          <w:szCs w:val="22"/>
        </w:rPr>
        <w:t xml:space="preserve">the net volume withdrawn by Fort Frances Power Corporation under its </w:t>
      </w:r>
      <w:r w:rsidR="00161C7C" w:rsidRPr="00161C7C">
        <w:rPr>
          <w:i/>
          <w:sz w:val="22"/>
          <w:szCs w:val="22"/>
        </w:rPr>
        <w:t>physical bilateral contract</w:t>
      </w:r>
      <w:r w:rsidRPr="008679CB">
        <w:rPr>
          <w:sz w:val="22"/>
          <w:szCs w:val="22"/>
        </w:rPr>
        <w:t xml:space="preserve"> with Abitibi-Consolidated Hydro Limited Partnership; and</w:t>
      </w:r>
    </w:p>
    <w:p w14:paraId="170ED5AF" w14:textId="77777777" w:rsidR="00E63380" w:rsidRDefault="00E63380" w:rsidP="001635E8">
      <w:pPr>
        <w:pStyle w:val="clause-e"/>
        <w:numPr>
          <w:ilvl w:val="0"/>
          <w:numId w:val="80"/>
        </w:numPr>
        <w:tabs>
          <w:tab w:val="clear" w:pos="836"/>
          <w:tab w:val="clear" w:pos="1076"/>
          <w:tab w:val="left" w:pos="360"/>
        </w:tabs>
        <w:spacing w:after="80"/>
        <w:rPr>
          <w:sz w:val="22"/>
          <w:szCs w:val="22"/>
        </w:rPr>
      </w:pPr>
      <w:r w:rsidRPr="008679CB">
        <w:rPr>
          <w:sz w:val="22"/>
          <w:szCs w:val="22"/>
        </w:rPr>
        <w:t xml:space="preserve">the net volume withdrawn by </w:t>
      </w:r>
      <w:r w:rsidRPr="008679CB">
        <w:rPr>
          <w:i/>
          <w:sz w:val="22"/>
          <w:szCs w:val="22"/>
        </w:rPr>
        <w:t>market participants</w:t>
      </w:r>
      <w:r w:rsidRPr="008679CB">
        <w:rPr>
          <w:sz w:val="22"/>
          <w:szCs w:val="22"/>
        </w:rPr>
        <w:t xml:space="preserve"> in the course of providing </w:t>
      </w:r>
      <w:r w:rsidRPr="008679CB">
        <w:rPr>
          <w:i/>
          <w:sz w:val="22"/>
          <w:szCs w:val="22"/>
        </w:rPr>
        <w:t>ancillary services</w:t>
      </w:r>
      <w:r w:rsidRPr="008679CB">
        <w:rPr>
          <w:sz w:val="22"/>
          <w:szCs w:val="22"/>
        </w:rPr>
        <w:t xml:space="preserve"> in accordance with the </w:t>
      </w:r>
      <w:r w:rsidRPr="008679CB">
        <w:rPr>
          <w:i/>
          <w:sz w:val="22"/>
          <w:szCs w:val="22"/>
        </w:rPr>
        <w:t>market rules</w:t>
      </w:r>
      <w:r w:rsidRPr="008679CB">
        <w:rPr>
          <w:sz w:val="22"/>
          <w:szCs w:val="22"/>
        </w:rPr>
        <w:t>.</w:t>
      </w:r>
    </w:p>
    <w:p w14:paraId="2F285325" w14:textId="77777777" w:rsidR="00E63380" w:rsidRDefault="00E63380" w:rsidP="00E63380">
      <w:pPr>
        <w:pStyle w:val="clause-e"/>
        <w:tabs>
          <w:tab w:val="left" w:pos="360"/>
        </w:tabs>
        <w:rPr>
          <w:sz w:val="22"/>
          <w:szCs w:val="22"/>
        </w:rPr>
      </w:pPr>
    </w:p>
    <w:p w14:paraId="390A919A" w14:textId="77777777" w:rsidR="00CA25FD" w:rsidRDefault="00E63380">
      <w:pPr>
        <w:pStyle w:val="clause-e"/>
        <w:ind w:left="0" w:firstLine="0"/>
        <w:rPr>
          <w:sz w:val="22"/>
          <w:szCs w:val="22"/>
        </w:rPr>
      </w:pPr>
      <w:r w:rsidRPr="008679CB">
        <w:rPr>
          <w:sz w:val="22"/>
          <w:szCs w:val="22"/>
        </w:rPr>
        <w:t xml:space="preserve">The Peak Demand factor for a Class A </w:t>
      </w:r>
      <w:r w:rsidRPr="008679CB">
        <w:rPr>
          <w:i/>
          <w:sz w:val="22"/>
          <w:szCs w:val="22"/>
        </w:rPr>
        <w:t>market participant</w:t>
      </w:r>
      <w:r w:rsidRPr="008679CB">
        <w:rPr>
          <w:sz w:val="22"/>
          <w:szCs w:val="22"/>
        </w:rPr>
        <w:t xml:space="preserve"> will be based on their consumption coincident with the five peak hours identified for the Base Period.  The Peak Demand Factor will be calculated as follows:</w:t>
      </w:r>
    </w:p>
    <w:p w14:paraId="65808EA5" w14:textId="77777777" w:rsidR="00CA25FD" w:rsidRDefault="00CA25FD">
      <w:pPr>
        <w:pStyle w:val="clause-e"/>
        <w:rPr>
          <w:rFonts w:asciiTheme="minorHAnsi" w:hAnsiTheme="minorHAnsi"/>
          <w:sz w:val="22"/>
          <w:szCs w:val="22"/>
        </w:rPr>
      </w:pPr>
    </w:p>
    <w:p w14:paraId="1A7C7768" w14:textId="5F7764B4" w:rsidR="00CA25FD" w:rsidRDefault="00AF31CD">
      <w:pPr>
        <w:pStyle w:val="clause-e"/>
        <w:rPr>
          <w:rFonts w:asciiTheme="minorHAnsi" w:hAnsiTheme="minorHAnsi"/>
          <w:sz w:val="22"/>
          <w:szCs w:val="22"/>
        </w:rPr>
      </w:pPr>
      <w:r>
        <w:rPr>
          <w:noProof/>
          <w:lang w:val="en-CA" w:eastAsia="en-CA"/>
        </w:rPr>
        <w:drawing>
          <wp:inline distT="0" distB="0" distL="0" distR="0" wp14:anchorId="025F408F" wp14:editId="4EB48D42">
            <wp:extent cx="5715000" cy="1060450"/>
            <wp:effectExtent l="0" t="0" r="0" b="6350"/>
            <wp:docPr id="10" name="Picture 10" descr="Equation for Peak Demand Fa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15000" cy="1060450"/>
                    </a:xfrm>
                    <a:prstGeom prst="rect">
                      <a:avLst/>
                    </a:prstGeom>
                  </pic:spPr>
                </pic:pic>
              </a:graphicData>
            </a:graphic>
          </wp:inline>
        </w:drawing>
      </w:r>
    </w:p>
    <w:p w14:paraId="33FD88AE" w14:textId="77777777" w:rsidR="00CA25FD" w:rsidRDefault="00161C7C">
      <w:pPr>
        <w:pStyle w:val="clause-e"/>
        <w:rPr>
          <w:sz w:val="22"/>
          <w:szCs w:val="22"/>
        </w:rPr>
      </w:pPr>
      <w:r w:rsidRPr="00161C7C">
        <w:rPr>
          <w:sz w:val="22"/>
          <w:szCs w:val="22"/>
        </w:rPr>
        <w:t xml:space="preserve">Where </w:t>
      </w:r>
    </w:p>
    <w:p w14:paraId="20714205" w14:textId="77777777" w:rsidR="00CA25FD" w:rsidRDefault="00161C7C">
      <w:pPr>
        <w:pStyle w:val="clause-e"/>
        <w:rPr>
          <w:sz w:val="22"/>
          <w:szCs w:val="22"/>
        </w:rPr>
      </w:pPr>
      <w:r w:rsidRPr="00161C7C">
        <w:rPr>
          <w:sz w:val="22"/>
          <w:szCs w:val="22"/>
        </w:rPr>
        <w:tab/>
        <w:t>Peak System Consumption for the Peak Hour</w:t>
      </w:r>
    </w:p>
    <w:p w14:paraId="33FE863F" w14:textId="77777777" w:rsidR="00CB053F" w:rsidRDefault="00CB053F">
      <w:pPr>
        <w:pStyle w:val="clause-e"/>
        <w:rPr>
          <w:sz w:val="22"/>
          <w:szCs w:val="22"/>
        </w:rPr>
      </w:pPr>
    </w:p>
    <w:p w14:paraId="4670DCDA" w14:textId="77777777" w:rsidR="00CA25FD" w:rsidRDefault="00161C7C">
      <w:pPr>
        <w:pStyle w:val="clause-e"/>
        <w:ind w:left="720" w:hanging="720"/>
        <w:rPr>
          <w:sz w:val="22"/>
          <w:szCs w:val="22"/>
        </w:rPr>
      </w:pPr>
      <w:r w:rsidRPr="00161C7C">
        <w:rPr>
          <w:sz w:val="22"/>
          <w:szCs w:val="22"/>
        </w:rPr>
        <w:t xml:space="preserve">= AQEW + </w:t>
      </w:r>
      <w:r w:rsidRPr="00161C7C">
        <w:rPr>
          <w:i/>
          <w:sz w:val="22"/>
          <w:szCs w:val="22"/>
        </w:rPr>
        <w:t>Embedded Generation</w:t>
      </w:r>
      <w:r w:rsidR="00B9654C">
        <w:rPr>
          <w:i/>
          <w:sz w:val="22"/>
          <w:szCs w:val="22"/>
        </w:rPr>
        <w:t xml:space="preserve"> offsetting the load </w:t>
      </w:r>
      <w:r w:rsidR="00966B12">
        <w:rPr>
          <w:i/>
          <w:sz w:val="22"/>
          <w:szCs w:val="22"/>
        </w:rPr>
        <w:t>of</w:t>
      </w:r>
      <w:r w:rsidR="00966B12" w:rsidRPr="00161C7C">
        <w:rPr>
          <w:sz w:val="22"/>
          <w:szCs w:val="22"/>
        </w:rPr>
        <w:t xml:space="preserve"> licensed</w:t>
      </w:r>
      <w:r w:rsidRPr="00161C7C">
        <w:rPr>
          <w:sz w:val="22"/>
          <w:szCs w:val="22"/>
        </w:rPr>
        <w:t xml:space="preserve"> </w:t>
      </w:r>
      <w:r w:rsidRPr="00161C7C">
        <w:rPr>
          <w:i/>
          <w:sz w:val="22"/>
          <w:szCs w:val="22"/>
        </w:rPr>
        <w:t>distributors</w:t>
      </w:r>
      <w:r w:rsidRPr="00161C7C">
        <w:rPr>
          <w:sz w:val="22"/>
          <w:szCs w:val="22"/>
        </w:rPr>
        <w:t xml:space="preserve"> - Beck Pump Generating Station AQEW - Fort Frances Power Corporation </w:t>
      </w:r>
      <w:r w:rsidRPr="00161C7C">
        <w:rPr>
          <w:i/>
          <w:sz w:val="22"/>
          <w:szCs w:val="22"/>
        </w:rPr>
        <w:t>physical bilateral contract</w:t>
      </w:r>
      <w:r w:rsidRPr="00161C7C">
        <w:rPr>
          <w:sz w:val="22"/>
          <w:szCs w:val="22"/>
        </w:rPr>
        <w:t xml:space="preserve"> amount – AQEW related to the provision of </w:t>
      </w:r>
      <w:r w:rsidRPr="00161C7C">
        <w:rPr>
          <w:i/>
          <w:sz w:val="22"/>
          <w:szCs w:val="22"/>
        </w:rPr>
        <w:t>ancillary services</w:t>
      </w:r>
      <w:r w:rsidRPr="00161C7C">
        <w:rPr>
          <w:sz w:val="22"/>
          <w:szCs w:val="22"/>
        </w:rPr>
        <w:t xml:space="preserve"> as defined in the </w:t>
      </w:r>
      <w:r w:rsidRPr="00161C7C">
        <w:rPr>
          <w:i/>
          <w:sz w:val="22"/>
          <w:szCs w:val="22"/>
        </w:rPr>
        <w:t>market rules</w:t>
      </w:r>
      <w:r w:rsidRPr="00161C7C">
        <w:rPr>
          <w:sz w:val="22"/>
          <w:szCs w:val="22"/>
        </w:rPr>
        <w:t>.</w:t>
      </w:r>
    </w:p>
    <w:p w14:paraId="72D57959" w14:textId="77777777" w:rsidR="001635E8" w:rsidRDefault="001635E8">
      <w:pPr>
        <w:pStyle w:val="clause-e"/>
        <w:ind w:left="720" w:hanging="720"/>
        <w:rPr>
          <w:sz w:val="22"/>
          <w:szCs w:val="22"/>
        </w:rPr>
      </w:pPr>
    </w:p>
    <w:p w14:paraId="029D4997" w14:textId="77777777" w:rsidR="00CA25FD" w:rsidRDefault="00E63380" w:rsidP="005B3663">
      <w:pPr>
        <w:pStyle w:val="clause-e"/>
        <w:spacing w:before="240" w:after="120"/>
        <w:ind w:left="0" w:firstLine="0"/>
        <w:rPr>
          <w:sz w:val="22"/>
          <w:szCs w:val="22"/>
        </w:rPr>
      </w:pPr>
      <w:r w:rsidRPr="008679CB">
        <w:rPr>
          <w:sz w:val="22"/>
          <w:szCs w:val="22"/>
        </w:rPr>
        <w:t xml:space="preserve">The coincident peak consumption amounts for Class A </w:t>
      </w:r>
      <w:r w:rsidRPr="008679CB">
        <w:rPr>
          <w:i/>
          <w:sz w:val="22"/>
          <w:szCs w:val="22"/>
        </w:rPr>
        <w:t>market participants</w:t>
      </w:r>
      <w:r w:rsidRPr="008679CB">
        <w:rPr>
          <w:sz w:val="22"/>
          <w:szCs w:val="22"/>
        </w:rPr>
        <w:t xml:space="preserve"> or for </w:t>
      </w:r>
      <w:r w:rsidRPr="008679CB">
        <w:rPr>
          <w:i/>
          <w:sz w:val="22"/>
          <w:szCs w:val="22"/>
        </w:rPr>
        <w:t>distributors</w:t>
      </w:r>
      <w:r w:rsidRPr="008679CB">
        <w:rPr>
          <w:sz w:val="22"/>
          <w:szCs w:val="22"/>
        </w:rPr>
        <w:t xml:space="preserve"> with Class A </w:t>
      </w:r>
      <w:r w:rsidRPr="008679CB">
        <w:rPr>
          <w:i/>
          <w:sz w:val="22"/>
          <w:szCs w:val="22"/>
        </w:rPr>
        <w:t>consumers</w:t>
      </w:r>
      <w:r w:rsidRPr="008679CB">
        <w:rPr>
          <w:sz w:val="22"/>
          <w:szCs w:val="22"/>
        </w:rPr>
        <w:t xml:space="preserve"> will be determined from AQEW values derived for </w:t>
      </w:r>
      <w:r w:rsidRPr="008679CB">
        <w:rPr>
          <w:i/>
          <w:sz w:val="22"/>
          <w:szCs w:val="22"/>
        </w:rPr>
        <w:t>settlement</w:t>
      </w:r>
      <w:r w:rsidRPr="008679CB">
        <w:rPr>
          <w:sz w:val="22"/>
          <w:szCs w:val="22"/>
        </w:rPr>
        <w:t xml:space="preserve"> in the Base Period.  </w:t>
      </w:r>
      <w:r w:rsidRPr="008679CB">
        <w:rPr>
          <w:i/>
          <w:sz w:val="22"/>
          <w:szCs w:val="22"/>
        </w:rPr>
        <w:t>Distributors</w:t>
      </w:r>
      <w:r w:rsidRPr="008679CB">
        <w:rPr>
          <w:sz w:val="22"/>
          <w:szCs w:val="22"/>
        </w:rPr>
        <w:t xml:space="preserve"> will be asked to submit the amount of Class A </w:t>
      </w:r>
      <w:r w:rsidR="00DA3379" w:rsidRPr="00DA3379">
        <w:rPr>
          <w:i/>
          <w:sz w:val="22"/>
          <w:szCs w:val="22"/>
        </w:rPr>
        <w:t>consumer</w:t>
      </w:r>
      <w:r w:rsidRPr="008679CB">
        <w:rPr>
          <w:sz w:val="22"/>
          <w:szCs w:val="22"/>
        </w:rPr>
        <w:t xml:space="preserve"> load coincident with peak hours at the end of the appropriate Base Period along with the </w:t>
      </w:r>
      <w:r w:rsidR="0029108A" w:rsidRPr="0029108A">
        <w:rPr>
          <w:i/>
          <w:sz w:val="22"/>
          <w:szCs w:val="22"/>
        </w:rPr>
        <w:t>embedded generation</w:t>
      </w:r>
      <w:r w:rsidRPr="008679CB">
        <w:rPr>
          <w:sz w:val="22"/>
          <w:szCs w:val="22"/>
        </w:rPr>
        <w:t xml:space="preserve"> </w:t>
      </w:r>
      <w:r w:rsidR="00B9654C">
        <w:rPr>
          <w:sz w:val="22"/>
          <w:szCs w:val="22"/>
        </w:rPr>
        <w:t xml:space="preserve">that has offset the load </w:t>
      </w:r>
      <w:r w:rsidRPr="008679CB">
        <w:rPr>
          <w:sz w:val="22"/>
          <w:szCs w:val="22"/>
        </w:rPr>
        <w:t>in their distribution territory coincident with the peak hours.</w:t>
      </w:r>
      <w:r w:rsidR="00B9654C">
        <w:rPr>
          <w:sz w:val="22"/>
          <w:szCs w:val="22"/>
        </w:rPr>
        <w:t xml:space="preserve"> Note:</w:t>
      </w:r>
    </w:p>
    <w:p w14:paraId="671CDBE0" w14:textId="77777777" w:rsidR="00B9654C" w:rsidRDefault="00B9654C" w:rsidP="007B3371">
      <w:pPr>
        <w:pStyle w:val="BodyText"/>
        <w:numPr>
          <w:ilvl w:val="0"/>
          <w:numId w:val="89"/>
        </w:numPr>
        <w:rPr>
          <w:szCs w:val="22"/>
        </w:rPr>
      </w:pPr>
      <w:r>
        <w:rPr>
          <w:szCs w:val="22"/>
        </w:rPr>
        <w:t xml:space="preserve">Injections to the </w:t>
      </w:r>
      <w:r w:rsidRPr="001B2FDE">
        <w:rPr>
          <w:i/>
          <w:szCs w:val="22"/>
        </w:rPr>
        <w:t>IESO-controlled grid</w:t>
      </w:r>
      <w:r>
        <w:rPr>
          <w:szCs w:val="22"/>
        </w:rPr>
        <w:t xml:space="preserve"> during the peak hours should </w:t>
      </w:r>
      <w:r w:rsidRPr="007C66E7">
        <w:rPr>
          <w:szCs w:val="22"/>
          <w:u w:val="single"/>
        </w:rPr>
        <w:t>not</w:t>
      </w:r>
      <w:r>
        <w:rPr>
          <w:szCs w:val="22"/>
        </w:rPr>
        <w:t xml:space="preserve"> be included in the </w:t>
      </w:r>
      <w:r w:rsidRPr="007C66E7">
        <w:rPr>
          <w:i/>
          <w:szCs w:val="22"/>
        </w:rPr>
        <w:t>distributor</w:t>
      </w:r>
      <w:r w:rsidRPr="007C66E7">
        <w:rPr>
          <w:szCs w:val="22"/>
        </w:rPr>
        <w:t>’s</w:t>
      </w:r>
      <w:r>
        <w:rPr>
          <w:szCs w:val="22"/>
        </w:rPr>
        <w:t xml:space="preserve"> </w:t>
      </w:r>
      <w:r w:rsidRPr="00B01966">
        <w:rPr>
          <w:i/>
          <w:szCs w:val="22"/>
        </w:rPr>
        <w:t>embedded generation</w:t>
      </w:r>
      <w:r>
        <w:rPr>
          <w:i/>
          <w:szCs w:val="22"/>
        </w:rPr>
        <w:t xml:space="preserve"> </w:t>
      </w:r>
      <w:r w:rsidRPr="007C66E7">
        <w:rPr>
          <w:szCs w:val="22"/>
        </w:rPr>
        <w:t xml:space="preserve">data </w:t>
      </w:r>
      <w:r>
        <w:rPr>
          <w:szCs w:val="22"/>
        </w:rPr>
        <w:t>submission</w:t>
      </w:r>
      <w:r w:rsidRPr="00B01966">
        <w:rPr>
          <w:szCs w:val="22"/>
        </w:rPr>
        <w:t xml:space="preserve"> </w:t>
      </w:r>
      <w:r w:rsidRPr="008679CB">
        <w:rPr>
          <w:szCs w:val="22"/>
        </w:rPr>
        <w:t xml:space="preserve">to the </w:t>
      </w:r>
      <w:r w:rsidRPr="008679CB">
        <w:rPr>
          <w:i/>
          <w:szCs w:val="22"/>
        </w:rPr>
        <w:t>IESO</w:t>
      </w:r>
      <w:r w:rsidR="00B2717F">
        <w:rPr>
          <w:szCs w:val="22"/>
        </w:rPr>
        <w:t>.</w:t>
      </w:r>
    </w:p>
    <w:p w14:paraId="592C1F28" w14:textId="77777777" w:rsidR="00B9654C" w:rsidRPr="001B2FDE" w:rsidRDefault="00B9654C" w:rsidP="007B3371">
      <w:pPr>
        <w:pStyle w:val="BodyText"/>
        <w:numPr>
          <w:ilvl w:val="0"/>
          <w:numId w:val="89"/>
        </w:numPr>
      </w:pPr>
      <w:r w:rsidRPr="001B2FDE">
        <w:rPr>
          <w:i/>
          <w:szCs w:val="22"/>
        </w:rPr>
        <w:t>Distributors</w:t>
      </w:r>
      <w:r w:rsidRPr="00D0433F">
        <w:rPr>
          <w:szCs w:val="22"/>
        </w:rPr>
        <w:t xml:space="preserve"> are not required to provide the </w:t>
      </w:r>
      <w:r w:rsidRPr="001B2FDE">
        <w:rPr>
          <w:i/>
          <w:szCs w:val="22"/>
        </w:rPr>
        <w:t>IESO</w:t>
      </w:r>
      <w:r w:rsidRPr="00D0433F">
        <w:rPr>
          <w:szCs w:val="22"/>
        </w:rPr>
        <w:t xml:space="preserve"> with</w:t>
      </w:r>
      <w:r>
        <w:rPr>
          <w:szCs w:val="22"/>
        </w:rPr>
        <w:t xml:space="preserve"> peak hour</w:t>
      </w:r>
      <w:r w:rsidRPr="00D0433F">
        <w:rPr>
          <w:szCs w:val="22"/>
        </w:rPr>
        <w:t xml:space="preserve"> </w:t>
      </w:r>
      <w:r>
        <w:rPr>
          <w:szCs w:val="22"/>
        </w:rPr>
        <w:t>volumes</w:t>
      </w:r>
      <w:r w:rsidRPr="00D0433F">
        <w:rPr>
          <w:szCs w:val="22"/>
        </w:rPr>
        <w:t xml:space="preserve"> for </w:t>
      </w:r>
      <w:r w:rsidRPr="001B2FDE">
        <w:rPr>
          <w:i/>
          <w:szCs w:val="22"/>
        </w:rPr>
        <w:t>generation facilities</w:t>
      </w:r>
      <w:r w:rsidRPr="00D0433F">
        <w:rPr>
          <w:szCs w:val="22"/>
        </w:rPr>
        <w:t xml:space="preserve"> that are eligible for net metering (Ontario Regulation 541/05) if that </w:t>
      </w:r>
      <w:r>
        <w:rPr>
          <w:szCs w:val="22"/>
        </w:rPr>
        <w:t>volume</w:t>
      </w:r>
      <w:r w:rsidRPr="00D0433F">
        <w:rPr>
          <w:szCs w:val="22"/>
        </w:rPr>
        <w:t xml:space="preserve"> has offset the related load.  If the </w:t>
      </w:r>
      <w:r>
        <w:rPr>
          <w:szCs w:val="22"/>
        </w:rPr>
        <w:t>volume</w:t>
      </w:r>
      <w:r w:rsidRPr="00D0433F">
        <w:rPr>
          <w:szCs w:val="22"/>
        </w:rPr>
        <w:t xml:space="preserve"> is greater than the related load, the amount injected to the </w:t>
      </w:r>
      <w:r w:rsidRPr="001B2FDE">
        <w:rPr>
          <w:i/>
          <w:szCs w:val="22"/>
        </w:rPr>
        <w:t>distribution system</w:t>
      </w:r>
      <w:r w:rsidRPr="00D0433F">
        <w:rPr>
          <w:szCs w:val="22"/>
        </w:rPr>
        <w:t xml:space="preserve"> should be submitted to the </w:t>
      </w:r>
      <w:r w:rsidRPr="001B2FDE">
        <w:rPr>
          <w:i/>
          <w:szCs w:val="22"/>
        </w:rPr>
        <w:t>IESO</w:t>
      </w:r>
      <w:r w:rsidRPr="00D0433F">
        <w:rPr>
          <w:szCs w:val="22"/>
        </w:rPr>
        <w:t>.</w:t>
      </w:r>
      <w:r>
        <w:rPr>
          <w:szCs w:val="22"/>
        </w:rPr>
        <w:t xml:space="preserve"> </w:t>
      </w:r>
    </w:p>
    <w:p w14:paraId="0CB418E7" w14:textId="77777777" w:rsidR="00B9654C" w:rsidRPr="00AF70A1" w:rsidRDefault="00B9654C" w:rsidP="007B3371">
      <w:pPr>
        <w:pStyle w:val="BodyText"/>
        <w:numPr>
          <w:ilvl w:val="0"/>
          <w:numId w:val="89"/>
        </w:numPr>
        <w:spacing w:before="0" w:after="0"/>
        <w:rPr>
          <w:szCs w:val="22"/>
        </w:rPr>
      </w:pPr>
      <w:r w:rsidRPr="00D0433F">
        <w:rPr>
          <w:szCs w:val="22"/>
        </w:rPr>
        <w:t xml:space="preserve">The submission includes </w:t>
      </w:r>
      <w:r w:rsidRPr="001B2FDE">
        <w:rPr>
          <w:i/>
          <w:szCs w:val="22"/>
        </w:rPr>
        <w:t>embedded generation</w:t>
      </w:r>
      <w:r w:rsidRPr="00D0433F">
        <w:rPr>
          <w:szCs w:val="22"/>
        </w:rPr>
        <w:t xml:space="preserve"> volumes for all non-contracted </w:t>
      </w:r>
      <w:r w:rsidRPr="001B2FDE">
        <w:rPr>
          <w:i/>
          <w:szCs w:val="22"/>
        </w:rPr>
        <w:t>generation facilities</w:t>
      </w:r>
      <w:r w:rsidRPr="00D0433F">
        <w:rPr>
          <w:szCs w:val="22"/>
        </w:rPr>
        <w:t xml:space="preserve"> and all contracted </w:t>
      </w:r>
      <w:r w:rsidRPr="001B2FDE">
        <w:rPr>
          <w:i/>
          <w:szCs w:val="22"/>
        </w:rPr>
        <w:t>generation facilities</w:t>
      </w:r>
      <w:r w:rsidRPr="00D0433F">
        <w:rPr>
          <w:szCs w:val="22"/>
        </w:rPr>
        <w:t xml:space="preserve"> (Renewable Energy Standard Offer Program, Hydroelectric Contract Initiative and Feed-In Tariff Program).  The contracted </w:t>
      </w:r>
      <w:r w:rsidRPr="001B2FDE">
        <w:rPr>
          <w:i/>
          <w:szCs w:val="22"/>
        </w:rPr>
        <w:t>embedded generation</w:t>
      </w:r>
      <w:r w:rsidRPr="00D0433F">
        <w:rPr>
          <w:szCs w:val="22"/>
        </w:rPr>
        <w:t xml:space="preserve"> volumes are reported for the </w:t>
      </w:r>
      <w:r>
        <w:rPr>
          <w:szCs w:val="22"/>
        </w:rPr>
        <w:t>peak hour</w:t>
      </w:r>
      <w:r w:rsidRPr="00D0433F">
        <w:rPr>
          <w:szCs w:val="22"/>
        </w:rPr>
        <w:t xml:space="preserve"> they are metered, regardless of</w:t>
      </w:r>
      <w:r w:rsidR="005B3663">
        <w:rPr>
          <w:szCs w:val="22"/>
        </w:rPr>
        <w:t xml:space="preserve"> the contract approval status. </w:t>
      </w:r>
    </w:p>
    <w:p w14:paraId="742C0173" w14:textId="77777777" w:rsidR="00CA25FD" w:rsidRDefault="00E63380" w:rsidP="00B2717F">
      <w:pPr>
        <w:pStyle w:val="clause-e"/>
        <w:spacing w:before="240" w:after="120"/>
        <w:ind w:left="0" w:firstLine="0"/>
        <w:rPr>
          <w:sz w:val="22"/>
          <w:szCs w:val="22"/>
        </w:rPr>
      </w:pPr>
      <w:r w:rsidRPr="008679CB">
        <w:rPr>
          <w:sz w:val="22"/>
          <w:szCs w:val="22"/>
        </w:rPr>
        <w:t xml:space="preserve">The Global Adjustment assigned to a Class A </w:t>
      </w:r>
      <w:r w:rsidRPr="008679CB">
        <w:rPr>
          <w:i/>
          <w:sz w:val="22"/>
          <w:szCs w:val="22"/>
        </w:rPr>
        <w:t>market participant</w:t>
      </w:r>
      <w:r w:rsidRPr="008679CB">
        <w:rPr>
          <w:sz w:val="22"/>
          <w:szCs w:val="22"/>
        </w:rPr>
        <w:t xml:space="preserve"> </w:t>
      </w:r>
      <w:r w:rsidR="0029108A" w:rsidRPr="0029108A">
        <w:rPr>
          <w:i/>
          <w:sz w:val="22"/>
          <w:szCs w:val="22"/>
        </w:rPr>
        <w:t>load facility</w:t>
      </w:r>
      <w:r w:rsidR="00E71FF2">
        <w:rPr>
          <w:sz w:val="22"/>
          <w:szCs w:val="22"/>
        </w:rPr>
        <w:t xml:space="preserve"> </w:t>
      </w:r>
      <w:r w:rsidRPr="008679CB">
        <w:rPr>
          <w:sz w:val="22"/>
          <w:szCs w:val="22"/>
        </w:rPr>
        <w:t xml:space="preserve">or </w:t>
      </w:r>
      <w:r w:rsidRPr="008679CB">
        <w:rPr>
          <w:i/>
          <w:sz w:val="22"/>
          <w:szCs w:val="22"/>
        </w:rPr>
        <w:t>distributors</w:t>
      </w:r>
      <w:r w:rsidRPr="008679CB">
        <w:rPr>
          <w:sz w:val="22"/>
          <w:szCs w:val="22"/>
        </w:rPr>
        <w:t xml:space="preserve"> with Class A </w:t>
      </w:r>
      <w:r w:rsidRPr="008679CB">
        <w:rPr>
          <w:i/>
          <w:sz w:val="22"/>
          <w:szCs w:val="22"/>
        </w:rPr>
        <w:t>consumers</w:t>
      </w:r>
      <w:r w:rsidRPr="008679CB">
        <w:rPr>
          <w:sz w:val="22"/>
          <w:szCs w:val="22"/>
        </w:rPr>
        <w:t xml:space="preserve"> for a month in the Adjustment Period will be determined by multiplying the Peak Demand Factor by the total Global Adjustment for the month.</w:t>
      </w:r>
    </w:p>
    <w:p w14:paraId="57408712" w14:textId="77777777" w:rsidR="000E6636" w:rsidRPr="00CB053F" w:rsidRDefault="0029108A" w:rsidP="001635E8">
      <w:pPr>
        <w:pStyle w:val="BodyText"/>
        <w:keepNext/>
        <w:rPr>
          <w:rFonts w:ascii="Arial" w:hAnsi="Arial" w:cs="Arial"/>
          <w:b/>
          <w:szCs w:val="22"/>
        </w:rPr>
      </w:pPr>
      <w:r w:rsidRPr="0029108A">
        <w:rPr>
          <w:rFonts w:ascii="Arial" w:hAnsi="Arial" w:cs="Arial"/>
          <w:b/>
          <w:szCs w:val="22"/>
        </w:rPr>
        <w:lastRenderedPageBreak/>
        <w:t>Class B Market Participant Load Facilities and Distributors</w:t>
      </w:r>
    </w:p>
    <w:p w14:paraId="618AA5C3" w14:textId="77777777" w:rsidR="000E6636" w:rsidRPr="0006736C" w:rsidRDefault="000E6636" w:rsidP="001B4599">
      <w:pPr>
        <w:pStyle w:val="Default"/>
        <w:spacing w:before="120" w:after="120"/>
        <w:rPr>
          <w:sz w:val="22"/>
          <w:szCs w:val="22"/>
        </w:rPr>
      </w:pPr>
      <w:r>
        <w:rPr>
          <w:sz w:val="22"/>
          <w:szCs w:val="22"/>
        </w:rPr>
        <w:t xml:space="preserve">Class B </w:t>
      </w:r>
      <w:r w:rsidRPr="008679CB">
        <w:rPr>
          <w:i/>
          <w:sz w:val="22"/>
          <w:szCs w:val="22"/>
        </w:rPr>
        <w:t>market participant</w:t>
      </w:r>
      <w:r w:rsidR="00E71FF2">
        <w:rPr>
          <w:i/>
          <w:sz w:val="22"/>
          <w:szCs w:val="22"/>
        </w:rPr>
        <w:t xml:space="preserve"> load facilities</w:t>
      </w:r>
      <w:r>
        <w:rPr>
          <w:sz w:val="22"/>
          <w:szCs w:val="22"/>
        </w:rPr>
        <w:t xml:space="preserve"> will be assigned a portion of the total Global Adjustment for any month based on the </w:t>
      </w:r>
      <w:r w:rsidRPr="008679CB">
        <w:rPr>
          <w:sz w:val="22"/>
          <w:szCs w:val="22"/>
        </w:rPr>
        <w:t xml:space="preserve">net volume of electricity withdrawn from the </w:t>
      </w:r>
      <w:r w:rsidRPr="008679CB">
        <w:rPr>
          <w:i/>
          <w:sz w:val="22"/>
          <w:szCs w:val="22"/>
        </w:rPr>
        <w:t>IESO-controlled grid</w:t>
      </w:r>
      <w:r w:rsidRPr="008679CB">
        <w:rPr>
          <w:sz w:val="22"/>
          <w:szCs w:val="22"/>
        </w:rPr>
        <w:t xml:space="preserve"> for the month.</w:t>
      </w:r>
    </w:p>
    <w:p w14:paraId="1F061D15" w14:textId="77777777" w:rsidR="000E6636" w:rsidRPr="0006736C" w:rsidRDefault="000E6636" w:rsidP="001B4599">
      <w:pPr>
        <w:pStyle w:val="Default"/>
        <w:spacing w:before="120" w:after="120"/>
        <w:rPr>
          <w:sz w:val="22"/>
          <w:szCs w:val="22"/>
        </w:rPr>
      </w:pPr>
      <w:r w:rsidRPr="008679CB">
        <w:rPr>
          <w:sz w:val="22"/>
          <w:szCs w:val="22"/>
        </w:rPr>
        <w:t xml:space="preserve">All </w:t>
      </w:r>
      <w:r w:rsidRPr="008679CB">
        <w:rPr>
          <w:i/>
          <w:sz w:val="22"/>
          <w:szCs w:val="22"/>
        </w:rPr>
        <w:t>generators</w:t>
      </w:r>
      <w:r w:rsidRPr="008679CB">
        <w:rPr>
          <w:sz w:val="22"/>
          <w:szCs w:val="22"/>
        </w:rPr>
        <w:t xml:space="preserve"> will be considered Class B </w:t>
      </w:r>
      <w:r w:rsidRPr="008679CB">
        <w:rPr>
          <w:i/>
          <w:sz w:val="22"/>
          <w:szCs w:val="22"/>
        </w:rPr>
        <w:t>market participant</w:t>
      </w:r>
      <w:r w:rsidR="00E71FF2">
        <w:rPr>
          <w:i/>
          <w:sz w:val="22"/>
          <w:szCs w:val="22"/>
        </w:rPr>
        <w:t xml:space="preserve"> load facilitie</w:t>
      </w:r>
      <w:r w:rsidRPr="008679CB">
        <w:rPr>
          <w:i/>
          <w:sz w:val="22"/>
          <w:szCs w:val="22"/>
        </w:rPr>
        <w:t>s</w:t>
      </w:r>
      <w:r w:rsidRPr="008679CB">
        <w:rPr>
          <w:sz w:val="22"/>
          <w:szCs w:val="22"/>
        </w:rPr>
        <w:t xml:space="preserve"> when consuming electricity from the </w:t>
      </w:r>
      <w:r w:rsidR="00161C7C" w:rsidRPr="00161C7C">
        <w:rPr>
          <w:i/>
          <w:sz w:val="22"/>
          <w:szCs w:val="22"/>
        </w:rPr>
        <w:t>IESO controlled grid</w:t>
      </w:r>
      <w:r w:rsidRPr="008679CB">
        <w:rPr>
          <w:sz w:val="22"/>
          <w:szCs w:val="22"/>
        </w:rPr>
        <w:t xml:space="preserve">.  Some </w:t>
      </w:r>
      <w:r w:rsidRPr="008679CB">
        <w:rPr>
          <w:i/>
          <w:sz w:val="22"/>
          <w:szCs w:val="22"/>
        </w:rPr>
        <w:t>generators</w:t>
      </w:r>
      <w:r w:rsidRPr="008679CB">
        <w:rPr>
          <w:sz w:val="22"/>
          <w:szCs w:val="22"/>
        </w:rPr>
        <w:t xml:space="preserve"> that consume electricity either when providing </w:t>
      </w:r>
      <w:r w:rsidR="00161C7C" w:rsidRPr="00161C7C">
        <w:rPr>
          <w:i/>
          <w:sz w:val="22"/>
          <w:szCs w:val="22"/>
        </w:rPr>
        <w:t>ancillary services</w:t>
      </w:r>
      <w:r w:rsidRPr="008679CB">
        <w:rPr>
          <w:sz w:val="22"/>
          <w:szCs w:val="22"/>
        </w:rPr>
        <w:t xml:space="preserve"> or for consumption related to the Beck Pump Generating Station will have this amount netted off their total consumption.</w:t>
      </w:r>
    </w:p>
    <w:p w14:paraId="4896700B" w14:textId="77777777" w:rsidR="00B9654C" w:rsidRDefault="000E6636" w:rsidP="001B4599">
      <w:pPr>
        <w:pStyle w:val="Default"/>
        <w:spacing w:before="120" w:after="120"/>
        <w:rPr>
          <w:sz w:val="22"/>
          <w:szCs w:val="22"/>
        </w:rPr>
      </w:pPr>
      <w:r w:rsidRPr="008679CB">
        <w:rPr>
          <w:i/>
          <w:sz w:val="22"/>
          <w:szCs w:val="22"/>
        </w:rPr>
        <w:t>Distributors</w:t>
      </w:r>
      <w:r w:rsidRPr="008679CB">
        <w:rPr>
          <w:sz w:val="22"/>
          <w:szCs w:val="22"/>
        </w:rPr>
        <w:t xml:space="preserve"> will be assigned a portion of the Global Adjustment based on the net volume of electricity withdrawn from the </w:t>
      </w:r>
      <w:r w:rsidRPr="008679CB">
        <w:rPr>
          <w:i/>
          <w:sz w:val="22"/>
          <w:szCs w:val="22"/>
        </w:rPr>
        <w:t>IESO-controlled grid</w:t>
      </w:r>
      <w:r w:rsidRPr="008679CB">
        <w:rPr>
          <w:sz w:val="22"/>
          <w:szCs w:val="22"/>
        </w:rPr>
        <w:t xml:space="preserve"> for the month plus </w:t>
      </w:r>
      <w:r w:rsidR="00161C7C" w:rsidRPr="00161C7C">
        <w:rPr>
          <w:sz w:val="22"/>
          <w:szCs w:val="22"/>
        </w:rPr>
        <w:t>embedded generation</w:t>
      </w:r>
      <w:r w:rsidRPr="008679CB">
        <w:rPr>
          <w:sz w:val="22"/>
          <w:szCs w:val="22"/>
        </w:rPr>
        <w:t xml:space="preserve"> </w:t>
      </w:r>
      <w:r w:rsidR="00B9654C">
        <w:rPr>
          <w:sz w:val="22"/>
          <w:szCs w:val="22"/>
        </w:rPr>
        <w:t xml:space="preserve">that has offset the load </w:t>
      </w:r>
      <w:r w:rsidRPr="008679CB">
        <w:rPr>
          <w:sz w:val="22"/>
          <w:szCs w:val="22"/>
        </w:rPr>
        <w:t xml:space="preserve">in their territory less Class A </w:t>
      </w:r>
      <w:r w:rsidRPr="008679CB">
        <w:rPr>
          <w:i/>
          <w:sz w:val="22"/>
          <w:szCs w:val="22"/>
        </w:rPr>
        <w:t>consumer</w:t>
      </w:r>
      <w:r w:rsidRPr="008679CB">
        <w:rPr>
          <w:sz w:val="22"/>
          <w:szCs w:val="22"/>
        </w:rPr>
        <w:t xml:space="preserve"> consumption in the month. </w:t>
      </w:r>
      <w:r>
        <w:rPr>
          <w:sz w:val="22"/>
          <w:szCs w:val="22"/>
        </w:rPr>
        <w:t xml:space="preserve"> </w:t>
      </w:r>
    </w:p>
    <w:p w14:paraId="4E551F6D" w14:textId="4CCC6B14" w:rsidR="000E6636" w:rsidRDefault="000E6636" w:rsidP="001B4599">
      <w:pPr>
        <w:pStyle w:val="Default"/>
        <w:spacing w:before="120" w:after="120"/>
        <w:rPr>
          <w:sz w:val="22"/>
          <w:szCs w:val="22"/>
        </w:rPr>
      </w:pPr>
      <w:r w:rsidRPr="008679CB">
        <w:rPr>
          <w:sz w:val="22"/>
          <w:szCs w:val="22"/>
        </w:rPr>
        <w:t xml:space="preserve">The </w:t>
      </w:r>
      <w:r w:rsidRPr="008679CB">
        <w:rPr>
          <w:i/>
          <w:sz w:val="22"/>
          <w:szCs w:val="22"/>
        </w:rPr>
        <w:t>distributor</w:t>
      </w:r>
      <w:r w:rsidRPr="008679CB">
        <w:rPr>
          <w:sz w:val="22"/>
          <w:szCs w:val="22"/>
        </w:rPr>
        <w:t xml:space="preserve"> data submission to the </w:t>
      </w:r>
      <w:r w:rsidRPr="008679CB">
        <w:rPr>
          <w:i/>
          <w:sz w:val="22"/>
          <w:szCs w:val="22"/>
        </w:rPr>
        <w:t>IESO</w:t>
      </w:r>
      <w:r w:rsidRPr="008679CB">
        <w:rPr>
          <w:sz w:val="22"/>
          <w:szCs w:val="22"/>
        </w:rPr>
        <w:t xml:space="preserve"> for each </w:t>
      </w:r>
      <w:r w:rsidR="00CA7070" w:rsidRPr="008679CB">
        <w:rPr>
          <w:sz w:val="22"/>
          <w:szCs w:val="22"/>
        </w:rPr>
        <w:t>month includes</w:t>
      </w:r>
      <w:r w:rsidRPr="008679CB">
        <w:rPr>
          <w:sz w:val="22"/>
          <w:szCs w:val="22"/>
        </w:rPr>
        <w:t xml:space="preserve"> </w:t>
      </w:r>
      <w:r w:rsidR="000630F3" w:rsidRPr="000630F3">
        <w:rPr>
          <w:color w:val="auto"/>
          <w:sz w:val="22"/>
          <w:szCs w:val="22"/>
          <w:lang w:val="en-US"/>
        </w:rPr>
        <w:t>embedded generation offsetting load, total embedded generation,</w:t>
      </w:r>
      <w:r w:rsidR="000630F3">
        <w:rPr>
          <w:color w:val="auto"/>
          <w:sz w:val="22"/>
          <w:szCs w:val="22"/>
          <w:lang w:val="en-US"/>
        </w:rPr>
        <w:t xml:space="preserve"> </w:t>
      </w:r>
      <w:r w:rsidRPr="008679CB">
        <w:rPr>
          <w:sz w:val="22"/>
          <w:szCs w:val="22"/>
        </w:rPr>
        <w:t xml:space="preserve">Class A </w:t>
      </w:r>
      <w:r w:rsidRPr="008679CB">
        <w:rPr>
          <w:i/>
          <w:sz w:val="22"/>
          <w:szCs w:val="22"/>
        </w:rPr>
        <w:t>consumer</w:t>
      </w:r>
      <w:r w:rsidRPr="008679CB">
        <w:rPr>
          <w:sz w:val="22"/>
          <w:szCs w:val="22"/>
        </w:rPr>
        <w:t xml:space="preserve"> consumption</w:t>
      </w:r>
      <w:r w:rsidR="000630F3" w:rsidRPr="000630F3">
        <w:rPr>
          <w:color w:val="auto"/>
          <w:sz w:val="22"/>
          <w:szCs w:val="22"/>
          <w:lang w:val="en-US"/>
        </w:rPr>
        <w:t xml:space="preserve">, and </w:t>
      </w:r>
      <w:r w:rsidR="00E16474">
        <w:rPr>
          <w:color w:val="auto"/>
          <w:sz w:val="22"/>
          <w:szCs w:val="22"/>
          <w:lang w:val="en-US"/>
        </w:rPr>
        <w:t>electricity</w:t>
      </w:r>
      <w:r w:rsidR="00E16474" w:rsidRPr="000630F3">
        <w:rPr>
          <w:color w:val="auto"/>
          <w:sz w:val="22"/>
          <w:szCs w:val="22"/>
          <w:lang w:val="en-US"/>
        </w:rPr>
        <w:t xml:space="preserve"> </w:t>
      </w:r>
      <w:r w:rsidR="000630F3" w:rsidRPr="000630F3">
        <w:rPr>
          <w:color w:val="auto"/>
          <w:sz w:val="22"/>
          <w:szCs w:val="22"/>
          <w:lang w:val="en-US"/>
        </w:rPr>
        <w:t>storage injections/withdrawals</w:t>
      </w:r>
      <w:r w:rsidR="000630F3">
        <w:rPr>
          <w:color w:val="auto"/>
          <w:sz w:val="22"/>
          <w:szCs w:val="22"/>
          <w:lang w:val="en-US"/>
        </w:rPr>
        <w:t>.</w:t>
      </w:r>
      <w:r w:rsidRPr="008679CB">
        <w:rPr>
          <w:sz w:val="22"/>
          <w:szCs w:val="22"/>
        </w:rPr>
        <w:t xml:space="preserve">  Th</w:t>
      </w:r>
      <w:r w:rsidR="00B9654C">
        <w:rPr>
          <w:sz w:val="22"/>
          <w:szCs w:val="22"/>
        </w:rPr>
        <w:t>e data</w:t>
      </w:r>
      <w:r w:rsidRPr="008679CB">
        <w:rPr>
          <w:sz w:val="22"/>
          <w:szCs w:val="22"/>
        </w:rPr>
        <w:t xml:space="preserve"> submission </w:t>
      </w:r>
      <w:r w:rsidR="00B9654C">
        <w:rPr>
          <w:sz w:val="22"/>
          <w:szCs w:val="22"/>
        </w:rPr>
        <w:t>must</w:t>
      </w:r>
      <w:r w:rsidRPr="008679CB">
        <w:rPr>
          <w:sz w:val="22"/>
          <w:szCs w:val="22"/>
        </w:rPr>
        <w:t xml:space="preserve"> be </w:t>
      </w:r>
      <w:r w:rsidR="00B9654C">
        <w:rPr>
          <w:sz w:val="22"/>
          <w:szCs w:val="22"/>
        </w:rPr>
        <w:t xml:space="preserve">completed </w:t>
      </w:r>
      <w:r w:rsidRPr="008679CB">
        <w:rPr>
          <w:sz w:val="22"/>
          <w:szCs w:val="22"/>
        </w:rPr>
        <w:t xml:space="preserve">by the </w:t>
      </w:r>
      <w:r w:rsidR="001F7FFB">
        <w:rPr>
          <w:sz w:val="22"/>
          <w:szCs w:val="22"/>
        </w:rPr>
        <w:t>fourth</w:t>
      </w:r>
      <w:r w:rsidRPr="008679CB">
        <w:rPr>
          <w:sz w:val="22"/>
          <w:szCs w:val="22"/>
        </w:rPr>
        <w:t xml:space="preserve"> </w:t>
      </w:r>
      <w:r w:rsidR="00161C7C" w:rsidRPr="00161C7C">
        <w:rPr>
          <w:i/>
          <w:sz w:val="22"/>
          <w:szCs w:val="22"/>
        </w:rPr>
        <w:t>business day</w:t>
      </w:r>
      <w:r w:rsidR="002B2501">
        <w:rPr>
          <w:sz w:val="22"/>
          <w:szCs w:val="22"/>
        </w:rPr>
        <w:t xml:space="preserve"> after the month-</w:t>
      </w:r>
      <w:r w:rsidRPr="008679CB">
        <w:rPr>
          <w:sz w:val="22"/>
          <w:szCs w:val="22"/>
        </w:rPr>
        <w:t>end</w:t>
      </w:r>
      <w:r w:rsidR="00FD46CD">
        <w:rPr>
          <w:sz w:val="22"/>
          <w:szCs w:val="22"/>
        </w:rPr>
        <w:t>,</w:t>
      </w:r>
      <w:r w:rsidRPr="008679CB">
        <w:rPr>
          <w:sz w:val="22"/>
          <w:szCs w:val="22"/>
        </w:rPr>
        <w:t xml:space="preserve"> using </w:t>
      </w:r>
      <w:r w:rsidR="00502E64" w:rsidRPr="008679CB">
        <w:rPr>
          <w:sz w:val="22"/>
          <w:szCs w:val="22"/>
        </w:rPr>
        <w:t>the” Embedded</w:t>
      </w:r>
      <w:r w:rsidR="000630F3">
        <w:rPr>
          <w:i/>
          <w:sz w:val="22"/>
          <w:szCs w:val="22"/>
        </w:rPr>
        <w:t xml:space="preserve"> Generation Energy Storage and Class A Load”</w:t>
      </w:r>
      <w:r w:rsidR="00E16474" w:rsidRPr="00E16474">
        <w:rPr>
          <w:rStyle w:val="FootnoteReference"/>
          <w:i/>
          <w:sz w:val="22"/>
          <w:szCs w:val="22"/>
        </w:rPr>
        <w:t xml:space="preserve"> </w:t>
      </w:r>
      <w:r w:rsidR="00E16474">
        <w:rPr>
          <w:rStyle w:val="FootnoteReference"/>
          <w:i/>
          <w:sz w:val="22"/>
          <w:szCs w:val="22"/>
        </w:rPr>
        <w:footnoteReference w:id="29"/>
      </w:r>
      <w:r w:rsidRPr="008679CB">
        <w:rPr>
          <w:sz w:val="22"/>
          <w:szCs w:val="22"/>
        </w:rPr>
        <w:t xml:space="preserve"> </w:t>
      </w:r>
      <w:r w:rsidR="00972031">
        <w:rPr>
          <w:sz w:val="22"/>
          <w:szCs w:val="22"/>
        </w:rPr>
        <w:t>form</w:t>
      </w:r>
      <w:r w:rsidR="00972031" w:rsidRPr="00972031">
        <w:rPr>
          <w:sz w:val="22"/>
          <w:szCs w:val="22"/>
        </w:rPr>
        <w:t xml:space="preserve"> available </w:t>
      </w:r>
      <w:r w:rsidR="00972031">
        <w:rPr>
          <w:sz w:val="22"/>
          <w:szCs w:val="22"/>
        </w:rPr>
        <w:t>within</w:t>
      </w:r>
      <w:r w:rsidR="00972031" w:rsidRPr="00972031">
        <w:rPr>
          <w:sz w:val="22"/>
          <w:szCs w:val="22"/>
        </w:rPr>
        <w:t xml:space="preserve"> Online </w:t>
      </w:r>
      <w:r w:rsidR="00327E5A" w:rsidRPr="00972031">
        <w:rPr>
          <w:sz w:val="22"/>
          <w:szCs w:val="22"/>
        </w:rPr>
        <w:t>IESO.</w:t>
      </w:r>
      <w:r w:rsidR="00FD46CD" w:rsidRPr="00FD46CD">
        <w:rPr>
          <w:color w:val="auto"/>
          <w:sz w:val="22"/>
          <w:szCs w:val="20"/>
          <w:lang w:val="en-US"/>
        </w:rPr>
        <w:t xml:space="preserve"> </w:t>
      </w:r>
      <w:r w:rsidR="00FD46CD" w:rsidRPr="00E45DA3">
        <w:rPr>
          <w:color w:val="auto"/>
          <w:sz w:val="22"/>
          <w:szCs w:val="20"/>
          <w:lang w:val="en-US"/>
        </w:rPr>
        <w:t xml:space="preserve">If any changes are required to the amounts submitted during the preliminary submission period, final adjustments can be submitted during the 11th to 14th </w:t>
      </w:r>
      <w:r w:rsidR="00FD46CD" w:rsidRPr="00E45DA3">
        <w:rPr>
          <w:i/>
          <w:color w:val="auto"/>
          <w:sz w:val="22"/>
          <w:szCs w:val="20"/>
          <w:lang w:val="en-US"/>
        </w:rPr>
        <w:t>business day</w:t>
      </w:r>
      <w:r w:rsidR="00FD46CD" w:rsidRPr="00E45DA3">
        <w:rPr>
          <w:color w:val="auto"/>
          <w:sz w:val="22"/>
          <w:szCs w:val="20"/>
          <w:lang w:val="en-US"/>
        </w:rPr>
        <w:t xml:space="preserve"> after the last </w:t>
      </w:r>
      <w:r w:rsidR="00FD46CD" w:rsidRPr="00E45DA3">
        <w:rPr>
          <w:i/>
          <w:color w:val="auto"/>
          <w:sz w:val="22"/>
          <w:szCs w:val="20"/>
          <w:lang w:val="en-US"/>
        </w:rPr>
        <w:t>trading day</w:t>
      </w:r>
      <w:r w:rsidR="00FD46CD" w:rsidRPr="00E45DA3">
        <w:rPr>
          <w:color w:val="auto"/>
          <w:sz w:val="22"/>
          <w:szCs w:val="20"/>
          <w:lang w:val="en-US"/>
        </w:rPr>
        <w:t xml:space="preserve"> of the month. The adjustments will be reflected on the </w:t>
      </w:r>
      <w:r w:rsidR="00FD46CD" w:rsidRPr="00E45DA3">
        <w:rPr>
          <w:i/>
          <w:color w:val="auto"/>
          <w:sz w:val="22"/>
          <w:szCs w:val="20"/>
          <w:lang w:val="en-US"/>
        </w:rPr>
        <w:t xml:space="preserve">final settlement statement </w:t>
      </w:r>
      <w:r w:rsidR="00FD46CD" w:rsidRPr="00E45DA3">
        <w:rPr>
          <w:color w:val="auto"/>
          <w:sz w:val="22"/>
          <w:szCs w:val="20"/>
          <w:lang w:val="en-US"/>
        </w:rPr>
        <w:t xml:space="preserve">for the last </w:t>
      </w:r>
      <w:r w:rsidR="00FD46CD" w:rsidRPr="00E45DA3">
        <w:rPr>
          <w:i/>
          <w:color w:val="auto"/>
          <w:sz w:val="22"/>
          <w:szCs w:val="20"/>
          <w:lang w:val="en-US"/>
        </w:rPr>
        <w:t>trading day</w:t>
      </w:r>
      <w:r w:rsidR="00FD46CD" w:rsidRPr="00E45DA3">
        <w:rPr>
          <w:color w:val="auto"/>
          <w:sz w:val="22"/>
          <w:szCs w:val="20"/>
          <w:lang w:val="en-US"/>
        </w:rPr>
        <w:t xml:space="preserve"> of the month.</w:t>
      </w:r>
      <w:r w:rsidR="00B9654C">
        <w:rPr>
          <w:sz w:val="22"/>
          <w:szCs w:val="22"/>
        </w:rPr>
        <w:t xml:space="preserve"> Note:</w:t>
      </w:r>
    </w:p>
    <w:p w14:paraId="32A372BD" w14:textId="77777777" w:rsidR="000630F3" w:rsidRDefault="000630F3" w:rsidP="000630F3">
      <w:pPr>
        <w:pStyle w:val="BodyText"/>
        <w:numPr>
          <w:ilvl w:val="0"/>
          <w:numId w:val="89"/>
        </w:numPr>
        <w:rPr>
          <w:szCs w:val="22"/>
          <w:lang w:val="en-CA"/>
        </w:rPr>
      </w:pPr>
      <w:r w:rsidRPr="000F3ED2">
        <w:rPr>
          <w:i/>
          <w:szCs w:val="22"/>
          <w:lang w:val="en-CA"/>
        </w:rPr>
        <w:t>Distributors</w:t>
      </w:r>
      <w:r w:rsidRPr="00070A56">
        <w:rPr>
          <w:szCs w:val="22"/>
          <w:lang w:val="en-CA"/>
        </w:rPr>
        <w:t xml:space="preserve"> should </w:t>
      </w:r>
      <w:r w:rsidRPr="000F3ED2">
        <w:rPr>
          <w:bCs/>
          <w:szCs w:val="22"/>
          <w:u w:val="single"/>
          <w:lang w:val="en-CA"/>
        </w:rPr>
        <w:t>not</w:t>
      </w:r>
      <w:r w:rsidRPr="00070A56">
        <w:rPr>
          <w:szCs w:val="22"/>
          <w:lang w:val="en-CA"/>
        </w:rPr>
        <w:t xml:space="preserve"> submit injections/generation or withdrawal/load from IESO </w:t>
      </w:r>
      <w:r w:rsidRPr="00EC2461">
        <w:rPr>
          <w:i/>
          <w:szCs w:val="22"/>
          <w:lang w:val="en-CA"/>
        </w:rPr>
        <w:t>market participants</w:t>
      </w:r>
      <w:r>
        <w:rPr>
          <w:szCs w:val="22"/>
          <w:lang w:val="en-CA"/>
        </w:rPr>
        <w:t>.</w:t>
      </w:r>
    </w:p>
    <w:p w14:paraId="437583D8" w14:textId="77777777" w:rsidR="000630F3" w:rsidRDefault="000630F3" w:rsidP="000630F3">
      <w:pPr>
        <w:pStyle w:val="BodyText"/>
        <w:numPr>
          <w:ilvl w:val="0"/>
          <w:numId w:val="89"/>
        </w:numPr>
        <w:rPr>
          <w:szCs w:val="22"/>
          <w:lang w:val="en-CA"/>
        </w:rPr>
      </w:pPr>
      <w:r w:rsidRPr="00D0433F">
        <w:rPr>
          <w:szCs w:val="22"/>
        </w:rPr>
        <w:t>The submission</w:t>
      </w:r>
      <w:r>
        <w:rPr>
          <w:szCs w:val="22"/>
        </w:rPr>
        <w:t xml:space="preserve"> </w:t>
      </w:r>
      <w:r w:rsidR="00EC2461">
        <w:rPr>
          <w:szCs w:val="22"/>
        </w:rPr>
        <w:t>must</w:t>
      </w:r>
      <w:r w:rsidRPr="00D0433F">
        <w:rPr>
          <w:szCs w:val="22"/>
        </w:rPr>
        <w:t xml:space="preserve"> include </w:t>
      </w:r>
      <w:r w:rsidRPr="00EC2461">
        <w:rPr>
          <w:szCs w:val="22"/>
        </w:rPr>
        <w:t>embedded generation</w:t>
      </w:r>
      <w:r w:rsidRPr="00D0433F">
        <w:rPr>
          <w:szCs w:val="22"/>
        </w:rPr>
        <w:t xml:space="preserve"> volumes for all non-contracted </w:t>
      </w:r>
      <w:r w:rsidRPr="001B2FDE">
        <w:rPr>
          <w:i/>
          <w:szCs w:val="22"/>
        </w:rPr>
        <w:t>generation facilities</w:t>
      </w:r>
      <w:r w:rsidRPr="00D0433F">
        <w:rPr>
          <w:szCs w:val="22"/>
        </w:rPr>
        <w:t xml:space="preserve"> and all contracted </w:t>
      </w:r>
      <w:r w:rsidRPr="001B2FDE">
        <w:rPr>
          <w:i/>
          <w:szCs w:val="22"/>
        </w:rPr>
        <w:t>generation facilities</w:t>
      </w:r>
      <w:r w:rsidRPr="00D0433F">
        <w:rPr>
          <w:szCs w:val="22"/>
        </w:rPr>
        <w:t xml:space="preserve"> (Renewable Energy Standard Offer Program, Hydroelectric Contract Initiative and Feed-In Tariff Program).  The contracted </w:t>
      </w:r>
      <w:r w:rsidRPr="00EC2461">
        <w:rPr>
          <w:szCs w:val="22"/>
        </w:rPr>
        <w:t>embedded generation</w:t>
      </w:r>
      <w:r w:rsidRPr="00D0433F">
        <w:rPr>
          <w:szCs w:val="22"/>
        </w:rPr>
        <w:t xml:space="preserve"> volumes are reported for the month they are metered, regardless of the contract approval status.</w:t>
      </w:r>
    </w:p>
    <w:p w14:paraId="0E4FBE61" w14:textId="5934B315" w:rsidR="00A6274C" w:rsidRPr="000630F3" w:rsidRDefault="00A6274C" w:rsidP="000630F3">
      <w:pPr>
        <w:pStyle w:val="BodyText"/>
        <w:numPr>
          <w:ilvl w:val="0"/>
          <w:numId w:val="89"/>
        </w:numPr>
      </w:pPr>
      <w:r w:rsidRPr="001B2FDE">
        <w:rPr>
          <w:i/>
          <w:szCs w:val="22"/>
        </w:rPr>
        <w:t>Distributors</w:t>
      </w:r>
      <w:r w:rsidRPr="00D0433F">
        <w:rPr>
          <w:szCs w:val="22"/>
        </w:rPr>
        <w:t xml:space="preserve"> are not required to provide the </w:t>
      </w:r>
      <w:r w:rsidRPr="001B2FDE">
        <w:rPr>
          <w:i/>
          <w:szCs w:val="22"/>
        </w:rPr>
        <w:t>IESO</w:t>
      </w:r>
      <w:r w:rsidRPr="00D0433F">
        <w:rPr>
          <w:szCs w:val="22"/>
        </w:rPr>
        <w:t xml:space="preserve"> with </w:t>
      </w:r>
      <w:r>
        <w:rPr>
          <w:szCs w:val="22"/>
        </w:rPr>
        <w:t>volumes</w:t>
      </w:r>
      <w:r w:rsidRPr="00D0433F">
        <w:rPr>
          <w:szCs w:val="22"/>
        </w:rPr>
        <w:t xml:space="preserve"> for </w:t>
      </w:r>
      <w:r w:rsidRPr="001B2FDE">
        <w:rPr>
          <w:i/>
          <w:szCs w:val="22"/>
        </w:rPr>
        <w:t>generation facilities</w:t>
      </w:r>
      <w:r w:rsidRPr="00D0433F">
        <w:rPr>
          <w:szCs w:val="22"/>
        </w:rPr>
        <w:t xml:space="preserve"> that are eligible for net metering (Ontario Regulation 541/05) if that </w:t>
      </w:r>
      <w:r>
        <w:rPr>
          <w:szCs w:val="22"/>
        </w:rPr>
        <w:t>volume</w:t>
      </w:r>
      <w:r w:rsidRPr="00D0433F">
        <w:rPr>
          <w:szCs w:val="22"/>
        </w:rPr>
        <w:t xml:space="preserve"> has offset the related load.  If the </w:t>
      </w:r>
      <w:r>
        <w:rPr>
          <w:szCs w:val="22"/>
        </w:rPr>
        <w:t>volume</w:t>
      </w:r>
      <w:r w:rsidRPr="00D0433F">
        <w:rPr>
          <w:szCs w:val="22"/>
        </w:rPr>
        <w:t xml:space="preserve"> is greater than the related load, the amount injected to the </w:t>
      </w:r>
      <w:r w:rsidRPr="001B2FDE">
        <w:rPr>
          <w:i/>
          <w:szCs w:val="22"/>
        </w:rPr>
        <w:t>distribution system</w:t>
      </w:r>
      <w:r w:rsidRPr="00D0433F">
        <w:rPr>
          <w:szCs w:val="22"/>
        </w:rPr>
        <w:t xml:space="preserve"> should be submitted to the </w:t>
      </w:r>
      <w:r w:rsidRPr="001B2FDE">
        <w:rPr>
          <w:i/>
          <w:szCs w:val="22"/>
        </w:rPr>
        <w:t>IESO</w:t>
      </w:r>
      <w:r w:rsidRPr="00D0433F">
        <w:rPr>
          <w:szCs w:val="22"/>
        </w:rPr>
        <w:t>.</w:t>
      </w:r>
      <w:r>
        <w:rPr>
          <w:szCs w:val="22"/>
        </w:rPr>
        <w:t xml:space="preserve"> </w:t>
      </w:r>
      <w:r w:rsidR="000630F3" w:rsidRPr="000630F3">
        <w:rPr>
          <w:szCs w:val="22"/>
        </w:rPr>
        <w:t xml:space="preserve">This applies to the submission of embedded generation offsetting load, total embedded generation and </w:t>
      </w:r>
      <w:r w:rsidR="00E16474">
        <w:rPr>
          <w:szCs w:val="22"/>
        </w:rPr>
        <w:t>electricity</w:t>
      </w:r>
      <w:r w:rsidR="00E16474" w:rsidRPr="000630F3">
        <w:rPr>
          <w:szCs w:val="22"/>
        </w:rPr>
        <w:t xml:space="preserve"> </w:t>
      </w:r>
      <w:r w:rsidR="000630F3" w:rsidRPr="000630F3">
        <w:rPr>
          <w:szCs w:val="22"/>
        </w:rPr>
        <w:t>storage injections/withdrawals</w:t>
      </w:r>
      <w:r w:rsidR="000630F3">
        <w:rPr>
          <w:szCs w:val="22"/>
        </w:rPr>
        <w:t>.</w:t>
      </w:r>
    </w:p>
    <w:p w14:paraId="2447389A" w14:textId="77777777" w:rsidR="000630F3" w:rsidRPr="001B2FDE" w:rsidRDefault="000630F3" w:rsidP="007B3371">
      <w:pPr>
        <w:pStyle w:val="BodyText"/>
        <w:numPr>
          <w:ilvl w:val="0"/>
          <w:numId w:val="89"/>
        </w:numPr>
      </w:pPr>
      <w:r>
        <w:rPr>
          <w:szCs w:val="22"/>
        </w:rPr>
        <w:t xml:space="preserve">Injections to the </w:t>
      </w:r>
      <w:r w:rsidRPr="001B2FDE">
        <w:rPr>
          <w:i/>
          <w:szCs w:val="22"/>
        </w:rPr>
        <w:t>IESO-controlled grid</w:t>
      </w:r>
      <w:r>
        <w:rPr>
          <w:szCs w:val="22"/>
        </w:rPr>
        <w:t xml:space="preserve"> should </w:t>
      </w:r>
      <w:r w:rsidRPr="007C66E7">
        <w:rPr>
          <w:szCs w:val="22"/>
          <w:u w:val="single"/>
        </w:rPr>
        <w:t>not</w:t>
      </w:r>
      <w:r>
        <w:rPr>
          <w:szCs w:val="22"/>
        </w:rPr>
        <w:t xml:space="preserve"> be included in the </w:t>
      </w:r>
      <w:r w:rsidRPr="007C66E7">
        <w:rPr>
          <w:i/>
          <w:szCs w:val="22"/>
        </w:rPr>
        <w:t>distributor</w:t>
      </w:r>
      <w:r w:rsidRPr="007C66E7">
        <w:rPr>
          <w:szCs w:val="22"/>
        </w:rPr>
        <w:t>’s</w:t>
      </w:r>
      <w:r>
        <w:rPr>
          <w:szCs w:val="22"/>
        </w:rPr>
        <w:t xml:space="preserve"> </w:t>
      </w:r>
      <w:r w:rsidRPr="003D506E">
        <w:rPr>
          <w:szCs w:val="22"/>
        </w:rPr>
        <w:t xml:space="preserve">embedded generation offsetting load </w:t>
      </w:r>
      <w:r w:rsidRPr="007C66E7">
        <w:rPr>
          <w:szCs w:val="22"/>
        </w:rPr>
        <w:t xml:space="preserve">data </w:t>
      </w:r>
      <w:r>
        <w:rPr>
          <w:szCs w:val="22"/>
        </w:rPr>
        <w:t>submission</w:t>
      </w:r>
      <w:r w:rsidRPr="00B01966">
        <w:rPr>
          <w:szCs w:val="22"/>
        </w:rPr>
        <w:t xml:space="preserve"> </w:t>
      </w:r>
      <w:r w:rsidRPr="008679CB">
        <w:rPr>
          <w:szCs w:val="22"/>
        </w:rPr>
        <w:t xml:space="preserve">to the </w:t>
      </w:r>
      <w:r w:rsidRPr="008679CB">
        <w:rPr>
          <w:i/>
          <w:szCs w:val="22"/>
        </w:rPr>
        <w:t>IESO</w:t>
      </w:r>
      <w:r>
        <w:rPr>
          <w:szCs w:val="22"/>
        </w:rPr>
        <w:t>.</w:t>
      </w:r>
    </w:p>
    <w:p w14:paraId="5B53299C" w14:textId="77777777" w:rsidR="00054139" w:rsidRPr="0006736C" w:rsidRDefault="00054139" w:rsidP="00054139">
      <w:pPr>
        <w:pStyle w:val="BodyText"/>
        <w:spacing w:before="0" w:after="0"/>
        <w:ind w:left="720"/>
        <w:rPr>
          <w:szCs w:val="22"/>
        </w:rPr>
      </w:pPr>
    </w:p>
    <w:p w14:paraId="20703252" w14:textId="77777777" w:rsidR="000E6636" w:rsidRPr="00B71790" w:rsidRDefault="000E6636" w:rsidP="00444D56">
      <w:pPr>
        <w:pStyle w:val="Default"/>
        <w:rPr>
          <w:sz w:val="22"/>
          <w:szCs w:val="22"/>
        </w:rPr>
      </w:pPr>
      <w:r w:rsidRPr="008679CB">
        <w:rPr>
          <w:sz w:val="22"/>
          <w:szCs w:val="22"/>
        </w:rPr>
        <w:t xml:space="preserve">The total amount of Global Adjustment assigned to all Class B </w:t>
      </w:r>
      <w:r w:rsidRPr="008679CB">
        <w:rPr>
          <w:i/>
          <w:sz w:val="22"/>
          <w:szCs w:val="22"/>
        </w:rPr>
        <w:t>market participants</w:t>
      </w:r>
      <w:r w:rsidRPr="008679CB">
        <w:rPr>
          <w:sz w:val="22"/>
          <w:szCs w:val="22"/>
        </w:rPr>
        <w:t xml:space="preserve"> and licensed </w:t>
      </w:r>
      <w:r w:rsidRPr="008679CB">
        <w:rPr>
          <w:i/>
          <w:sz w:val="22"/>
          <w:szCs w:val="22"/>
        </w:rPr>
        <w:t>distributors</w:t>
      </w:r>
      <w:r w:rsidRPr="008679CB">
        <w:rPr>
          <w:sz w:val="22"/>
          <w:szCs w:val="22"/>
        </w:rPr>
        <w:t xml:space="preserve"> will exclude the Global Adjustment allocated to Class A </w:t>
      </w:r>
      <w:r w:rsidRPr="008679CB">
        <w:rPr>
          <w:i/>
          <w:sz w:val="22"/>
          <w:szCs w:val="22"/>
        </w:rPr>
        <w:t>market participants</w:t>
      </w:r>
      <w:r w:rsidRPr="008679CB">
        <w:rPr>
          <w:sz w:val="22"/>
          <w:szCs w:val="22"/>
        </w:rPr>
        <w:t xml:space="preserve"> and licensed </w:t>
      </w:r>
      <w:r w:rsidRPr="008679CB">
        <w:rPr>
          <w:i/>
          <w:sz w:val="22"/>
          <w:szCs w:val="22"/>
        </w:rPr>
        <w:t>distributors</w:t>
      </w:r>
      <w:r w:rsidRPr="008679CB">
        <w:rPr>
          <w:sz w:val="22"/>
          <w:szCs w:val="22"/>
        </w:rPr>
        <w:t xml:space="preserve"> with Class A </w:t>
      </w:r>
      <w:r w:rsidRPr="008679CB">
        <w:rPr>
          <w:i/>
          <w:sz w:val="22"/>
          <w:szCs w:val="22"/>
        </w:rPr>
        <w:t>consumers</w:t>
      </w:r>
      <w:r w:rsidRPr="008679CB">
        <w:rPr>
          <w:sz w:val="22"/>
          <w:szCs w:val="22"/>
        </w:rPr>
        <w:t>.</w:t>
      </w:r>
    </w:p>
    <w:p w14:paraId="0B4735CE" w14:textId="77777777" w:rsidR="000E6636" w:rsidRPr="00B71790" w:rsidRDefault="000E6636" w:rsidP="001B4599">
      <w:pPr>
        <w:pStyle w:val="Default"/>
        <w:spacing w:before="120" w:after="120"/>
        <w:rPr>
          <w:sz w:val="22"/>
          <w:szCs w:val="22"/>
        </w:rPr>
      </w:pPr>
      <w:r w:rsidRPr="008679CB">
        <w:rPr>
          <w:sz w:val="22"/>
          <w:szCs w:val="22"/>
        </w:rPr>
        <w:t>The total Class B consumption for the month will be calculated as follows:</w:t>
      </w:r>
    </w:p>
    <w:p w14:paraId="45E7D449" w14:textId="52DC5266" w:rsidR="000E6636" w:rsidRDefault="000E6636" w:rsidP="001B4599">
      <w:pPr>
        <w:pStyle w:val="Default"/>
        <w:spacing w:before="120" w:after="120"/>
        <w:rPr>
          <w:color w:val="auto"/>
          <w:sz w:val="22"/>
          <w:szCs w:val="22"/>
          <w:lang w:val="en-US"/>
        </w:rPr>
      </w:pPr>
      <m:oMath>
        <m:r>
          <w:rPr>
            <w:rFonts w:ascii="Cambria Math" w:hAnsi="Cambria Math"/>
            <w:sz w:val="22"/>
            <w:szCs w:val="22"/>
          </w:rPr>
          <m:t>Total</m:t>
        </m:r>
        <m:r>
          <w:rPr>
            <w:rFonts w:ascii="Cambria Math"/>
            <w:sz w:val="22"/>
            <w:szCs w:val="22"/>
          </w:rPr>
          <m:t xml:space="preserve"> </m:t>
        </m:r>
        <m:r>
          <w:rPr>
            <w:rFonts w:ascii="Cambria Math" w:hAnsi="Cambria Math"/>
            <w:sz w:val="22"/>
            <w:szCs w:val="22"/>
          </w:rPr>
          <m:t>Class</m:t>
        </m:r>
        <m:r>
          <w:rPr>
            <w:rFonts w:ascii="Cambria Math"/>
            <w:sz w:val="22"/>
            <w:szCs w:val="22"/>
          </w:rPr>
          <m:t xml:space="preserve"> </m:t>
        </m:r>
        <m:r>
          <w:rPr>
            <w:rFonts w:ascii="Cambria Math" w:hAnsi="Cambria Math"/>
            <w:sz w:val="22"/>
            <w:szCs w:val="22"/>
          </w:rPr>
          <m:t>B</m:t>
        </m:r>
        <m:r>
          <w:rPr>
            <w:rFonts w:ascii="Cambria Math"/>
            <w:sz w:val="22"/>
            <w:szCs w:val="22"/>
          </w:rPr>
          <m:t xml:space="preserve"> </m:t>
        </m:r>
        <m:r>
          <w:rPr>
            <w:rFonts w:ascii="Cambria Math" w:hAnsi="Cambria Math"/>
            <w:sz w:val="22"/>
            <w:szCs w:val="22"/>
          </w:rPr>
          <m:t>Load</m:t>
        </m:r>
        <m:r>
          <w:rPr>
            <w:rFonts w:ascii="Cambria Math"/>
            <w:sz w:val="22"/>
            <w:szCs w:val="22"/>
          </w:rPr>
          <m:t>=</m:t>
        </m:r>
        <m:r>
          <w:rPr>
            <w:rFonts w:ascii="Cambria Math" w:hAnsi="Cambria Math"/>
            <w:sz w:val="22"/>
            <w:szCs w:val="22"/>
          </w:rPr>
          <m:t>Total</m:t>
        </m:r>
        <m:r>
          <w:rPr>
            <w:rFonts w:ascii="Cambria Math"/>
            <w:sz w:val="22"/>
            <w:szCs w:val="22"/>
          </w:rPr>
          <m:t xml:space="preserve"> </m:t>
        </m:r>
        <m:r>
          <w:rPr>
            <w:rFonts w:ascii="Cambria Math" w:hAnsi="Cambria Math"/>
            <w:sz w:val="22"/>
            <w:szCs w:val="22"/>
          </w:rPr>
          <m:t>AQEW</m:t>
        </m:r>
        <m:r>
          <w:rPr>
            <w:rFonts w:ascii="Cambria Math"/>
            <w:sz w:val="22"/>
            <w:szCs w:val="22"/>
          </w:rPr>
          <m:t xml:space="preserve">+ </m:t>
        </m:r>
      </m:oMath>
      <w:r w:rsidRPr="008679CB">
        <w:rPr>
          <w:sz w:val="22"/>
          <w:szCs w:val="22"/>
        </w:rPr>
        <w:t xml:space="preserve">Embedded Generation </w:t>
      </w:r>
      <w:r w:rsidR="00A6274C">
        <w:rPr>
          <w:sz w:val="22"/>
          <w:szCs w:val="22"/>
        </w:rPr>
        <w:t>offsetting the load of</w:t>
      </w:r>
      <w:r w:rsidRPr="008679CB">
        <w:rPr>
          <w:sz w:val="22"/>
          <w:szCs w:val="22"/>
        </w:rPr>
        <w:t xml:space="preserve"> licensed </w:t>
      </w:r>
      <w:r w:rsidRPr="008679CB">
        <w:rPr>
          <w:i/>
          <w:sz w:val="22"/>
          <w:szCs w:val="22"/>
        </w:rPr>
        <w:t>distributors</w:t>
      </w:r>
      <w:r w:rsidRPr="008679CB">
        <w:rPr>
          <w:sz w:val="22"/>
          <w:szCs w:val="22"/>
        </w:rPr>
        <w:t xml:space="preserve"> - Beck Pump Generating Station AQEW - Fort Frances Power Corporation under its </w:t>
      </w:r>
      <w:r w:rsidRPr="008679CB">
        <w:rPr>
          <w:i/>
          <w:sz w:val="22"/>
          <w:szCs w:val="22"/>
        </w:rPr>
        <w:lastRenderedPageBreak/>
        <w:t>physical bilateral contract</w:t>
      </w:r>
      <w:r w:rsidRPr="008679CB">
        <w:rPr>
          <w:sz w:val="22"/>
          <w:szCs w:val="22"/>
        </w:rPr>
        <w:t xml:space="preserve"> amount – AQEW related to providing </w:t>
      </w:r>
      <w:r w:rsidRPr="008679CB">
        <w:rPr>
          <w:i/>
          <w:sz w:val="22"/>
          <w:szCs w:val="22"/>
        </w:rPr>
        <w:t>ancillary services</w:t>
      </w:r>
      <w:r w:rsidRPr="008679CB">
        <w:rPr>
          <w:sz w:val="22"/>
          <w:szCs w:val="22"/>
        </w:rPr>
        <w:t xml:space="preserve"> – AQEW of Class A </w:t>
      </w:r>
      <w:r w:rsidRPr="008679CB">
        <w:rPr>
          <w:i/>
          <w:sz w:val="22"/>
          <w:szCs w:val="22"/>
        </w:rPr>
        <w:t>market participant</w:t>
      </w:r>
      <w:r w:rsidR="00E71FF2">
        <w:rPr>
          <w:i/>
          <w:sz w:val="22"/>
          <w:szCs w:val="22"/>
        </w:rPr>
        <w:t xml:space="preserve"> load facilitie</w:t>
      </w:r>
      <w:r w:rsidRPr="008679CB">
        <w:rPr>
          <w:i/>
          <w:sz w:val="22"/>
          <w:szCs w:val="22"/>
        </w:rPr>
        <w:t>s</w:t>
      </w:r>
      <w:r w:rsidRPr="008679CB">
        <w:rPr>
          <w:sz w:val="22"/>
          <w:szCs w:val="22"/>
        </w:rPr>
        <w:t xml:space="preserve"> and LDC Class A </w:t>
      </w:r>
      <w:r w:rsidRPr="008679CB">
        <w:rPr>
          <w:i/>
          <w:sz w:val="22"/>
          <w:szCs w:val="22"/>
        </w:rPr>
        <w:t>consumers</w:t>
      </w:r>
      <w:r w:rsidR="00DD2462">
        <w:rPr>
          <w:i/>
          <w:sz w:val="22"/>
          <w:szCs w:val="22"/>
        </w:rPr>
        <w:t>.</w:t>
      </w:r>
      <w:r w:rsidR="00C732FA" w:rsidRPr="00C732FA">
        <w:rPr>
          <w:color w:val="auto"/>
          <w:sz w:val="22"/>
          <w:szCs w:val="22"/>
          <w:lang w:val="en-US"/>
        </w:rPr>
        <w:t xml:space="preserve"> –</w:t>
      </w:r>
      <w:r w:rsidR="0036059A">
        <w:rPr>
          <w:color w:val="auto"/>
          <w:sz w:val="22"/>
          <w:szCs w:val="22"/>
          <w:lang w:val="en-US"/>
        </w:rPr>
        <w:t>Electricity</w:t>
      </w:r>
      <w:r w:rsidR="0036059A" w:rsidRPr="00C732FA">
        <w:rPr>
          <w:color w:val="auto"/>
          <w:sz w:val="22"/>
          <w:szCs w:val="22"/>
          <w:lang w:val="en-US"/>
        </w:rPr>
        <w:t xml:space="preserve"> </w:t>
      </w:r>
      <w:r w:rsidR="00C732FA" w:rsidRPr="00C732FA">
        <w:rPr>
          <w:color w:val="auto"/>
          <w:sz w:val="22"/>
          <w:szCs w:val="22"/>
          <w:lang w:val="en-US"/>
        </w:rPr>
        <w:t xml:space="preserve">Storage Injections from </w:t>
      </w:r>
      <w:r w:rsidR="00C732FA" w:rsidRPr="00C732FA">
        <w:rPr>
          <w:i/>
          <w:color w:val="auto"/>
          <w:sz w:val="22"/>
          <w:szCs w:val="22"/>
          <w:lang w:val="en-US"/>
        </w:rPr>
        <w:t>Class B market participant</w:t>
      </w:r>
      <w:r w:rsidR="00C732FA" w:rsidRPr="00C732FA">
        <w:rPr>
          <w:color w:val="auto"/>
          <w:sz w:val="22"/>
          <w:szCs w:val="22"/>
          <w:lang w:val="en-US"/>
        </w:rPr>
        <w:t xml:space="preserve"> and </w:t>
      </w:r>
      <w:r w:rsidR="00C732FA" w:rsidRPr="00C732FA">
        <w:rPr>
          <w:i/>
          <w:color w:val="auto"/>
          <w:sz w:val="22"/>
          <w:szCs w:val="22"/>
          <w:lang w:val="en-US"/>
        </w:rPr>
        <w:t>consumer</w:t>
      </w:r>
      <w:r w:rsidR="00C732FA" w:rsidRPr="00C732FA">
        <w:rPr>
          <w:color w:val="auto"/>
          <w:sz w:val="22"/>
          <w:szCs w:val="22"/>
          <w:lang w:val="en-US"/>
        </w:rPr>
        <w:t xml:space="preserve"> </w:t>
      </w:r>
      <w:r w:rsidR="0036059A" w:rsidRPr="00223B0C">
        <w:rPr>
          <w:color w:val="auto"/>
          <w:sz w:val="22"/>
          <w:szCs w:val="22"/>
          <w:lang w:val="en-US"/>
        </w:rPr>
        <w:t xml:space="preserve">electricity </w:t>
      </w:r>
      <w:r w:rsidR="00C732FA" w:rsidRPr="00223B0C">
        <w:rPr>
          <w:color w:val="auto"/>
          <w:sz w:val="22"/>
          <w:szCs w:val="22"/>
          <w:lang w:val="en-US"/>
        </w:rPr>
        <w:t>storage facilities</w:t>
      </w:r>
      <w:r w:rsidR="00C732FA" w:rsidRPr="00C732FA">
        <w:rPr>
          <w:color w:val="auto"/>
          <w:sz w:val="22"/>
          <w:szCs w:val="22"/>
          <w:lang w:val="en-US"/>
        </w:rPr>
        <w:t>.</w:t>
      </w:r>
    </w:p>
    <w:p w14:paraId="69C7D40D" w14:textId="77777777" w:rsidR="005D6881" w:rsidRDefault="005D6881" w:rsidP="001B4599">
      <w:pPr>
        <w:pStyle w:val="Default"/>
        <w:spacing w:before="120" w:after="120"/>
        <w:rPr>
          <w:sz w:val="22"/>
          <w:szCs w:val="22"/>
        </w:rPr>
      </w:pPr>
    </w:p>
    <w:p w14:paraId="321EE744" w14:textId="77777777" w:rsidR="00B243EC" w:rsidRPr="00C24A72" w:rsidRDefault="0029108A" w:rsidP="000B0085">
      <w:pPr>
        <w:pStyle w:val="BodyText"/>
        <w:spacing w:before="240"/>
        <w:rPr>
          <w:rFonts w:ascii="Arial" w:hAnsi="Arial" w:cs="Arial"/>
          <w:b/>
          <w:sz w:val="24"/>
          <w:szCs w:val="24"/>
          <w:u w:val="single"/>
        </w:rPr>
      </w:pPr>
      <w:r w:rsidRPr="0029108A">
        <w:rPr>
          <w:rFonts w:ascii="Arial" w:hAnsi="Arial" w:cs="Arial"/>
          <w:b/>
          <w:sz w:val="24"/>
          <w:szCs w:val="24"/>
          <w:u w:val="single"/>
        </w:rPr>
        <w:t>Class B Rates</w:t>
      </w:r>
    </w:p>
    <w:p w14:paraId="669AEECC" w14:textId="77777777" w:rsidR="00B243EC" w:rsidRDefault="00161C7C" w:rsidP="001B4599">
      <w:pPr>
        <w:pStyle w:val="Default"/>
        <w:spacing w:before="120" w:after="120"/>
        <w:rPr>
          <w:sz w:val="22"/>
          <w:szCs w:val="22"/>
        </w:rPr>
      </w:pPr>
      <w:r w:rsidRPr="00161C7C">
        <w:rPr>
          <w:sz w:val="22"/>
          <w:szCs w:val="22"/>
        </w:rPr>
        <w:t xml:space="preserve">The </w:t>
      </w:r>
      <w:r w:rsidRPr="00161C7C">
        <w:rPr>
          <w:i/>
          <w:sz w:val="22"/>
          <w:szCs w:val="22"/>
        </w:rPr>
        <w:t xml:space="preserve">IESO </w:t>
      </w:r>
      <w:r w:rsidRPr="00161C7C">
        <w:rPr>
          <w:sz w:val="22"/>
          <w:szCs w:val="22"/>
        </w:rPr>
        <w:t xml:space="preserve">will be calculating and posting a Class B Global Adjustment rate for </w:t>
      </w:r>
      <w:r w:rsidRPr="00161C7C">
        <w:rPr>
          <w:i/>
          <w:sz w:val="22"/>
          <w:szCs w:val="22"/>
        </w:rPr>
        <w:t>distributors</w:t>
      </w:r>
      <w:r w:rsidRPr="00161C7C">
        <w:rPr>
          <w:sz w:val="22"/>
          <w:szCs w:val="22"/>
        </w:rPr>
        <w:t xml:space="preserve"> to use in settling with their Class B </w:t>
      </w:r>
      <w:r w:rsidR="00DA3379" w:rsidRPr="00DA3379">
        <w:rPr>
          <w:i/>
          <w:sz w:val="22"/>
          <w:szCs w:val="22"/>
        </w:rPr>
        <w:t>Consumers</w:t>
      </w:r>
      <w:r w:rsidRPr="00161C7C">
        <w:rPr>
          <w:sz w:val="22"/>
          <w:szCs w:val="22"/>
        </w:rPr>
        <w:t xml:space="preserve">.  This rate will be published in a given month three times which are </w:t>
      </w:r>
      <w:r w:rsidR="007D35A7">
        <w:rPr>
          <w:sz w:val="22"/>
          <w:szCs w:val="22"/>
        </w:rPr>
        <w:t>as follows</w:t>
      </w:r>
      <w:r w:rsidR="002B2501">
        <w:rPr>
          <w:sz w:val="22"/>
          <w:szCs w:val="22"/>
        </w:rPr>
        <w:t>:</w:t>
      </w:r>
    </w:p>
    <w:p w14:paraId="60C7F2CE" w14:textId="77777777" w:rsidR="00B243EC" w:rsidRPr="00B243EC" w:rsidRDefault="00161C7C" w:rsidP="003853C6">
      <w:pPr>
        <w:pStyle w:val="Default"/>
        <w:numPr>
          <w:ilvl w:val="0"/>
          <w:numId w:val="81"/>
        </w:numPr>
        <w:rPr>
          <w:sz w:val="22"/>
          <w:szCs w:val="22"/>
        </w:rPr>
      </w:pPr>
      <w:r w:rsidRPr="00161C7C">
        <w:rPr>
          <w:sz w:val="22"/>
          <w:szCs w:val="22"/>
        </w:rPr>
        <w:t xml:space="preserve">First Estimate – Calculated on the last </w:t>
      </w:r>
      <w:r w:rsidRPr="00161C7C">
        <w:rPr>
          <w:i/>
          <w:sz w:val="22"/>
          <w:szCs w:val="22"/>
        </w:rPr>
        <w:t>business day</w:t>
      </w:r>
      <w:r w:rsidRPr="00161C7C">
        <w:rPr>
          <w:sz w:val="22"/>
          <w:szCs w:val="22"/>
        </w:rPr>
        <w:t xml:space="preserve"> of the previous month</w:t>
      </w:r>
      <w:r w:rsidR="009F68C5">
        <w:rPr>
          <w:sz w:val="22"/>
          <w:szCs w:val="22"/>
        </w:rPr>
        <w:t>.</w:t>
      </w:r>
    </w:p>
    <w:p w14:paraId="71BABBD9" w14:textId="77777777" w:rsidR="00B243EC" w:rsidRPr="00B243EC" w:rsidRDefault="00161C7C" w:rsidP="003853C6">
      <w:pPr>
        <w:pStyle w:val="Default"/>
        <w:numPr>
          <w:ilvl w:val="0"/>
          <w:numId w:val="81"/>
        </w:numPr>
        <w:rPr>
          <w:sz w:val="22"/>
          <w:szCs w:val="22"/>
        </w:rPr>
      </w:pPr>
      <w:r w:rsidRPr="00161C7C">
        <w:rPr>
          <w:sz w:val="22"/>
          <w:szCs w:val="22"/>
        </w:rPr>
        <w:t xml:space="preserve">Second Estimate – Calculated on the last </w:t>
      </w:r>
      <w:r w:rsidRPr="00161C7C">
        <w:rPr>
          <w:i/>
          <w:sz w:val="22"/>
          <w:szCs w:val="22"/>
        </w:rPr>
        <w:t>business day</w:t>
      </w:r>
      <w:r w:rsidRPr="00161C7C">
        <w:rPr>
          <w:sz w:val="22"/>
          <w:szCs w:val="22"/>
        </w:rPr>
        <w:t xml:space="preserve"> of the month</w:t>
      </w:r>
      <w:r w:rsidR="009F68C5">
        <w:rPr>
          <w:sz w:val="22"/>
          <w:szCs w:val="22"/>
        </w:rPr>
        <w:t>.</w:t>
      </w:r>
    </w:p>
    <w:p w14:paraId="23C56D11" w14:textId="77777777" w:rsidR="00B243EC" w:rsidRPr="00B243EC" w:rsidRDefault="00161C7C" w:rsidP="003853C6">
      <w:pPr>
        <w:pStyle w:val="Default"/>
        <w:numPr>
          <w:ilvl w:val="0"/>
          <w:numId w:val="81"/>
        </w:numPr>
        <w:rPr>
          <w:sz w:val="22"/>
          <w:szCs w:val="22"/>
        </w:rPr>
      </w:pPr>
      <w:r w:rsidRPr="00161C7C">
        <w:rPr>
          <w:sz w:val="22"/>
          <w:szCs w:val="22"/>
        </w:rPr>
        <w:t>Actual Class B rate – Calculated on the 10</w:t>
      </w:r>
      <w:r w:rsidRPr="00161C7C">
        <w:rPr>
          <w:sz w:val="22"/>
          <w:szCs w:val="22"/>
          <w:vertAlign w:val="superscript"/>
        </w:rPr>
        <w:t>th</w:t>
      </w:r>
      <w:r w:rsidRPr="00161C7C">
        <w:rPr>
          <w:sz w:val="22"/>
          <w:szCs w:val="22"/>
        </w:rPr>
        <w:t xml:space="preserve"> </w:t>
      </w:r>
      <w:r w:rsidRPr="00161C7C">
        <w:rPr>
          <w:i/>
          <w:sz w:val="22"/>
          <w:szCs w:val="22"/>
        </w:rPr>
        <w:t>business day</w:t>
      </w:r>
      <w:r w:rsidR="007D35A7">
        <w:rPr>
          <w:sz w:val="22"/>
          <w:szCs w:val="22"/>
        </w:rPr>
        <w:t xml:space="preserve"> of the following</w:t>
      </w:r>
      <w:r w:rsidRPr="00161C7C">
        <w:rPr>
          <w:sz w:val="22"/>
          <w:szCs w:val="22"/>
        </w:rPr>
        <w:t xml:space="preserve"> month</w:t>
      </w:r>
      <w:r w:rsidR="009F68C5">
        <w:rPr>
          <w:sz w:val="22"/>
          <w:szCs w:val="22"/>
        </w:rPr>
        <w:t>.</w:t>
      </w:r>
    </w:p>
    <w:p w14:paraId="67F5FB1E" w14:textId="77777777" w:rsidR="00B243EC" w:rsidRPr="00B243EC" w:rsidRDefault="00161C7C" w:rsidP="001B4599">
      <w:pPr>
        <w:pStyle w:val="Default"/>
        <w:spacing w:before="120" w:after="120"/>
        <w:rPr>
          <w:sz w:val="22"/>
          <w:szCs w:val="22"/>
        </w:rPr>
      </w:pPr>
      <w:r w:rsidRPr="00161C7C">
        <w:rPr>
          <w:sz w:val="22"/>
          <w:szCs w:val="22"/>
        </w:rPr>
        <w:t xml:space="preserve">The estimated rates will be based on estimates of the Class B Global Adjustment amounts and Class B consumption.  The </w:t>
      </w:r>
      <w:r w:rsidR="00784F85">
        <w:rPr>
          <w:sz w:val="22"/>
          <w:szCs w:val="22"/>
        </w:rPr>
        <w:t>f</w:t>
      </w:r>
      <w:r w:rsidR="00784F85" w:rsidRPr="00161C7C">
        <w:rPr>
          <w:sz w:val="22"/>
          <w:szCs w:val="22"/>
        </w:rPr>
        <w:t xml:space="preserve">inal </w:t>
      </w:r>
      <w:r w:rsidRPr="00161C7C">
        <w:rPr>
          <w:sz w:val="22"/>
          <w:szCs w:val="22"/>
        </w:rPr>
        <w:t>rate will be calculated based on actual values for the month.</w:t>
      </w:r>
    </w:p>
    <w:p w14:paraId="62AF94D9" w14:textId="77777777" w:rsidR="001969D0" w:rsidRPr="00941ED5" w:rsidRDefault="001969D0" w:rsidP="00D0264B">
      <w:pPr>
        <w:pStyle w:val="Default"/>
        <w:spacing w:after="120"/>
        <w:rPr>
          <w:sz w:val="22"/>
          <w:szCs w:val="22"/>
        </w:rPr>
      </w:pPr>
      <w:r w:rsidRPr="00941ED5">
        <w:rPr>
          <w:sz w:val="22"/>
          <w:szCs w:val="22"/>
        </w:rPr>
        <w:t>Corrections from a prior period due to embedded generation or Class A load amounts will be recovered from the market using Class B current settlement month load quantities. Note, the prior period Class B load quantities relating to the period of correction are not being used for recovery.</w:t>
      </w:r>
    </w:p>
    <w:p w14:paraId="04EE38B4" w14:textId="77777777" w:rsidR="00883FCF" w:rsidRDefault="00161C7C" w:rsidP="00D0264B">
      <w:pPr>
        <w:pStyle w:val="Default"/>
        <w:spacing w:after="120"/>
        <w:rPr>
          <w:sz w:val="22"/>
          <w:szCs w:val="22"/>
        </w:rPr>
      </w:pPr>
      <w:r w:rsidRPr="00161C7C">
        <w:rPr>
          <w:sz w:val="22"/>
          <w:szCs w:val="22"/>
        </w:rPr>
        <w:t xml:space="preserve">The estimated Class B Global Adjustment amount and Class B Consumption will </w:t>
      </w:r>
      <w:r w:rsidR="004D216B">
        <w:rPr>
          <w:sz w:val="22"/>
          <w:szCs w:val="22"/>
        </w:rPr>
        <w:t>be</w:t>
      </w:r>
      <w:r w:rsidR="00635483">
        <w:rPr>
          <w:sz w:val="22"/>
          <w:szCs w:val="22"/>
        </w:rPr>
        <w:t xml:space="preserve"> </w:t>
      </w:r>
      <w:r w:rsidRPr="00161C7C">
        <w:rPr>
          <w:sz w:val="22"/>
          <w:szCs w:val="22"/>
        </w:rPr>
        <w:t>calculated as shown below for the First Estimate.</w:t>
      </w:r>
    </w:p>
    <w:tbl>
      <w:tblPr>
        <w:tblW w:w="0" w:type="auto"/>
        <w:tblLook w:val="04A0" w:firstRow="1" w:lastRow="0" w:firstColumn="1" w:lastColumn="0" w:noHBand="0" w:noVBand="1"/>
        <w:tblDescription w:val="Table for the estimated Class B Global Adjustment amount and Class B Consumption "/>
      </w:tblPr>
      <w:tblGrid>
        <w:gridCol w:w="4500"/>
        <w:gridCol w:w="4500"/>
      </w:tblGrid>
      <w:tr w:rsidR="00B243EC" w14:paraId="67526492" w14:textId="77777777" w:rsidTr="006309A5">
        <w:tc>
          <w:tcPr>
            <w:tcW w:w="4608" w:type="dxa"/>
            <w:shd w:val="clear" w:color="auto" w:fill="auto"/>
          </w:tcPr>
          <w:p w14:paraId="42020C22" w14:textId="77777777" w:rsidR="00B243EC" w:rsidRPr="00B243EC" w:rsidRDefault="00B243EC" w:rsidP="00B243EC">
            <w:pPr>
              <w:pStyle w:val="Default"/>
              <w:rPr>
                <w:rFonts w:asciiTheme="minorHAnsi" w:hAnsiTheme="minorHAnsi"/>
                <w:sz w:val="22"/>
                <w:szCs w:val="22"/>
                <w:highlight w:val="lightGray"/>
              </w:rPr>
            </w:pPr>
          </w:p>
        </w:tc>
        <w:tc>
          <w:tcPr>
            <w:tcW w:w="4608" w:type="dxa"/>
            <w:shd w:val="clear" w:color="auto" w:fill="auto"/>
          </w:tcPr>
          <w:p w14:paraId="63985DC6" w14:textId="77777777" w:rsidR="00B243EC" w:rsidRPr="001C03A6" w:rsidRDefault="00B243EC" w:rsidP="00B243EC">
            <w:pPr>
              <w:pStyle w:val="Default"/>
              <w:rPr>
                <w:rFonts w:asciiTheme="minorHAnsi" w:hAnsiTheme="minorHAnsi"/>
                <w:sz w:val="22"/>
                <w:szCs w:val="22"/>
                <w:highlight w:val="lightGray"/>
              </w:rPr>
            </w:pPr>
          </w:p>
        </w:tc>
      </w:tr>
    </w:tbl>
    <w:tbl>
      <w:tblPr>
        <w:tblStyle w:val="TableGrid"/>
        <w:tblW w:w="0" w:type="auto"/>
        <w:tblInd w:w="108" w:type="dxa"/>
        <w:tblLook w:val="04A0" w:firstRow="1" w:lastRow="0" w:firstColumn="1" w:lastColumn="0" w:noHBand="0" w:noVBand="1"/>
        <w:tblDescription w:val="Table for the estimated Class B Global Adjustment amount and Class B Consumption "/>
      </w:tblPr>
      <w:tblGrid>
        <w:gridCol w:w="4347"/>
        <w:gridCol w:w="4535"/>
      </w:tblGrid>
      <w:tr w:rsidR="006309A5" w14:paraId="518B9B28" w14:textId="77777777" w:rsidTr="005F4390">
        <w:trPr>
          <w:tblHeader/>
        </w:trPr>
        <w:tc>
          <w:tcPr>
            <w:tcW w:w="4474" w:type="dxa"/>
            <w:shd w:val="clear" w:color="auto" w:fill="D9D9D9" w:themeFill="background1" w:themeFillShade="D9"/>
          </w:tcPr>
          <w:p w14:paraId="5EE9279A" w14:textId="77777777" w:rsidR="004A745A" w:rsidRPr="005F4390" w:rsidRDefault="00161C7C">
            <w:pPr>
              <w:pStyle w:val="Default"/>
              <w:jc w:val="center"/>
              <w:rPr>
                <w:rFonts w:asciiTheme="minorHAnsi" w:hAnsiTheme="minorHAnsi" w:cstheme="minorHAnsi"/>
                <w:b/>
                <w:sz w:val="22"/>
                <w:szCs w:val="22"/>
                <w:lang w:val="en-US"/>
              </w:rPr>
            </w:pPr>
            <w:r w:rsidRPr="005F4390">
              <w:rPr>
                <w:rFonts w:asciiTheme="minorHAnsi" w:hAnsiTheme="minorHAnsi" w:cstheme="minorHAnsi"/>
                <w:b/>
                <w:sz w:val="22"/>
                <w:szCs w:val="22"/>
                <w:highlight w:val="lightGray"/>
                <w:shd w:val="clear" w:color="auto" w:fill="D9D9D9" w:themeFill="background1" w:themeFillShade="D9"/>
              </w:rPr>
              <w:t>Class B Global Adjustment Amoun</w:t>
            </w:r>
            <w:r w:rsidRPr="005F4390">
              <w:rPr>
                <w:rFonts w:asciiTheme="minorHAnsi" w:hAnsiTheme="minorHAnsi" w:cstheme="minorHAnsi"/>
                <w:b/>
                <w:sz w:val="22"/>
                <w:szCs w:val="22"/>
                <w:highlight w:val="lightGray"/>
              </w:rPr>
              <w:t>t</w:t>
            </w:r>
          </w:p>
          <w:p w14:paraId="31A134BC" w14:textId="77777777" w:rsidR="006309A5" w:rsidRPr="005F4390" w:rsidRDefault="006309A5" w:rsidP="00B243EC">
            <w:pPr>
              <w:pStyle w:val="Default"/>
              <w:rPr>
                <w:rFonts w:asciiTheme="minorHAnsi" w:hAnsiTheme="minorHAnsi" w:cstheme="minorHAnsi"/>
                <w:sz w:val="22"/>
                <w:szCs w:val="22"/>
              </w:rPr>
            </w:pPr>
          </w:p>
        </w:tc>
        <w:tc>
          <w:tcPr>
            <w:tcW w:w="4634" w:type="dxa"/>
            <w:shd w:val="clear" w:color="auto" w:fill="D9D9D9" w:themeFill="background1" w:themeFillShade="D9"/>
          </w:tcPr>
          <w:p w14:paraId="1070D875" w14:textId="77777777" w:rsidR="004A745A" w:rsidRPr="005F4390" w:rsidRDefault="00161C7C">
            <w:pPr>
              <w:pStyle w:val="Default"/>
              <w:ind w:left="720"/>
              <w:contextualSpacing/>
              <w:jc w:val="center"/>
              <w:rPr>
                <w:rFonts w:asciiTheme="minorHAnsi" w:hAnsiTheme="minorHAnsi" w:cstheme="minorHAnsi"/>
                <w:b/>
                <w:sz w:val="22"/>
                <w:szCs w:val="22"/>
                <w:highlight w:val="lightGray"/>
                <w:lang w:val="en-US"/>
              </w:rPr>
            </w:pPr>
            <w:r w:rsidRPr="005F4390">
              <w:rPr>
                <w:rFonts w:asciiTheme="minorHAnsi" w:hAnsiTheme="minorHAnsi" w:cstheme="minorHAnsi"/>
                <w:b/>
                <w:sz w:val="22"/>
                <w:szCs w:val="22"/>
                <w:highlight w:val="lightGray"/>
              </w:rPr>
              <w:t>Class B Consumption</w:t>
            </w:r>
          </w:p>
          <w:p w14:paraId="542CB0E8" w14:textId="77777777" w:rsidR="006309A5" w:rsidRPr="005F4390" w:rsidRDefault="006309A5" w:rsidP="00B243EC">
            <w:pPr>
              <w:pStyle w:val="Default"/>
              <w:rPr>
                <w:rFonts w:asciiTheme="minorHAnsi" w:hAnsiTheme="minorHAnsi" w:cstheme="minorHAnsi"/>
                <w:sz w:val="22"/>
                <w:szCs w:val="22"/>
              </w:rPr>
            </w:pPr>
          </w:p>
        </w:tc>
      </w:tr>
      <w:tr w:rsidR="00B243EC" w14:paraId="4A5ABD90" w14:textId="77777777" w:rsidTr="00CB053F">
        <w:tc>
          <w:tcPr>
            <w:tcW w:w="4474" w:type="dxa"/>
          </w:tcPr>
          <w:p w14:paraId="73CC366E" w14:textId="77777777" w:rsidR="004A745A" w:rsidRPr="00F66F6C" w:rsidRDefault="00B243EC" w:rsidP="007F28C0">
            <w:pPr>
              <w:pStyle w:val="Default"/>
              <w:rPr>
                <w:sz w:val="22"/>
                <w:szCs w:val="22"/>
                <w:lang w:val="en-US"/>
              </w:rPr>
            </w:pPr>
            <w:r w:rsidRPr="00F66F6C">
              <w:rPr>
                <w:sz w:val="22"/>
                <w:szCs w:val="22"/>
              </w:rPr>
              <w:t>Estimated Global Adjustment for the previous month (</w:t>
            </w:r>
            <w:r w:rsidR="00784F85" w:rsidRPr="00F66F6C">
              <w:rPr>
                <w:sz w:val="22"/>
                <w:szCs w:val="22"/>
              </w:rPr>
              <w:t>e.g. f</w:t>
            </w:r>
            <w:r w:rsidRPr="00F66F6C">
              <w:rPr>
                <w:sz w:val="22"/>
                <w:szCs w:val="22"/>
              </w:rPr>
              <w:t xml:space="preserve">or March use </w:t>
            </w:r>
            <w:r w:rsidR="00784F85" w:rsidRPr="00F66F6C">
              <w:rPr>
                <w:sz w:val="22"/>
                <w:szCs w:val="22"/>
              </w:rPr>
              <w:t xml:space="preserve">estimate </w:t>
            </w:r>
            <w:r w:rsidRPr="00F66F6C">
              <w:rPr>
                <w:sz w:val="22"/>
                <w:szCs w:val="22"/>
              </w:rPr>
              <w:t>for February)</w:t>
            </w:r>
          </w:p>
        </w:tc>
        <w:tc>
          <w:tcPr>
            <w:tcW w:w="4634" w:type="dxa"/>
          </w:tcPr>
          <w:p w14:paraId="7C50FF30" w14:textId="77777777" w:rsidR="00B243EC" w:rsidRPr="00F66F6C" w:rsidRDefault="00B243EC" w:rsidP="00B243EC">
            <w:pPr>
              <w:pStyle w:val="Default"/>
              <w:rPr>
                <w:sz w:val="22"/>
                <w:szCs w:val="22"/>
              </w:rPr>
            </w:pPr>
            <w:r w:rsidRPr="00F66F6C">
              <w:rPr>
                <w:sz w:val="22"/>
                <w:szCs w:val="22"/>
              </w:rPr>
              <w:t>Estimated Load for the month</w:t>
            </w:r>
          </w:p>
        </w:tc>
      </w:tr>
      <w:tr w:rsidR="00C51A68" w14:paraId="29B56E3E" w14:textId="77777777" w:rsidTr="00CB053F">
        <w:tc>
          <w:tcPr>
            <w:tcW w:w="4474" w:type="dxa"/>
          </w:tcPr>
          <w:p w14:paraId="16271129" w14:textId="77777777" w:rsidR="00C51A68" w:rsidRPr="00F66F6C" w:rsidRDefault="00C51A68" w:rsidP="00B243EC">
            <w:pPr>
              <w:pStyle w:val="Default"/>
              <w:rPr>
                <w:sz w:val="22"/>
                <w:szCs w:val="22"/>
              </w:rPr>
            </w:pPr>
            <w:r w:rsidRPr="00F66F6C">
              <w:rPr>
                <w:sz w:val="22"/>
                <w:szCs w:val="22"/>
              </w:rPr>
              <w:t>Plus/Minus corrections  for the estimates used in previous month calculations</w:t>
            </w:r>
          </w:p>
        </w:tc>
        <w:tc>
          <w:tcPr>
            <w:tcW w:w="4634" w:type="dxa"/>
          </w:tcPr>
          <w:p w14:paraId="73CA0F2F" w14:textId="77777777" w:rsidR="00C51A68" w:rsidRPr="00F66F6C" w:rsidRDefault="00C51A68" w:rsidP="00B243EC">
            <w:pPr>
              <w:pStyle w:val="Default"/>
              <w:rPr>
                <w:sz w:val="22"/>
                <w:szCs w:val="22"/>
              </w:rPr>
            </w:pPr>
          </w:p>
        </w:tc>
      </w:tr>
      <w:tr w:rsidR="00C51A68" w14:paraId="0660897D" w14:textId="77777777" w:rsidTr="00CB053F">
        <w:tc>
          <w:tcPr>
            <w:tcW w:w="4474" w:type="dxa"/>
          </w:tcPr>
          <w:p w14:paraId="30531737" w14:textId="77777777" w:rsidR="00C51A68" w:rsidRPr="00F66F6C" w:rsidRDefault="00C51A68" w:rsidP="00D0264B">
            <w:pPr>
              <w:pStyle w:val="Default"/>
              <w:rPr>
                <w:sz w:val="22"/>
                <w:szCs w:val="22"/>
              </w:rPr>
            </w:pPr>
            <w:r w:rsidRPr="00F66F6C">
              <w:rPr>
                <w:sz w:val="22"/>
                <w:szCs w:val="22"/>
              </w:rPr>
              <w:t>Multiplied by [1- Total Peak Demand Factors for current Adjustment Period]</w:t>
            </w:r>
          </w:p>
        </w:tc>
        <w:tc>
          <w:tcPr>
            <w:tcW w:w="4634" w:type="dxa"/>
          </w:tcPr>
          <w:p w14:paraId="7EAE78E3" w14:textId="77777777" w:rsidR="00C51A68" w:rsidRPr="00F66F6C" w:rsidRDefault="00C51A68">
            <w:pPr>
              <w:pStyle w:val="Default"/>
              <w:rPr>
                <w:sz w:val="22"/>
                <w:szCs w:val="22"/>
                <w:lang w:val="en-US"/>
              </w:rPr>
            </w:pPr>
            <w:r w:rsidRPr="00F66F6C">
              <w:rPr>
                <w:sz w:val="22"/>
                <w:szCs w:val="22"/>
              </w:rPr>
              <w:t>Plus Embedded Generation values used in the settlement of the month two months prior (e.g. estimate for March based on submission for January)</w:t>
            </w:r>
          </w:p>
        </w:tc>
      </w:tr>
      <w:tr w:rsidR="00C51A68" w14:paraId="375D18EC" w14:textId="77777777" w:rsidTr="00CB053F">
        <w:tc>
          <w:tcPr>
            <w:tcW w:w="4474" w:type="dxa"/>
          </w:tcPr>
          <w:p w14:paraId="40873EFA" w14:textId="77777777" w:rsidR="00C51A68" w:rsidRPr="00F66F6C" w:rsidRDefault="00C51A68" w:rsidP="00B243EC">
            <w:pPr>
              <w:pStyle w:val="Default"/>
              <w:rPr>
                <w:sz w:val="22"/>
                <w:szCs w:val="22"/>
              </w:rPr>
            </w:pPr>
          </w:p>
        </w:tc>
        <w:tc>
          <w:tcPr>
            <w:tcW w:w="4634" w:type="dxa"/>
          </w:tcPr>
          <w:p w14:paraId="1F87CA00" w14:textId="77777777" w:rsidR="00C51A68" w:rsidRPr="00F66F6C" w:rsidRDefault="00C51A68" w:rsidP="00B243EC">
            <w:pPr>
              <w:pStyle w:val="Default"/>
              <w:rPr>
                <w:sz w:val="22"/>
                <w:szCs w:val="22"/>
              </w:rPr>
            </w:pPr>
            <w:r w:rsidRPr="00F66F6C">
              <w:rPr>
                <w:sz w:val="22"/>
                <w:szCs w:val="22"/>
              </w:rPr>
              <w:t>Minus Class A Market Participant Load Facility and Consumer load used in the settlement of the month two months prior</w:t>
            </w:r>
          </w:p>
        </w:tc>
      </w:tr>
      <w:tr w:rsidR="00C51A68" w14:paraId="270A6050" w14:textId="77777777" w:rsidTr="00CB053F">
        <w:tc>
          <w:tcPr>
            <w:tcW w:w="4474" w:type="dxa"/>
          </w:tcPr>
          <w:p w14:paraId="0991F50C" w14:textId="77777777" w:rsidR="00C51A68" w:rsidRPr="00F66F6C" w:rsidRDefault="00C51A68" w:rsidP="00B243EC">
            <w:pPr>
              <w:pStyle w:val="Default"/>
              <w:rPr>
                <w:sz w:val="22"/>
                <w:szCs w:val="22"/>
              </w:rPr>
            </w:pPr>
          </w:p>
        </w:tc>
        <w:tc>
          <w:tcPr>
            <w:tcW w:w="4634" w:type="dxa"/>
          </w:tcPr>
          <w:p w14:paraId="3F7282A2" w14:textId="77777777" w:rsidR="00C51A68" w:rsidRPr="00F66F6C" w:rsidRDefault="00C51A68" w:rsidP="00B243EC">
            <w:pPr>
              <w:pStyle w:val="Default"/>
              <w:rPr>
                <w:sz w:val="22"/>
                <w:szCs w:val="22"/>
              </w:rPr>
            </w:pPr>
            <w:r w:rsidRPr="00F66F6C">
              <w:rPr>
                <w:sz w:val="22"/>
                <w:szCs w:val="22"/>
              </w:rPr>
              <w:t xml:space="preserve">Minus Fort Frances load for the month </w:t>
            </w:r>
          </w:p>
        </w:tc>
      </w:tr>
      <w:tr w:rsidR="00C51A68" w14:paraId="3379C844" w14:textId="77777777" w:rsidTr="00CB053F">
        <w:tc>
          <w:tcPr>
            <w:tcW w:w="4474" w:type="dxa"/>
          </w:tcPr>
          <w:p w14:paraId="541DA046" w14:textId="77777777" w:rsidR="00C51A68" w:rsidRPr="00F66F6C" w:rsidRDefault="00C51A68" w:rsidP="00B243EC">
            <w:pPr>
              <w:pStyle w:val="Default"/>
              <w:rPr>
                <w:sz w:val="22"/>
                <w:szCs w:val="22"/>
              </w:rPr>
            </w:pPr>
          </w:p>
        </w:tc>
        <w:tc>
          <w:tcPr>
            <w:tcW w:w="4634" w:type="dxa"/>
          </w:tcPr>
          <w:p w14:paraId="0F9A74A6" w14:textId="77777777" w:rsidR="00C51A68" w:rsidRPr="00F66F6C" w:rsidRDefault="00C51A68" w:rsidP="00B243EC">
            <w:pPr>
              <w:pStyle w:val="Default"/>
              <w:rPr>
                <w:sz w:val="22"/>
                <w:szCs w:val="22"/>
              </w:rPr>
            </w:pPr>
            <w:r w:rsidRPr="00F66F6C">
              <w:rPr>
                <w:sz w:val="22"/>
                <w:szCs w:val="22"/>
              </w:rPr>
              <w:t>Minus Sir Adam Beck PGS load used in the settlement of the month two months prior</w:t>
            </w:r>
          </w:p>
        </w:tc>
      </w:tr>
      <w:tr w:rsidR="00C51A68" w14:paraId="1E8EFF1E" w14:textId="77777777" w:rsidTr="00CB053F">
        <w:tc>
          <w:tcPr>
            <w:tcW w:w="4474" w:type="dxa"/>
          </w:tcPr>
          <w:p w14:paraId="6204A8E0" w14:textId="77777777" w:rsidR="00C51A68" w:rsidRPr="00F66F6C" w:rsidRDefault="00C51A68" w:rsidP="00B243EC">
            <w:pPr>
              <w:pStyle w:val="Default"/>
              <w:rPr>
                <w:sz w:val="22"/>
                <w:szCs w:val="22"/>
              </w:rPr>
            </w:pPr>
          </w:p>
        </w:tc>
        <w:tc>
          <w:tcPr>
            <w:tcW w:w="4634" w:type="dxa"/>
          </w:tcPr>
          <w:p w14:paraId="67CF80D9" w14:textId="77777777" w:rsidR="00C51A68" w:rsidRPr="00F66F6C" w:rsidRDefault="00C51A68" w:rsidP="00D0264B">
            <w:pPr>
              <w:pStyle w:val="Default"/>
              <w:rPr>
                <w:sz w:val="22"/>
                <w:szCs w:val="22"/>
              </w:rPr>
            </w:pPr>
            <w:r w:rsidRPr="00F66F6C">
              <w:rPr>
                <w:sz w:val="22"/>
                <w:szCs w:val="22"/>
              </w:rPr>
              <w:t>Minus Load associated with the provision of Ancillary Services used in the settlement of the month two months prior</w:t>
            </w:r>
          </w:p>
        </w:tc>
      </w:tr>
      <w:tr w:rsidR="00A91C1F" w14:paraId="38C59CE8" w14:textId="77777777" w:rsidTr="00CB053F">
        <w:tc>
          <w:tcPr>
            <w:tcW w:w="4474" w:type="dxa"/>
          </w:tcPr>
          <w:p w14:paraId="6EDDE628" w14:textId="77777777" w:rsidR="00A91C1F" w:rsidRPr="00F66F6C" w:rsidRDefault="00A91C1F" w:rsidP="00B243EC">
            <w:pPr>
              <w:pStyle w:val="Default"/>
              <w:rPr>
                <w:sz w:val="22"/>
                <w:szCs w:val="22"/>
              </w:rPr>
            </w:pPr>
          </w:p>
        </w:tc>
        <w:tc>
          <w:tcPr>
            <w:tcW w:w="4634" w:type="dxa"/>
          </w:tcPr>
          <w:p w14:paraId="51D37894" w14:textId="6951EE8A" w:rsidR="00A91C1F" w:rsidRPr="00F66F6C" w:rsidRDefault="00A91C1F" w:rsidP="0036059A">
            <w:pPr>
              <w:pStyle w:val="Default"/>
              <w:rPr>
                <w:sz w:val="22"/>
                <w:szCs w:val="22"/>
              </w:rPr>
            </w:pPr>
            <w:r>
              <w:rPr>
                <w:sz w:val="22"/>
                <w:szCs w:val="22"/>
              </w:rPr>
              <w:t>Minus Class B</w:t>
            </w:r>
            <w:r w:rsidRPr="00F66F6C">
              <w:rPr>
                <w:sz w:val="22"/>
                <w:szCs w:val="22"/>
              </w:rPr>
              <w:t xml:space="preserve"> Market Participant </w:t>
            </w:r>
            <w:r>
              <w:rPr>
                <w:sz w:val="22"/>
                <w:szCs w:val="22"/>
              </w:rPr>
              <w:t xml:space="preserve">and Consumer </w:t>
            </w:r>
            <w:r w:rsidR="0036059A">
              <w:rPr>
                <w:sz w:val="22"/>
                <w:szCs w:val="22"/>
              </w:rPr>
              <w:t xml:space="preserve">Electricity </w:t>
            </w:r>
            <w:r>
              <w:rPr>
                <w:sz w:val="22"/>
                <w:szCs w:val="22"/>
              </w:rPr>
              <w:t xml:space="preserve">Storage </w:t>
            </w:r>
            <w:r w:rsidRPr="00F66F6C">
              <w:rPr>
                <w:sz w:val="22"/>
                <w:szCs w:val="22"/>
              </w:rPr>
              <w:t>Facility</w:t>
            </w:r>
            <w:r>
              <w:rPr>
                <w:sz w:val="22"/>
                <w:szCs w:val="22"/>
              </w:rPr>
              <w:t xml:space="preserve"> Injections</w:t>
            </w:r>
            <w:r w:rsidRPr="00F66F6C">
              <w:rPr>
                <w:sz w:val="22"/>
                <w:szCs w:val="22"/>
              </w:rPr>
              <w:t xml:space="preserve"> used in the settlement of the month two months prior</w:t>
            </w:r>
          </w:p>
        </w:tc>
      </w:tr>
    </w:tbl>
    <w:p w14:paraId="102153A4" w14:textId="77777777" w:rsidR="00D13AF5" w:rsidRPr="0073204E" w:rsidRDefault="00D13AF5" w:rsidP="001B4599">
      <w:pPr>
        <w:pStyle w:val="Default"/>
        <w:spacing w:before="120" w:after="120"/>
        <w:rPr>
          <w:sz w:val="22"/>
          <w:szCs w:val="22"/>
        </w:rPr>
      </w:pPr>
    </w:p>
    <w:p w14:paraId="69926882" w14:textId="77777777" w:rsidR="00B243EC" w:rsidRPr="0073204E" w:rsidRDefault="0029108A" w:rsidP="001B4599">
      <w:pPr>
        <w:pStyle w:val="Default"/>
        <w:spacing w:before="120" w:after="120"/>
        <w:rPr>
          <w:sz w:val="22"/>
          <w:szCs w:val="22"/>
        </w:rPr>
      </w:pPr>
      <w:r w:rsidRPr="0029108A">
        <w:rPr>
          <w:sz w:val="22"/>
          <w:szCs w:val="22"/>
        </w:rPr>
        <w:t>The rate will be calculated (to the nearest cent) as:</w:t>
      </w:r>
    </w:p>
    <w:p w14:paraId="30C02A54" w14:textId="77777777" w:rsidR="008C1AB8" w:rsidRDefault="00161C7C">
      <w:pPr>
        <w:pStyle w:val="Default"/>
        <w:spacing w:before="120" w:after="120"/>
        <w:rPr>
          <w:rFonts w:asciiTheme="minorHAnsi" w:hAnsiTheme="minorHAnsi"/>
          <w:b/>
          <w:sz w:val="22"/>
          <w:szCs w:val="22"/>
          <w:highlight w:val="lightGray"/>
        </w:rPr>
      </w:pPr>
      <w:r w:rsidRPr="00161C7C">
        <w:rPr>
          <w:rFonts w:asciiTheme="minorHAnsi" w:hAnsiTheme="minorHAnsi"/>
          <w:b/>
          <w:sz w:val="22"/>
          <w:szCs w:val="22"/>
          <w:highlight w:val="lightGray"/>
        </w:rPr>
        <w:lastRenderedPageBreak/>
        <w:t>Class B Global Adjustment Amount</w:t>
      </w:r>
      <w:r w:rsidRPr="00161C7C">
        <w:rPr>
          <w:rFonts w:asciiTheme="minorHAnsi" w:hAnsiTheme="minorHAnsi"/>
          <w:b/>
          <w:sz w:val="22"/>
          <w:szCs w:val="22"/>
        </w:rPr>
        <w:t xml:space="preserve"> </w:t>
      </w:r>
      <w:r w:rsidRPr="00161C7C">
        <w:rPr>
          <w:rFonts w:asciiTheme="minorHAnsi" w:hAnsiTheme="minorHAnsi"/>
          <w:b/>
          <w:sz w:val="22"/>
          <w:szCs w:val="22"/>
          <w:highlight w:val="lightGray"/>
        </w:rPr>
        <w:t>÷</w:t>
      </w:r>
      <w:r w:rsidRPr="00161C7C">
        <w:rPr>
          <w:rFonts w:asciiTheme="minorHAnsi" w:hAnsiTheme="minorHAnsi"/>
          <w:b/>
          <w:sz w:val="22"/>
          <w:szCs w:val="22"/>
        </w:rPr>
        <w:t xml:space="preserve"> </w:t>
      </w:r>
      <w:r w:rsidRPr="00161C7C">
        <w:rPr>
          <w:rFonts w:asciiTheme="minorHAnsi" w:hAnsiTheme="minorHAnsi"/>
          <w:b/>
          <w:sz w:val="22"/>
          <w:szCs w:val="22"/>
          <w:highlight w:val="lightGray"/>
        </w:rPr>
        <w:t>Class B Consumption</w:t>
      </w:r>
    </w:p>
    <w:p w14:paraId="5724AFF5" w14:textId="77777777" w:rsidR="00D13AF5" w:rsidRPr="00A7536D" w:rsidRDefault="00161C7C" w:rsidP="001E6CE2">
      <w:pPr>
        <w:pStyle w:val="Default"/>
        <w:spacing w:before="120" w:after="240"/>
        <w:rPr>
          <w:sz w:val="22"/>
          <w:szCs w:val="22"/>
        </w:rPr>
      </w:pPr>
      <w:r w:rsidRPr="00161C7C">
        <w:rPr>
          <w:sz w:val="22"/>
          <w:szCs w:val="22"/>
        </w:rPr>
        <w:t>The estimated Class B Global Adjustment amount and Class B Consumption will</w:t>
      </w:r>
      <w:r w:rsidR="00322641">
        <w:rPr>
          <w:sz w:val="22"/>
          <w:szCs w:val="22"/>
        </w:rPr>
        <w:t xml:space="preserve"> </w:t>
      </w:r>
      <w:r w:rsidR="004D216B">
        <w:rPr>
          <w:sz w:val="22"/>
          <w:szCs w:val="22"/>
        </w:rPr>
        <w:t xml:space="preserve">be </w:t>
      </w:r>
      <w:r w:rsidRPr="00161C7C">
        <w:rPr>
          <w:sz w:val="22"/>
          <w:szCs w:val="22"/>
        </w:rPr>
        <w:t>calculated as shown below for the Second Estimate.</w:t>
      </w:r>
    </w:p>
    <w:tbl>
      <w:tblPr>
        <w:tblStyle w:val="TableGrid"/>
        <w:tblW w:w="0" w:type="auto"/>
        <w:tblInd w:w="108" w:type="dxa"/>
        <w:tblLook w:val="04A0" w:firstRow="1" w:lastRow="0" w:firstColumn="1" w:lastColumn="0" w:noHBand="0" w:noVBand="1"/>
        <w:tblDescription w:val="Table for the estimated Class B Global Adjustment amount and Class B Consumption  calculated for the Second Estimate."/>
      </w:tblPr>
      <w:tblGrid>
        <w:gridCol w:w="4370"/>
        <w:gridCol w:w="4512"/>
      </w:tblGrid>
      <w:tr w:rsidR="00D13AF5" w:rsidRPr="00A7536D" w14:paraId="35D19C2F" w14:textId="77777777" w:rsidTr="005F4390">
        <w:trPr>
          <w:tblHeader/>
        </w:trPr>
        <w:tc>
          <w:tcPr>
            <w:tcW w:w="4498" w:type="dxa"/>
            <w:shd w:val="clear" w:color="auto" w:fill="D9D9D9" w:themeFill="background1" w:themeFillShade="D9"/>
          </w:tcPr>
          <w:p w14:paraId="357F22DF" w14:textId="77777777" w:rsidR="004A745A" w:rsidRDefault="0029108A">
            <w:pPr>
              <w:pStyle w:val="Default"/>
              <w:jc w:val="center"/>
              <w:rPr>
                <w:rFonts w:asciiTheme="minorHAnsi" w:hAnsiTheme="minorHAnsi"/>
                <w:sz w:val="22"/>
                <w:szCs w:val="22"/>
                <w:lang w:val="en-US"/>
              </w:rPr>
            </w:pPr>
            <w:r w:rsidRPr="0029108A">
              <w:rPr>
                <w:rFonts w:asciiTheme="minorHAnsi" w:hAnsiTheme="minorHAnsi"/>
                <w:b/>
                <w:sz w:val="22"/>
                <w:szCs w:val="22"/>
                <w:highlight w:val="lightGray"/>
                <w:shd w:val="clear" w:color="auto" w:fill="D9D9D9" w:themeFill="background1" w:themeFillShade="D9"/>
              </w:rPr>
              <w:t>Class B Global Adjustment Amount</w:t>
            </w:r>
          </w:p>
        </w:tc>
        <w:tc>
          <w:tcPr>
            <w:tcW w:w="4610" w:type="dxa"/>
            <w:shd w:val="clear" w:color="auto" w:fill="D9D9D9" w:themeFill="background1" w:themeFillShade="D9"/>
          </w:tcPr>
          <w:p w14:paraId="696988D2" w14:textId="77777777" w:rsidR="004A745A" w:rsidRDefault="0029108A">
            <w:pPr>
              <w:pStyle w:val="Default"/>
              <w:ind w:left="720"/>
              <w:contextualSpacing/>
              <w:jc w:val="center"/>
              <w:rPr>
                <w:rFonts w:asciiTheme="minorHAnsi" w:hAnsiTheme="minorHAnsi"/>
                <w:b/>
                <w:sz w:val="22"/>
                <w:szCs w:val="22"/>
                <w:highlight w:val="lightGray"/>
              </w:rPr>
            </w:pPr>
            <w:r w:rsidRPr="0029108A">
              <w:rPr>
                <w:rFonts w:asciiTheme="minorHAnsi" w:hAnsiTheme="minorHAnsi"/>
                <w:b/>
                <w:sz w:val="22"/>
                <w:szCs w:val="22"/>
                <w:highlight w:val="lightGray"/>
              </w:rPr>
              <w:t>Class B Consumption</w:t>
            </w:r>
          </w:p>
          <w:p w14:paraId="10B2C8E4" w14:textId="77777777" w:rsidR="00D13AF5" w:rsidRPr="00A7536D" w:rsidRDefault="00D13AF5" w:rsidP="00D13AF5">
            <w:pPr>
              <w:pStyle w:val="Default"/>
              <w:spacing w:after="80"/>
              <w:rPr>
                <w:rFonts w:asciiTheme="minorHAnsi" w:hAnsiTheme="minorHAnsi"/>
                <w:sz w:val="22"/>
                <w:szCs w:val="22"/>
              </w:rPr>
            </w:pPr>
          </w:p>
        </w:tc>
      </w:tr>
      <w:tr w:rsidR="00D13AF5" w:rsidRPr="00A7536D" w14:paraId="31874655" w14:textId="77777777" w:rsidTr="00CB053F">
        <w:tc>
          <w:tcPr>
            <w:tcW w:w="4498" w:type="dxa"/>
          </w:tcPr>
          <w:p w14:paraId="45618A3F" w14:textId="77777777" w:rsidR="00D13AF5" w:rsidRPr="00F66F6C" w:rsidRDefault="004D216B" w:rsidP="00D13AF5">
            <w:pPr>
              <w:pStyle w:val="Default"/>
              <w:rPr>
                <w:sz w:val="22"/>
                <w:szCs w:val="22"/>
              </w:rPr>
            </w:pPr>
            <w:r w:rsidRPr="00F66F6C">
              <w:rPr>
                <w:sz w:val="22"/>
                <w:szCs w:val="22"/>
              </w:rPr>
              <w:t xml:space="preserve">Estimated Global Adjustment for the month </w:t>
            </w:r>
          </w:p>
        </w:tc>
        <w:tc>
          <w:tcPr>
            <w:tcW w:w="4610" w:type="dxa"/>
          </w:tcPr>
          <w:p w14:paraId="4A015E30" w14:textId="77777777" w:rsidR="00D13AF5" w:rsidRPr="00F66F6C" w:rsidRDefault="004D216B" w:rsidP="00D13AF5">
            <w:pPr>
              <w:pStyle w:val="Default"/>
              <w:rPr>
                <w:sz w:val="22"/>
                <w:szCs w:val="22"/>
              </w:rPr>
            </w:pPr>
            <w:r w:rsidRPr="00F66F6C">
              <w:rPr>
                <w:sz w:val="22"/>
                <w:szCs w:val="22"/>
              </w:rPr>
              <w:t>Estimated Load for the month</w:t>
            </w:r>
          </w:p>
        </w:tc>
      </w:tr>
      <w:tr w:rsidR="00C51A68" w14:paraId="7C99B2F6" w14:textId="77777777" w:rsidTr="00CB053F">
        <w:tc>
          <w:tcPr>
            <w:tcW w:w="4498" w:type="dxa"/>
          </w:tcPr>
          <w:p w14:paraId="2DA1FE20" w14:textId="77777777" w:rsidR="00C51A68" w:rsidRPr="00F66F6C" w:rsidRDefault="00C51A68" w:rsidP="00D0264B">
            <w:pPr>
              <w:pStyle w:val="Default"/>
              <w:rPr>
                <w:sz w:val="22"/>
                <w:szCs w:val="22"/>
              </w:rPr>
            </w:pPr>
            <w:r w:rsidRPr="00F66F6C">
              <w:rPr>
                <w:sz w:val="22"/>
                <w:szCs w:val="22"/>
              </w:rPr>
              <w:t>Plus/Minus Final Adjustment of previous months Global Adjustment</w:t>
            </w:r>
          </w:p>
        </w:tc>
        <w:tc>
          <w:tcPr>
            <w:tcW w:w="4610" w:type="dxa"/>
          </w:tcPr>
          <w:p w14:paraId="3A9EE3E6" w14:textId="77777777" w:rsidR="00C51A68" w:rsidRPr="00F66F6C" w:rsidRDefault="00C51A68" w:rsidP="00D13AF5">
            <w:pPr>
              <w:pStyle w:val="Default"/>
              <w:rPr>
                <w:sz w:val="22"/>
                <w:szCs w:val="22"/>
              </w:rPr>
            </w:pPr>
          </w:p>
        </w:tc>
      </w:tr>
      <w:tr w:rsidR="00C51A68" w14:paraId="21BA7395" w14:textId="77777777" w:rsidTr="00CB053F">
        <w:tc>
          <w:tcPr>
            <w:tcW w:w="4498" w:type="dxa"/>
          </w:tcPr>
          <w:p w14:paraId="2F73815A" w14:textId="77777777" w:rsidR="00C51A68" w:rsidRPr="00F66F6C" w:rsidRDefault="00C51A68" w:rsidP="00D0264B">
            <w:pPr>
              <w:pStyle w:val="Default"/>
              <w:rPr>
                <w:sz w:val="22"/>
                <w:szCs w:val="22"/>
              </w:rPr>
            </w:pPr>
            <w:r w:rsidRPr="00F66F6C">
              <w:rPr>
                <w:sz w:val="22"/>
                <w:szCs w:val="22"/>
              </w:rPr>
              <w:t>Plus/Minus corrected Global Adjustment  for prior periods (results from Global Adjustment distributions corrections related to revenue metering adjustments for prior periods)</w:t>
            </w:r>
          </w:p>
        </w:tc>
        <w:tc>
          <w:tcPr>
            <w:tcW w:w="4610" w:type="dxa"/>
          </w:tcPr>
          <w:p w14:paraId="7D362871" w14:textId="77777777" w:rsidR="00C51A68" w:rsidRPr="00F66F6C" w:rsidRDefault="00C51A68" w:rsidP="00D13AF5">
            <w:pPr>
              <w:pStyle w:val="Default"/>
              <w:rPr>
                <w:sz w:val="22"/>
                <w:szCs w:val="22"/>
              </w:rPr>
            </w:pPr>
            <w:r w:rsidRPr="00F66F6C">
              <w:rPr>
                <w:sz w:val="22"/>
                <w:szCs w:val="22"/>
              </w:rPr>
              <w:t>Plus Embedded Generation values used in the settlement of the previous month</w:t>
            </w:r>
          </w:p>
        </w:tc>
      </w:tr>
      <w:tr w:rsidR="00C51A68" w14:paraId="3D80D1B7" w14:textId="77777777" w:rsidTr="00CB053F">
        <w:tc>
          <w:tcPr>
            <w:tcW w:w="4498" w:type="dxa"/>
          </w:tcPr>
          <w:p w14:paraId="08F0F0C7" w14:textId="77777777" w:rsidR="00C51A68" w:rsidRPr="00F66F6C" w:rsidRDefault="00C51A68" w:rsidP="00D0264B">
            <w:pPr>
              <w:pStyle w:val="Default"/>
              <w:rPr>
                <w:sz w:val="22"/>
                <w:szCs w:val="22"/>
              </w:rPr>
            </w:pPr>
            <w:r w:rsidRPr="00F66F6C">
              <w:rPr>
                <w:sz w:val="22"/>
                <w:szCs w:val="22"/>
              </w:rPr>
              <w:t>Multiplied by [1- Total Peak Demand Factors for current Adjustment Period]</w:t>
            </w:r>
          </w:p>
        </w:tc>
        <w:tc>
          <w:tcPr>
            <w:tcW w:w="4610" w:type="dxa"/>
          </w:tcPr>
          <w:p w14:paraId="1E51A703" w14:textId="77777777" w:rsidR="00C51A68" w:rsidRPr="00F66F6C" w:rsidRDefault="00C51A68" w:rsidP="00D13AF5">
            <w:pPr>
              <w:pStyle w:val="Default"/>
              <w:rPr>
                <w:sz w:val="22"/>
                <w:szCs w:val="22"/>
              </w:rPr>
            </w:pPr>
            <w:r w:rsidRPr="00F66F6C">
              <w:rPr>
                <w:sz w:val="22"/>
                <w:szCs w:val="22"/>
              </w:rPr>
              <w:t xml:space="preserve">Minus Class A Market Participant Load Facility and Consumer load used in the settlement of the previous month </w:t>
            </w:r>
          </w:p>
        </w:tc>
      </w:tr>
      <w:tr w:rsidR="00C51A68" w14:paraId="3A863BD7" w14:textId="77777777" w:rsidTr="00CB053F">
        <w:tc>
          <w:tcPr>
            <w:tcW w:w="4498" w:type="dxa"/>
          </w:tcPr>
          <w:p w14:paraId="11FA3918" w14:textId="77777777" w:rsidR="00C51A68" w:rsidRPr="00F66F6C" w:rsidRDefault="00C51A68" w:rsidP="00D13AF5">
            <w:pPr>
              <w:pStyle w:val="Default"/>
              <w:rPr>
                <w:sz w:val="22"/>
                <w:szCs w:val="22"/>
              </w:rPr>
            </w:pPr>
          </w:p>
        </w:tc>
        <w:tc>
          <w:tcPr>
            <w:tcW w:w="4610" w:type="dxa"/>
          </w:tcPr>
          <w:p w14:paraId="476CF881" w14:textId="77777777" w:rsidR="00C51A68" w:rsidRPr="00F66F6C" w:rsidRDefault="00C51A68" w:rsidP="00D13AF5">
            <w:pPr>
              <w:pStyle w:val="Default"/>
              <w:rPr>
                <w:sz w:val="22"/>
                <w:szCs w:val="22"/>
              </w:rPr>
            </w:pPr>
            <w:r w:rsidRPr="00F66F6C">
              <w:rPr>
                <w:sz w:val="22"/>
                <w:szCs w:val="22"/>
              </w:rPr>
              <w:t>Minus Fort Frances load for the month.</w:t>
            </w:r>
          </w:p>
        </w:tc>
      </w:tr>
      <w:tr w:rsidR="00C51A68" w14:paraId="3A2BCFB7" w14:textId="77777777" w:rsidTr="00CB053F">
        <w:tc>
          <w:tcPr>
            <w:tcW w:w="4498" w:type="dxa"/>
          </w:tcPr>
          <w:p w14:paraId="4AB26BD0" w14:textId="77777777" w:rsidR="00C51A68" w:rsidRPr="00F66F6C" w:rsidRDefault="00C51A68" w:rsidP="00D13AF5">
            <w:pPr>
              <w:pStyle w:val="Default"/>
              <w:rPr>
                <w:sz w:val="22"/>
                <w:szCs w:val="22"/>
              </w:rPr>
            </w:pPr>
          </w:p>
        </w:tc>
        <w:tc>
          <w:tcPr>
            <w:tcW w:w="4610" w:type="dxa"/>
          </w:tcPr>
          <w:p w14:paraId="39DEFA0E" w14:textId="77777777" w:rsidR="00C51A68" w:rsidRPr="00F66F6C" w:rsidRDefault="00C51A68" w:rsidP="00D13AF5">
            <w:pPr>
              <w:pStyle w:val="Default"/>
              <w:rPr>
                <w:sz w:val="22"/>
                <w:szCs w:val="22"/>
              </w:rPr>
            </w:pPr>
            <w:r w:rsidRPr="00F66F6C">
              <w:rPr>
                <w:sz w:val="22"/>
                <w:szCs w:val="22"/>
              </w:rPr>
              <w:t>Minus Sir Adam Beck PGS load used in the settlement of the previous month.</w:t>
            </w:r>
          </w:p>
        </w:tc>
      </w:tr>
      <w:tr w:rsidR="00C51A68" w14:paraId="7125596D" w14:textId="77777777" w:rsidTr="00CB053F">
        <w:tc>
          <w:tcPr>
            <w:tcW w:w="4498" w:type="dxa"/>
          </w:tcPr>
          <w:p w14:paraId="3DCC7726" w14:textId="77777777" w:rsidR="00C51A68" w:rsidRPr="00F66F6C" w:rsidRDefault="00C51A68" w:rsidP="00D13AF5">
            <w:pPr>
              <w:pStyle w:val="Default"/>
              <w:rPr>
                <w:sz w:val="22"/>
                <w:szCs w:val="22"/>
              </w:rPr>
            </w:pPr>
          </w:p>
        </w:tc>
        <w:tc>
          <w:tcPr>
            <w:tcW w:w="4610" w:type="dxa"/>
          </w:tcPr>
          <w:p w14:paraId="6803B436" w14:textId="77777777" w:rsidR="00C51A68" w:rsidRPr="00F66F6C" w:rsidRDefault="00C51A68" w:rsidP="00D13AF5">
            <w:pPr>
              <w:pStyle w:val="Default"/>
              <w:rPr>
                <w:sz w:val="22"/>
                <w:szCs w:val="22"/>
              </w:rPr>
            </w:pPr>
            <w:r w:rsidRPr="00F66F6C">
              <w:rPr>
                <w:sz w:val="22"/>
                <w:szCs w:val="22"/>
              </w:rPr>
              <w:t xml:space="preserve">Minus Load associated with the provision of Ancillary Services used in the settlement of the previous month. </w:t>
            </w:r>
          </w:p>
        </w:tc>
      </w:tr>
      <w:tr w:rsidR="00A91C1F" w14:paraId="50E9C980" w14:textId="77777777" w:rsidTr="00CB053F">
        <w:tc>
          <w:tcPr>
            <w:tcW w:w="4498" w:type="dxa"/>
          </w:tcPr>
          <w:p w14:paraId="40E49452" w14:textId="77777777" w:rsidR="00A91C1F" w:rsidRPr="00F66F6C" w:rsidRDefault="00A91C1F" w:rsidP="00D13AF5">
            <w:pPr>
              <w:pStyle w:val="Default"/>
              <w:rPr>
                <w:sz w:val="22"/>
                <w:szCs w:val="22"/>
              </w:rPr>
            </w:pPr>
          </w:p>
        </w:tc>
        <w:tc>
          <w:tcPr>
            <w:tcW w:w="4610" w:type="dxa"/>
          </w:tcPr>
          <w:p w14:paraId="1C1AF305" w14:textId="07391C06" w:rsidR="00A91C1F" w:rsidRPr="00F66F6C" w:rsidRDefault="00A91C1F" w:rsidP="0036059A">
            <w:pPr>
              <w:pStyle w:val="Default"/>
              <w:rPr>
                <w:sz w:val="22"/>
                <w:szCs w:val="22"/>
              </w:rPr>
            </w:pPr>
            <w:r>
              <w:rPr>
                <w:sz w:val="22"/>
                <w:szCs w:val="22"/>
              </w:rPr>
              <w:t>Minus Class B</w:t>
            </w:r>
            <w:r w:rsidRPr="00F66F6C">
              <w:rPr>
                <w:sz w:val="22"/>
                <w:szCs w:val="22"/>
              </w:rPr>
              <w:t xml:space="preserve"> Market Participant </w:t>
            </w:r>
            <w:r>
              <w:rPr>
                <w:sz w:val="22"/>
                <w:szCs w:val="22"/>
              </w:rPr>
              <w:t xml:space="preserve">and Consumer </w:t>
            </w:r>
            <w:r w:rsidR="0036059A">
              <w:rPr>
                <w:sz w:val="22"/>
                <w:szCs w:val="22"/>
              </w:rPr>
              <w:t xml:space="preserve">Electricity </w:t>
            </w:r>
            <w:r>
              <w:rPr>
                <w:sz w:val="22"/>
                <w:szCs w:val="22"/>
              </w:rPr>
              <w:t xml:space="preserve">Storage </w:t>
            </w:r>
            <w:r w:rsidRPr="00F66F6C">
              <w:rPr>
                <w:sz w:val="22"/>
                <w:szCs w:val="22"/>
              </w:rPr>
              <w:t>Facility</w:t>
            </w:r>
            <w:r>
              <w:rPr>
                <w:sz w:val="22"/>
                <w:szCs w:val="22"/>
              </w:rPr>
              <w:t xml:space="preserve"> Injections</w:t>
            </w:r>
            <w:r w:rsidRPr="00F66F6C">
              <w:rPr>
                <w:sz w:val="22"/>
                <w:szCs w:val="22"/>
              </w:rPr>
              <w:t xml:space="preserve"> used in the settlement of the </w:t>
            </w:r>
            <w:r>
              <w:rPr>
                <w:sz w:val="22"/>
                <w:szCs w:val="22"/>
              </w:rPr>
              <w:t xml:space="preserve">previous </w:t>
            </w:r>
            <w:r w:rsidRPr="00F66F6C">
              <w:rPr>
                <w:sz w:val="22"/>
                <w:szCs w:val="22"/>
              </w:rPr>
              <w:t>month</w:t>
            </w:r>
          </w:p>
        </w:tc>
      </w:tr>
    </w:tbl>
    <w:p w14:paraId="33E426AA" w14:textId="77777777" w:rsidR="00D13AF5" w:rsidRPr="0073204E" w:rsidRDefault="0029108A" w:rsidP="001B4599">
      <w:pPr>
        <w:pStyle w:val="Default"/>
        <w:spacing w:before="120" w:after="120"/>
        <w:rPr>
          <w:sz w:val="22"/>
          <w:szCs w:val="22"/>
        </w:rPr>
      </w:pPr>
      <w:r w:rsidRPr="0029108A">
        <w:rPr>
          <w:sz w:val="22"/>
          <w:szCs w:val="22"/>
        </w:rPr>
        <w:t>The rate will be calculated (to the nearest cent) as:</w:t>
      </w:r>
    </w:p>
    <w:p w14:paraId="52AC2890" w14:textId="77777777" w:rsidR="00B243EC" w:rsidRPr="00DD2462" w:rsidRDefault="00161C7C">
      <w:pPr>
        <w:pStyle w:val="BodyText"/>
        <w:rPr>
          <w:b/>
        </w:rPr>
      </w:pPr>
      <w:r w:rsidRPr="00161C7C">
        <w:rPr>
          <w:rFonts w:asciiTheme="minorHAnsi" w:hAnsiTheme="minorHAnsi"/>
          <w:b/>
          <w:szCs w:val="22"/>
          <w:highlight w:val="lightGray"/>
        </w:rPr>
        <w:t>Class B Global Adjustment Amount</w:t>
      </w:r>
      <w:r w:rsidRPr="00161C7C">
        <w:rPr>
          <w:rFonts w:asciiTheme="minorHAnsi" w:hAnsiTheme="minorHAnsi"/>
          <w:b/>
          <w:szCs w:val="22"/>
        </w:rPr>
        <w:t xml:space="preserve"> </w:t>
      </w:r>
      <w:r w:rsidRPr="00161C7C">
        <w:rPr>
          <w:rFonts w:asciiTheme="minorHAnsi" w:hAnsiTheme="minorHAnsi"/>
          <w:b/>
          <w:szCs w:val="22"/>
          <w:highlight w:val="lightGray"/>
        </w:rPr>
        <w:t>÷</w:t>
      </w:r>
      <w:r w:rsidRPr="00161C7C">
        <w:rPr>
          <w:rFonts w:asciiTheme="minorHAnsi" w:hAnsiTheme="minorHAnsi"/>
          <w:b/>
          <w:szCs w:val="22"/>
        </w:rPr>
        <w:t xml:space="preserve"> </w:t>
      </w:r>
      <w:r w:rsidRPr="00161C7C">
        <w:rPr>
          <w:rFonts w:asciiTheme="minorHAnsi" w:hAnsiTheme="minorHAnsi"/>
          <w:b/>
          <w:szCs w:val="22"/>
          <w:highlight w:val="lightGray"/>
        </w:rPr>
        <w:t>Class B Consumption</w:t>
      </w:r>
    </w:p>
    <w:p w14:paraId="319D103A" w14:textId="77777777" w:rsidR="00D13AF5" w:rsidRDefault="00161C7C" w:rsidP="001B4599">
      <w:pPr>
        <w:pStyle w:val="Default"/>
        <w:spacing w:before="120" w:after="120"/>
        <w:rPr>
          <w:sz w:val="22"/>
          <w:szCs w:val="22"/>
        </w:rPr>
      </w:pPr>
      <w:r w:rsidRPr="00161C7C">
        <w:rPr>
          <w:sz w:val="22"/>
          <w:szCs w:val="22"/>
        </w:rPr>
        <w:t xml:space="preserve">The Class B Global Adjustment amount and Class B Consumption will </w:t>
      </w:r>
      <w:r w:rsidR="004D216B">
        <w:rPr>
          <w:sz w:val="22"/>
          <w:szCs w:val="22"/>
        </w:rPr>
        <w:t xml:space="preserve">be </w:t>
      </w:r>
      <w:r w:rsidRPr="00161C7C">
        <w:rPr>
          <w:sz w:val="22"/>
          <w:szCs w:val="22"/>
        </w:rPr>
        <w:t>calculated as shown below for the Actual rate.</w:t>
      </w:r>
    </w:p>
    <w:p w14:paraId="71845AD5" w14:textId="77777777" w:rsidR="00A7536D" w:rsidRPr="00A7536D" w:rsidRDefault="00A7536D" w:rsidP="00D13AF5">
      <w:pPr>
        <w:pStyle w:val="Default"/>
        <w:rPr>
          <w:sz w:val="22"/>
          <w:szCs w:val="22"/>
        </w:rPr>
      </w:pPr>
    </w:p>
    <w:tbl>
      <w:tblPr>
        <w:tblStyle w:val="TableGrid"/>
        <w:tblW w:w="0" w:type="auto"/>
        <w:tblInd w:w="108" w:type="dxa"/>
        <w:tblLook w:val="04A0" w:firstRow="1" w:lastRow="0" w:firstColumn="1" w:lastColumn="0" w:noHBand="0" w:noVBand="1"/>
        <w:tblDescription w:val="Table for The Class B Global Adjustment amount and Class B Consumption calculated for the Actual rate."/>
      </w:tblPr>
      <w:tblGrid>
        <w:gridCol w:w="4349"/>
        <w:gridCol w:w="4533"/>
      </w:tblGrid>
      <w:tr w:rsidR="00D13AF5" w:rsidRPr="00A7536D" w14:paraId="1F3EB851" w14:textId="77777777" w:rsidTr="001E65B5">
        <w:trPr>
          <w:tblHeader/>
        </w:trPr>
        <w:tc>
          <w:tcPr>
            <w:tcW w:w="4476" w:type="dxa"/>
            <w:shd w:val="clear" w:color="auto" w:fill="D9D9D9" w:themeFill="background1" w:themeFillShade="D9"/>
          </w:tcPr>
          <w:p w14:paraId="7D9D8E71" w14:textId="77777777" w:rsidR="004A745A" w:rsidRDefault="0029108A">
            <w:pPr>
              <w:pStyle w:val="Default"/>
              <w:jc w:val="center"/>
              <w:rPr>
                <w:rFonts w:asciiTheme="minorHAnsi" w:hAnsiTheme="minorHAnsi"/>
                <w:sz w:val="22"/>
                <w:szCs w:val="22"/>
                <w:lang w:val="en-US"/>
              </w:rPr>
            </w:pPr>
            <w:r w:rsidRPr="0029108A">
              <w:rPr>
                <w:rFonts w:asciiTheme="minorHAnsi" w:hAnsiTheme="minorHAnsi"/>
                <w:b/>
                <w:sz w:val="22"/>
                <w:szCs w:val="22"/>
                <w:highlight w:val="lightGray"/>
                <w:shd w:val="clear" w:color="auto" w:fill="D9D9D9" w:themeFill="background1" w:themeFillShade="D9"/>
              </w:rPr>
              <w:t>Class B Global Adjustment Amount</w:t>
            </w:r>
          </w:p>
        </w:tc>
        <w:tc>
          <w:tcPr>
            <w:tcW w:w="4632" w:type="dxa"/>
            <w:shd w:val="clear" w:color="auto" w:fill="D9D9D9" w:themeFill="background1" w:themeFillShade="D9"/>
          </w:tcPr>
          <w:p w14:paraId="206E8900" w14:textId="77777777" w:rsidR="004A745A" w:rsidRDefault="0029108A">
            <w:pPr>
              <w:pStyle w:val="Default"/>
              <w:ind w:left="720"/>
              <w:contextualSpacing/>
              <w:jc w:val="center"/>
              <w:rPr>
                <w:rFonts w:asciiTheme="minorHAnsi" w:hAnsiTheme="minorHAnsi"/>
                <w:b/>
                <w:sz w:val="22"/>
                <w:szCs w:val="22"/>
                <w:highlight w:val="lightGray"/>
              </w:rPr>
            </w:pPr>
            <w:r w:rsidRPr="0029108A">
              <w:rPr>
                <w:rFonts w:asciiTheme="minorHAnsi" w:hAnsiTheme="minorHAnsi"/>
                <w:b/>
                <w:sz w:val="22"/>
                <w:szCs w:val="22"/>
                <w:highlight w:val="lightGray"/>
              </w:rPr>
              <w:t>Class B Consumption</w:t>
            </w:r>
          </w:p>
          <w:p w14:paraId="4B8A99E5" w14:textId="77777777" w:rsidR="00D13AF5" w:rsidRPr="00A7536D" w:rsidRDefault="00D13AF5" w:rsidP="00D13AF5">
            <w:pPr>
              <w:pStyle w:val="Default"/>
              <w:spacing w:after="80"/>
              <w:rPr>
                <w:rFonts w:asciiTheme="minorHAnsi" w:hAnsiTheme="minorHAnsi"/>
                <w:sz w:val="22"/>
                <w:szCs w:val="22"/>
              </w:rPr>
            </w:pPr>
          </w:p>
        </w:tc>
      </w:tr>
      <w:tr w:rsidR="00D13AF5" w:rsidRPr="00A7536D" w14:paraId="4B50F6DF" w14:textId="77777777" w:rsidTr="001E65B5">
        <w:tc>
          <w:tcPr>
            <w:tcW w:w="4476" w:type="dxa"/>
          </w:tcPr>
          <w:p w14:paraId="4431B1E6" w14:textId="77777777" w:rsidR="00D13AF5" w:rsidRPr="00F66F6C" w:rsidRDefault="00D0264B" w:rsidP="00D13AF5">
            <w:pPr>
              <w:pStyle w:val="Default"/>
              <w:spacing w:after="80"/>
              <w:rPr>
                <w:sz w:val="22"/>
                <w:szCs w:val="22"/>
              </w:rPr>
            </w:pPr>
            <w:r>
              <w:rPr>
                <w:sz w:val="22"/>
                <w:szCs w:val="22"/>
              </w:rPr>
              <w:t xml:space="preserve">Preliminary </w:t>
            </w:r>
            <w:r w:rsidR="004D216B" w:rsidRPr="00F66F6C">
              <w:rPr>
                <w:sz w:val="22"/>
                <w:szCs w:val="22"/>
              </w:rPr>
              <w:t xml:space="preserve">Global Adjustment for the month </w:t>
            </w:r>
          </w:p>
        </w:tc>
        <w:tc>
          <w:tcPr>
            <w:tcW w:w="4632" w:type="dxa"/>
          </w:tcPr>
          <w:p w14:paraId="4182A06B" w14:textId="77777777" w:rsidR="00D13AF5" w:rsidRPr="00F66F6C" w:rsidRDefault="004D216B" w:rsidP="00D13AF5">
            <w:pPr>
              <w:pStyle w:val="Default"/>
              <w:spacing w:after="80"/>
              <w:rPr>
                <w:sz w:val="22"/>
                <w:szCs w:val="22"/>
              </w:rPr>
            </w:pPr>
            <w:r w:rsidRPr="00F66F6C">
              <w:rPr>
                <w:sz w:val="22"/>
                <w:szCs w:val="22"/>
              </w:rPr>
              <w:t>Preliminary Settlement  Load for the month</w:t>
            </w:r>
          </w:p>
        </w:tc>
      </w:tr>
      <w:tr w:rsidR="00D13AF5" w14:paraId="53C8F931" w14:textId="77777777" w:rsidTr="001E65B5">
        <w:tc>
          <w:tcPr>
            <w:tcW w:w="4476" w:type="dxa"/>
          </w:tcPr>
          <w:p w14:paraId="7C1BA638" w14:textId="77777777" w:rsidR="00D13AF5" w:rsidRPr="00F66F6C" w:rsidRDefault="00D0264B" w:rsidP="00D13AF5">
            <w:pPr>
              <w:pStyle w:val="Default"/>
              <w:spacing w:after="80"/>
              <w:rPr>
                <w:sz w:val="22"/>
                <w:szCs w:val="22"/>
              </w:rPr>
            </w:pPr>
            <w:r>
              <w:rPr>
                <w:sz w:val="22"/>
                <w:szCs w:val="22"/>
              </w:rPr>
              <w:t xml:space="preserve">Plus/Minus </w:t>
            </w:r>
            <w:r w:rsidR="004D216B" w:rsidRPr="00F66F6C">
              <w:rPr>
                <w:sz w:val="22"/>
                <w:szCs w:val="22"/>
              </w:rPr>
              <w:t>Final Adjustment of previous months Global Adjustment</w:t>
            </w:r>
          </w:p>
        </w:tc>
        <w:tc>
          <w:tcPr>
            <w:tcW w:w="4632" w:type="dxa"/>
          </w:tcPr>
          <w:p w14:paraId="4BC4B10C" w14:textId="77777777" w:rsidR="00D13AF5" w:rsidRPr="00F66F6C" w:rsidRDefault="00D13AF5" w:rsidP="00D13AF5">
            <w:pPr>
              <w:pStyle w:val="Default"/>
              <w:rPr>
                <w:sz w:val="22"/>
                <w:szCs w:val="22"/>
              </w:rPr>
            </w:pPr>
          </w:p>
        </w:tc>
      </w:tr>
      <w:tr w:rsidR="00635483" w14:paraId="3B5FADDB" w14:textId="77777777" w:rsidTr="001E65B5">
        <w:tc>
          <w:tcPr>
            <w:tcW w:w="4476" w:type="dxa"/>
          </w:tcPr>
          <w:p w14:paraId="600CB2DA" w14:textId="77777777" w:rsidR="00635483" w:rsidRPr="00F66F6C" w:rsidRDefault="00D0264B" w:rsidP="00635483">
            <w:pPr>
              <w:pStyle w:val="Default"/>
              <w:rPr>
                <w:sz w:val="22"/>
                <w:szCs w:val="22"/>
              </w:rPr>
            </w:pPr>
            <w:r>
              <w:rPr>
                <w:sz w:val="22"/>
                <w:szCs w:val="22"/>
              </w:rPr>
              <w:t xml:space="preserve">Plus/Minus corrected </w:t>
            </w:r>
            <w:r w:rsidR="00635483" w:rsidRPr="00F66F6C">
              <w:rPr>
                <w:sz w:val="22"/>
                <w:szCs w:val="22"/>
              </w:rPr>
              <w:t>Global Adjustment for prior periods (results from Global Adjustment distributions corrects</w:t>
            </w:r>
          </w:p>
          <w:p w14:paraId="62363E2B" w14:textId="77777777" w:rsidR="00635483" w:rsidRPr="00F66F6C" w:rsidRDefault="00635483" w:rsidP="00635483">
            <w:pPr>
              <w:pStyle w:val="Default"/>
              <w:rPr>
                <w:sz w:val="22"/>
                <w:szCs w:val="22"/>
              </w:rPr>
            </w:pPr>
            <w:r w:rsidRPr="00F66F6C">
              <w:rPr>
                <w:sz w:val="22"/>
                <w:szCs w:val="22"/>
              </w:rPr>
              <w:t>ions related to revenue metering adjustments for prior periods)</w:t>
            </w:r>
          </w:p>
        </w:tc>
        <w:tc>
          <w:tcPr>
            <w:tcW w:w="4632" w:type="dxa"/>
          </w:tcPr>
          <w:p w14:paraId="55FBE3D1" w14:textId="77777777" w:rsidR="00635483" w:rsidRPr="00F66F6C" w:rsidRDefault="00635483" w:rsidP="00D13AF5">
            <w:pPr>
              <w:pStyle w:val="Default"/>
              <w:rPr>
                <w:sz w:val="22"/>
                <w:szCs w:val="22"/>
              </w:rPr>
            </w:pPr>
            <w:r w:rsidRPr="00F66F6C">
              <w:rPr>
                <w:sz w:val="22"/>
                <w:szCs w:val="22"/>
              </w:rPr>
              <w:t>Plus Embedded Generation values used in the settlement of the month</w:t>
            </w:r>
          </w:p>
        </w:tc>
      </w:tr>
      <w:tr w:rsidR="00D13AF5" w14:paraId="75DEE76F" w14:textId="77777777" w:rsidTr="001E65B5">
        <w:tc>
          <w:tcPr>
            <w:tcW w:w="4476" w:type="dxa"/>
          </w:tcPr>
          <w:p w14:paraId="609D77BC" w14:textId="77777777" w:rsidR="00D13AF5" w:rsidRPr="00F66F6C" w:rsidRDefault="00635483" w:rsidP="00D13AF5">
            <w:pPr>
              <w:pStyle w:val="Default"/>
              <w:rPr>
                <w:sz w:val="22"/>
                <w:szCs w:val="22"/>
              </w:rPr>
            </w:pPr>
            <w:r w:rsidRPr="00F66F6C">
              <w:rPr>
                <w:sz w:val="22"/>
                <w:szCs w:val="22"/>
              </w:rPr>
              <w:t>Multiplied by [1-</w:t>
            </w:r>
            <w:r w:rsidR="00D0264B">
              <w:rPr>
                <w:sz w:val="22"/>
                <w:szCs w:val="22"/>
              </w:rPr>
              <w:t xml:space="preserve"> Total Peak Demand Factors for </w:t>
            </w:r>
            <w:r w:rsidRPr="00F66F6C">
              <w:rPr>
                <w:sz w:val="22"/>
                <w:szCs w:val="22"/>
              </w:rPr>
              <w:t>current Adjustment Period</w:t>
            </w:r>
            <w:r w:rsidR="00DA6684" w:rsidRPr="00F66F6C">
              <w:rPr>
                <w:sz w:val="22"/>
                <w:szCs w:val="22"/>
              </w:rPr>
              <w:t>]</w:t>
            </w:r>
          </w:p>
        </w:tc>
        <w:tc>
          <w:tcPr>
            <w:tcW w:w="4632" w:type="dxa"/>
          </w:tcPr>
          <w:p w14:paraId="14074496" w14:textId="77777777" w:rsidR="00D13AF5" w:rsidRPr="00F66F6C" w:rsidRDefault="00D13AF5" w:rsidP="00D13AF5">
            <w:pPr>
              <w:pStyle w:val="Default"/>
              <w:rPr>
                <w:sz w:val="22"/>
                <w:szCs w:val="22"/>
              </w:rPr>
            </w:pPr>
            <w:r w:rsidRPr="00F66F6C">
              <w:rPr>
                <w:sz w:val="22"/>
                <w:szCs w:val="22"/>
              </w:rPr>
              <w:t xml:space="preserve">Minus Class A Market Participant </w:t>
            </w:r>
            <w:r w:rsidR="002C7D20" w:rsidRPr="00F66F6C">
              <w:rPr>
                <w:sz w:val="22"/>
                <w:szCs w:val="22"/>
              </w:rPr>
              <w:t xml:space="preserve">Load Facility </w:t>
            </w:r>
            <w:r w:rsidRPr="00F66F6C">
              <w:rPr>
                <w:sz w:val="22"/>
                <w:szCs w:val="22"/>
              </w:rPr>
              <w:t xml:space="preserve">and Consumer load used in the settlement of the month </w:t>
            </w:r>
          </w:p>
        </w:tc>
      </w:tr>
      <w:tr w:rsidR="00D13AF5" w14:paraId="143F241F" w14:textId="77777777" w:rsidTr="001E65B5">
        <w:tc>
          <w:tcPr>
            <w:tcW w:w="4476" w:type="dxa"/>
          </w:tcPr>
          <w:p w14:paraId="03618F54" w14:textId="77777777" w:rsidR="00D13AF5" w:rsidRPr="00F66F6C" w:rsidRDefault="00D13AF5" w:rsidP="00D13AF5">
            <w:pPr>
              <w:pStyle w:val="Default"/>
              <w:rPr>
                <w:sz w:val="22"/>
                <w:szCs w:val="22"/>
              </w:rPr>
            </w:pPr>
          </w:p>
        </w:tc>
        <w:tc>
          <w:tcPr>
            <w:tcW w:w="4632" w:type="dxa"/>
          </w:tcPr>
          <w:p w14:paraId="50C442AF" w14:textId="77777777" w:rsidR="00D13AF5" w:rsidRPr="00F66F6C" w:rsidRDefault="00D13AF5" w:rsidP="009C7DE4">
            <w:pPr>
              <w:pStyle w:val="Default"/>
              <w:rPr>
                <w:sz w:val="22"/>
                <w:szCs w:val="22"/>
                <w:lang w:val="en-US"/>
              </w:rPr>
            </w:pPr>
            <w:r w:rsidRPr="00F66F6C">
              <w:rPr>
                <w:sz w:val="22"/>
                <w:szCs w:val="22"/>
              </w:rPr>
              <w:t>Minus Fort Frances load for the month</w:t>
            </w:r>
          </w:p>
        </w:tc>
      </w:tr>
      <w:tr w:rsidR="00D13AF5" w14:paraId="6B943C1B" w14:textId="77777777" w:rsidTr="001E65B5">
        <w:tc>
          <w:tcPr>
            <w:tcW w:w="4476" w:type="dxa"/>
          </w:tcPr>
          <w:p w14:paraId="555965FE" w14:textId="77777777" w:rsidR="00D13AF5" w:rsidRPr="00F66F6C" w:rsidRDefault="00D13AF5" w:rsidP="00D13AF5">
            <w:pPr>
              <w:pStyle w:val="Default"/>
              <w:rPr>
                <w:sz w:val="22"/>
                <w:szCs w:val="22"/>
              </w:rPr>
            </w:pPr>
          </w:p>
        </w:tc>
        <w:tc>
          <w:tcPr>
            <w:tcW w:w="4632" w:type="dxa"/>
          </w:tcPr>
          <w:p w14:paraId="61AAABF8" w14:textId="77777777" w:rsidR="00D13AF5" w:rsidRPr="00F66F6C" w:rsidRDefault="00D13AF5" w:rsidP="00D13AF5">
            <w:pPr>
              <w:pStyle w:val="Default"/>
              <w:rPr>
                <w:sz w:val="22"/>
                <w:szCs w:val="22"/>
              </w:rPr>
            </w:pPr>
            <w:r w:rsidRPr="00F66F6C">
              <w:rPr>
                <w:sz w:val="22"/>
                <w:szCs w:val="22"/>
              </w:rPr>
              <w:t>Minus Sir Adam Beck PGS load used in the settlement of the month</w:t>
            </w:r>
          </w:p>
        </w:tc>
      </w:tr>
      <w:tr w:rsidR="00D13AF5" w14:paraId="7E88A623" w14:textId="77777777" w:rsidTr="001E65B5">
        <w:tc>
          <w:tcPr>
            <w:tcW w:w="4476" w:type="dxa"/>
          </w:tcPr>
          <w:p w14:paraId="30D2D10B" w14:textId="77777777" w:rsidR="00D13AF5" w:rsidRPr="00F66F6C" w:rsidRDefault="00D13AF5" w:rsidP="00D13AF5">
            <w:pPr>
              <w:pStyle w:val="Default"/>
              <w:rPr>
                <w:sz w:val="22"/>
                <w:szCs w:val="22"/>
              </w:rPr>
            </w:pPr>
          </w:p>
        </w:tc>
        <w:tc>
          <w:tcPr>
            <w:tcW w:w="4632" w:type="dxa"/>
          </w:tcPr>
          <w:p w14:paraId="22AA68F1" w14:textId="77777777" w:rsidR="00D13AF5" w:rsidRPr="00F66F6C" w:rsidRDefault="00D13AF5" w:rsidP="00D13AF5">
            <w:pPr>
              <w:pStyle w:val="Default"/>
              <w:rPr>
                <w:sz w:val="22"/>
                <w:szCs w:val="22"/>
              </w:rPr>
            </w:pPr>
            <w:r w:rsidRPr="00F66F6C">
              <w:rPr>
                <w:sz w:val="22"/>
                <w:szCs w:val="22"/>
              </w:rPr>
              <w:t xml:space="preserve">Minus Load associated with the provision of Ancillary Services used the settlement of the month. </w:t>
            </w:r>
          </w:p>
        </w:tc>
      </w:tr>
      <w:tr w:rsidR="00A91C1F" w14:paraId="3C586418" w14:textId="77777777" w:rsidTr="00F66F6C">
        <w:trPr>
          <w:cantSplit/>
        </w:trPr>
        <w:tc>
          <w:tcPr>
            <w:tcW w:w="4476" w:type="dxa"/>
          </w:tcPr>
          <w:p w14:paraId="5B5A7C95" w14:textId="77777777" w:rsidR="00A91C1F" w:rsidRPr="00F66F6C" w:rsidRDefault="00A91C1F" w:rsidP="00D13AF5">
            <w:pPr>
              <w:pStyle w:val="Default"/>
              <w:rPr>
                <w:sz w:val="22"/>
                <w:szCs w:val="22"/>
              </w:rPr>
            </w:pPr>
          </w:p>
        </w:tc>
        <w:tc>
          <w:tcPr>
            <w:tcW w:w="4632" w:type="dxa"/>
          </w:tcPr>
          <w:p w14:paraId="396A4150" w14:textId="34F4B745" w:rsidR="00A91C1F" w:rsidRPr="00F66F6C" w:rsidRDefault="00A91C1F" w:rsidP="0036059A">
            <w:pPr>
              <w:pStyle w:val="Default"/>
              <w:rPr>
                <w:sz w:val="22"/>
                <w:szCs w:val="22"/>
              </w:rPr>
            </w:pPr>
            <w:r>
              <w:rPr>
                <w:sz w:val="22"/>
                <w:szCs w:val="22"/>
              </w:rPr>
              <w:t>Minus Class B</w:t>
            </w:r>
            <w:r w:rsidRPr="00F66F6C">
              <w:rPr>
                <w:sz w:val="22"/>
                <w:szCs w:val="22"/>
              </w:rPr>
              <w:t xml:space="preserve"> Market Participant </w:t>
            </w:r>
            <w:r>
              <w:rPr>
                <w:sz w:val="22"/>
                <w:szCs w:val="22"/>
              </w:rPr>
              <w:t xml:space="preserve">and Consumer </w:t>
            </w:r>
            <w:r w:rsidR="0036059A">
              <w:rPr>
                <w:sz w:val="22"/>
                <w:szCs w:val="22"/>
              </w:rPr>
              <w:t xml:space="preserve">Electricity </w:t>
            </w:r>
            <w:r>
              <w:rPr>
                <w:sz w:val="22"/>
                <w:szCs w:val="22"/>
              </w:rPr>
              <w:t xml:space="preserve">Storage </w:t>
            </w:r>
            <w:r w:rsidRPr="00F66F6C">
              <w:rPr>
                <w:sz w:val="22"/>
                <w:szCs w:val="22"/>
              </w:rPr>
              <w:t>Facility</w:t>
            </w:r>
            <w:r>
              <w:rPr>
                <w:sz w:val="22"/>
                <w:szCs w:val="22"/>
              </w:rPr>
              <w:t xml:space="preserve"> Injections</w:t>
            </w:r>
            <w:r w:rsidRPr="00F66F6C">
              <w:rPr>
                <w:sz w:val="22"/>
                <w:szCs w:val="22"/>
              </w:rPr>
              <w:t xml:space="preserve"> used in the settlement of the month</w:t>
            </w:r>
          </w:p>
        </w:tc>
      </w:tr>
    </w:tbl>
    <w:p w14:paraId="2604B1E1" w14:textId="77777777" w:rsidR="00D13AF5" w:rsidRPr="00CB053F" w:rsidRDefault="00D13AF5" w:rsidP="000B0085">
      <w:pPr>
        <w:pStyle w:val="Default"/>
        <w:spacing w:before="120" w:after="120"/>
        <w:rPr>
          <w:rFonts w:asciiTheme="minorHAnsi" w:hAnsiTheme="minorHAnsi"/>
          <w:sz w:val="22"/>
          <w:szCs w:val="22"/>
        </w:rPr>
      </w:pPr>
    </w:p>
    <w:p w14:paraId="1D28D151" w14:textId="77777777" w:rsidR="00D13AF5" w:rsidRPr="0073204E" w:rsidRDefault="0029108A" w:rsidP="00D13AF5">
      <w:pPr>
        <w:pStyle w:val="Default"/>
        <w:rPr>
          <w:sz w:val="22"/>
          <w:szCs w:val="22"/>
        </w:rPr>
      </w:pPr>
      <w:r w:rsidRPr="0029108A">
        <w:rPr>
          <w:sz w:val="22"/>
          <w:szCs w:val="22"/>
        </w:rPr>
        <w:t>The rate will be calculated (to the nearest cent) as:</w:t>
      </w:r>
    </w:p>
    <w:p w14:paraId="41F2DC54" w14:textId="77777777" w:rsidR="008C1AB8" w:rsidRDefault="00161C7C" w:rsidP="008C1AB8">
      <w:pPr>
        <w:pStyle w:val="Default"/>
        <w:spacing w:before="120" w:after="120"/>
        <w:rPr>
          <w:rFonts w:asciiTheme="minorHAnsi" w:hAnsiTheme="minorHAnsi"/>
          <w:b/>
          <w:sz w:val="22"/>
          <w:szCs w:val="22"/>
          <w:highlight w:val="lightGray"/>
        </w:rPr>
      </w:pPr>
      <w:r w:rsidRPr="00161C7C">
        <w:rPr>
          <w:rFonts w:asciiTheme="minorHAnsi" w:hAnsiTheme="minorHAnsi"/>
          <w:b/>
          <w:sz w:val="22"/>
          <w:szCs w:val="22"/>
          <w:highlight w:val="lightGray"/>
        </w:rPr>
        <w:t>Class B Global Adjustment Amount</w:t>
      </w:r>
      <w:r w:rsidRPr="00161C7C">
        <w:rPr>
          <w:rFonts w:asciiTheme="minorHAnsi" w:hAnsiTheme="minorHAnsi"/>
          <w:b/>
          <w:sz w:val="22"/>
          <w:szCs w:val="22"/>
        </w:rPr>
        <w:t xml:space="preserve"> </w:t>
      </w:r>
      <w:r w:rsidRPr="00161C7C">
        <w:rPr>
          <w:rFonts w:asciiTheme="minorHAnsi" w:hAnsiTheme="minorHAnsi"/>
          <w:b/>
          <w:sz w:val="22"/>
          <w:szCs w:val="22"/>
          <w:highlight w:val="lightGray"/>
        </w:rPr>
        <w:t>÷</w:t>
      </w:r>
      <w:r w:rsidRPr="00161C7C">
        <w:rPr>
          <w:rFonts w:asciiTheme="minorHAnsi" w:hAnsiTheme="minorHAnsi"/>
          <w:b/>
          <w:sz w:val="22"/>
          <w:szCs w:val="22"/>
        </w:rPr>
        <w:t xml:space="preserve"> </w:t>
      </w:r>
      <w:r w:rsidRPr="00161C7C">
        <w:rPr>
          <w:rFonts w:asciiTheme="minorHAnsi" w:hAnsiTheme="minorHAnsi"/>
          <w:b/>
          <w:sz w:val="22"/>
          <w:szCs w:val="22"/>
          <w:highlight w:val="lightGray"/>
        </w:rPr>
        <w:t>Class B Consumption</w:t>
      </w:r>
    </w:p>
    <w:p w14:paraId="1CFB5C6F" w14:textId="2B27A889" w:rsidR="00A91C1F" w:rsidRDefault="0036059A" w:rsidP="00A91C1F">
      <w:pPr>
        <w:pStyle w:val="BodyText"/>
        <w:spacing w:before="240"/>
        <w:rPr>
          <w:rFonts w:ascii="Arial" w:hAnsi="Arial" w:cs="Arial"/>
          <w:b/>
          <w:sz w:val="24"/>
          <w:szCs w:val="24"/>
          <w:u w:val="single"/>
        </w:rPr>
      </w:pPr>
      <w:r>
        <w:rPr>
          <w:rFonts w:ascii="Arial" w:hAnsi="Arial" w:cs="Arial"/>
          <w:b/>
          <w:sz w:val="24"/>
          <w:szCs w:val="24"/>
          <w:u w:val="single"/>
        </w:rPr>
        <w:t xml:space="preserve">Electricity </w:t>
      </w:r>
      <w:r w:rsidR="00A91C1F">
        <w:rPr>
          <w:rFonts w:ascii="Arial" w:hAnsi="Arial" w:cs="Arial"/>
          <w:b/>
          <w:sz w:val="24"/>
          <w:szCs w:val="24"/>
          <w:u w:val="single"/>
        </w:rPr>
        <w:t>Storage Injection Reimbursement</w:t>
      </w:r>
    </w:p>
    <w:p w14:paraId="7215C099" w14:textId="2B795AC6" w:rsidR="00A91C1F" w:rsidRDefault="00A91C1F" w:rsidP="00A91C1F">
      <w:pPr>
        <w:pStyle w:val="BodyText"/>
        <w:spacing w:before="240"/>
        <w:rPr>
          <w:i/>
        </w:rPr>
      </w:pPr>
      <w:r>
        <w:t xml:space="preserve">As per Ontario Regulation O. Reg 516/17 (amending O. Reg 429/04), effective July 1, 2018, Class B </w:t>
      </w:r>
      <w:r w:rsidRPr="00F95352">
        <w:rPr>
          <w:i/>
        </w:rPr>
        <w:t>market participants</w:t>
      </w:r>
      <w:r w:rsidRPr="00F95352">
        <w:t xml:space="preserve"> </w:t>
      </w:r>
      <w:r>
        <w:t xml:space="preserve">and </w:t>
      </w:r>
      <w:r>
        <w:rPr>
          <w:i/>
        </w:rPr>
        <w:t>consumers</w:t>
      </w:r>
      <w:r>
        <w:t xml:space="preserve"> with </w:t>
      </w:r>
      <w:r w:rsidR="0036059A" w:rsidRPr="00C76B3D">
        <w:rPr>
          <w:i/>
        </w:rPr>
        <w:t xml:space="preserve">electricity </w:t>
      </w:r>
      <w:r>
        <w:t xml:space="preserve">storage facilities are to be reimbursed Class B Global Adjustment amounts each month based on the amount of energy they inject into the IESO-controlled grid (for </w:t>
      </w:r>
      <w:r w:rsidRPr="001A242C">
        <w:rPr>
          <w:i/>
        </w:rPr>
        <w:t>market participants</w:t>
      </w:r>
      <w:r>
        <w:t xml:space="preserve">) or the grid of their </w:t>
      </w:r>
      <w:r>
        <w:rPr>
          <w:i/>
        </w:rPr>
        <w:t xml:space="preserve">distributor </w:t>
      </w:r>
      <w:r w:rsidRPr="00A91C1F">
        <w:t>(for</w:t>
      </w:r>
      <w:r>
        <w:rPr>
          <w:i/>
        </w:rPr>
        <w:t xml:space="preserve"> consumers</w:t>
      </w:r>
      <w:r w:rsidRPr="00A91C1F">
        <w:t xml:space="preserve">) </w:t>
      </w:r>
      <w:r w:rsidRPr="001B77F3">
        <w:t>in that month.</w:t>
      </w:r>
    </w:p>
    <w:p w14:paraId="478AA937" w14:textId="77777777" w:rsidR="0073204E" w:rsidRDefault="00A91C1F" w:rsidP="00A91C1F">
      <w:pPr>
        <w:spacing w:after="0"/>
        <w:rPr>
          <w:rFonts w:ascii="Arial" w:hAnsi="Arial" w:cs="Arial"/>
          <w:szCs w:val="24"/>
        </w:rPr>
      </w:pPr>
      <w:r w:rsidRPr="00816B36">
        <w:rPr>
          <w:i/>
        </w:rPr>
        <w:t>Distributors</w:t>
      </w:r>
      <w:r>
        <w:t xml:space="preserve"> are compensated based on the volume of energy storage injections they report in the </w:t>
      </w:r>
      <w:r w:rsidRPr="000F3ED2">
        <w:rPr>
          <w:i/>
          <w:szCs w:val="22"/>
        </w:rPr>
        <w:t>Embedded Generation, Energy Storage, and Class A Load</w:t>
      </w:r>
      <w:r>
        <w:rPr>
          <w:i/>
          <w:szCs w:val="22"/>
        </w:rPr>
        <w:t xml:space="preserve"> </w:t>
      </w:r>
      <w:r>
        <w:rPr>
          <w:szCs w:val="22"/>
        </w:rPr>
        <w:t>form on Online IESO.</w:t>
      </w:r>
    </w:p>
    <w:p w14:paraId="2D8A71BB" w14:textId="77777777" w:rsidR="00A91C1F" w:rsidRPr="00D37413" w:rsidRDefault="00A91C1F">
      <w:pPr>
        <w:spacing w:after="0"/>
        <w:rPr>
          <w:rFonts w:ascii="Arial" w:hAnsi="Arial" w:cs="Arial"/>
          <w:szCs w:val="24"/>
        </w:rPr>
      </w:pPr>
    </w:p>
    <w:p w14:paraId="3339E91A" w14:textId="77777777" w:rsidR="0077301C" w:rsidRPr="00C24A72" w:rsidRDefault="0029108A">
      <w:pPr>
        <w:pStyle w:val="BodyText"/>
        <w:rPr>
          <w:rFonts w:ascii="Arial" w:hAnsi="Arial" w:cs="Arial"/>
          <w:b/>
          <w:sz w:val="24"/>
          <w:szCs w:val="24"/>
          <w:u w:val="single"/>
        </w:rPr>
      </w:pPr>
      <w:r w:rsidRPr="0029108A">
        <w:rPr>
          <w:rFonts w:ascii="Arial" w:hAnsi="Arial" w:cs="Arial"/>
          <w:b/>
          <w:sz w:val="24"/>
          <w:szCs w:val="24"/>
          <w:u w:val="single"/>
        </w:rPr>
        <w:t>Class A Market Participant/Consumer Changes in the Adjustment Period</w:t>
      </w:r>
    </w:p>
    <w:p w14:paraId="4FB05FF0" w14:textId="77777777" w:rsidR="0077301C" w:rsidRPr="000F056E" w:rsidRDefault="0077301C" w:rsidP="001B4599">
      <w:pPr>
        <w:spacing w:before="120" w:after="120"/>
      </w:pPr>
      <w:r w:rsidRPr="008679CB">
        <w:t xml:space="preserve">There are a number of potential situations </w:t>
      </w:r>
      <w:r w:rsidR="004A1721">
        <w:t>that can impact the classification</w:t>
      </w:r>
      <w:r w:rsidRPr="008679CB">
        <w:t xml:space="preserve"> of Class A </w:t>
      </w:r>
      <w:r w:rsidRPr="008679CB">
        <w:rPr>
          <w:i/>
        </w:rPr>
        <w:t>consumers</w:t>
      </w:r>
      <w:r w:rsidRPr="008679CB">
        <w:t xml:space="preserve"> and Class A </w:t>
      </w:r>
      <w:r w:rsidRPr="008679CB">
        <w:rPr>
          <w:i/>
        </w:rPr>
        <w:t>market participant</w:t>
      </w:r>
      <w:r w:rsidR="004A1721">
        <w:rPr>
          <w:i/>
        </w:rPr>
        <w:t xml:space="preserve"> load facilities</w:t>
      </w:r>
      <w:r w:rsidR="004A1721">
        <w:t xml:space="preserve"> and</w:t>
      </w:r>
      <w:r w:rsidRPr="008679CB">
        <w:t xml:space="preserve"> </w:t>
      </w:r>
      <w:r w:rsidR="004A1721">
        <w:t xml:space="preserve">their Global Adjustment treatment </w:t>
      </w:r>
      <w:r w:rsidR="00F624DD">
        <w:t>over the Adjustment Period.</w:t>
      </w:r>
    </w:p>
    <w:p w14:paraId="3C5D5DB1" w14:textId="77777777" w:rsidR="0077301C" w:rsidRDefault="0077301C" w:rsidP="003853C6">
      <w:pPr>
        <w:pStyle w:val="ListParagraph"/>
        <w:numPr>
          <w:ilvl w:val="0"/>
          <w:numId w:val="82"/>
        </w:numPr>
        <w:spacing w:before="120" w:after="120" w:line="276" w:lineRule="auto"/>
      </w:pPr>
      <w:r w:rsidRPr="008679CB">
        <w:t xml:space="preserve">Class A customer </w:t>
      </w:r>
      <w:r w:rsidR="004A1721">
        <w:t xml:space="preserve">or </w:t>
      </w:r>
      <w:r w:rsidR="0029108A" w:rsidRPr="0029108A">
        <w:rPr>
          <w:i/>
        </w:rPr>
        <w:t>load facility</w:t>
      </w:r>
      <w:r w:rsidR="004A1721">
        <w:t xml:space="preserve"> </w:t>
      </w:r>
      <w:r w:rsidRPr="008679CB">
        <w:t>ceases operation.</w:t>
      </w:r>
    </w:p>
    <w:p w14:paraId="64E03188" w14:textId="77777777" w:rsidR="0077301C" w:rsidRDefault="0077301C" w:rsidP="003853C6">
      <w:pPr>
        <w:pStyle w:val="ListParagraph"/>
        <w:numPr>
          <w:ilvl w:val="0"/>
          <w:numId w:val="82"/>
        </w:numPr>
        <w:spacing w:before="120" w:after="120" w:line="276" w:lineRule="auto"/>
      </w:pPr>
      <w:r w:rsidRPr="008679CB">
        <w:t xml:space="preserve">Class A </w:t>
      </w:r>
      <w:r w:rsidR="0029108A" w:rsidRPr="0029108A">
        <w:rPr>
          <w:i/>
        </w:rPr>
        <w:t>load facility</w:t>
      </w:r>
      <w:r w:rsidR="004A1721">
        <w:t xml:space="preserve"> </w:t>
      </w:r>
      <w:r w:rsidRPr="008679CB">
        <w:t xml:space="preserve">moves either from being a </w:t>
      </w:r>
      <w:r w:rsidRPr="008679CB">
        <w:rPr>
          <w:i/>
        </w:rPr>
        <w:t>market participant</w:t>
      </w:r>
      <w:r w:rsidRPr="008679CB">
        <w:t xml:space="preserve"> to a </w:t>
      </w:r>
      <w:r w:rsidRPr="008679CB">
        <w:rPr>
          <w:i/>
        </w:rPr>
        <w:t>distributor</w:t>
      </w:r>
      <w:r w:rsidRPr="008679CB">
        <w:t xml:space="preserve"> customer or vice-versa.</w:t>
      </w:r>
    </w:p>
    <w:p w14:paraId="07D90D45" w14:textId="77777777" w:rsidR="0077301C" w:rsidRDefault="0077301C" w:rsidP="003853C6">
      <w:pPr>
        <w:pStyle w:val="ListParagraph"/>
        <w:numPr>
          <w:ilvl w:val="0"/>
          <w:numId w:val="82"/>
        </w:numPr>
        <w:spacing w:before="120" w:after="120" w:line="276" w:lineRule="auto"/>
      </w:pPr>
      <w:r w:rsidRPr="008679CB">
        <w:t xml:space="preserve">A Class A </w:t>
      </w:r>
      <w:r w:rsidR="0029108A" w:rsidRPr="0029108A">
        <w:rPr>
          <w:i/>
        </w:rPr>
        <w:t>load facility</w:t>
      </w:r>
      <w:r w:rsidR="004A1721">
        <w:t xml:space="preserve"> </w:t>
      </w:r>
      <w:r w:rsidRPr="008679CB">
        <w:t>changes ownership</w:t>
      </w:r>
      <w:r w:rsidR="00F624DD">
        <w:t>.</w:t>
      </w:r>
    </w:p>
    <w:p w14:paraId="2CDEC1E5" w14:textId="77777777" w:rsidR="0077301C" w:rsidRDefault="0077301C" w:rsidP="003853C6">
      <w:pPr>
        <w:pStyle w:val="ListParagraph"/>
        <w:numPr>
          <w:ilvl w:val="0"/>
          <w:numId w:val="82"/>
        </w:numPr>
        <w:spacing w:before="120" w:after="120" w:line="276" w:lineRule="auto"/>
      </w:pPr>
      <w:r w:rsidRPr="008679CB">
        <w:t xml:space="preserve">A Class A </w:t>
      </w:r>
      <w:r w:rsidR="0029108A" w:rsidRPr="0029108A">
        <w:rPr>
          <w:i/>
        </w:rPr>
        <w:t>load facility</w:t>
      </w:r>
      <w:r w:rsidR="005C661B" w:rsidRPr="008679CB">
        <w:t xml:space="preserve"> </w:t>
      </w:r>
      <w:r w:rsidRPr="008679CB">
        <w:t>elects to become a Class B customer due to “Extraordinary Circumstances” under provisions set out in the regulation.</w:t>
      </w:r>
    </w:p>
    <w:p w14:paraId="78C14003" w14:textId="77777777" w:rsidR="00A7536D" w:rsidRDefault="0077301C" w:rsidP="001B4599">
      <w:pPr>
        <w:spacing w:before="120" w:after="120"/>
      </w:pPr>
      <w:r w:rsidRPr="008679CB">
        <w:t>In the event that any of these situation</w:t>
      </w:r>
      <w:r w:rsidR="005C661B">
        <w:t>s</w:t>
      </w:r>
      <w:r w:rsidRPr="008679CB">
        <w:t xml:space="preserve"> </w:t>
      </w:r>
      <w:r w:rsidR="005C661B">
        <w:t xml:space="preserve">occur, the owner of the Class A </w:t>
      </w:r>
      <w:r w:rsidR="0029108A" w:rsidRPr="0029108A">
        <w:rPr>
          <w:i/>
        </w:rPr>
        <w:t>load facility</w:t>
      </w:r>
      <w:r w:rsidR="005C661B">
        <w:t xml:space="preserve"> must inform the </w:t>
      </w:r>
      <w:r w:rsidR="0029108A" w:rsidRPr="0029108A">
        <w:rPr>
          <w:i/>
        </w:rPr>
        <w:t>IESO</w:t>
      </w:r>
      <w:r w:rsidR="005C661B">
        <w:t xml:space="preserve"> or their licensed </w:t>
      </w:r>
      <w:r w:rsidR="0029108A" w:rsidRPr="0029108A">
        <w:rPr>
          <w:i/>
        </w:rPr>
        <w:t>distributor</w:t>
      </w:r>
      <w:r w:rsidR="005C661B">
        <w:t xml:space="preserve">. </w:t>
      </w:r>
      <w:r w:rsidR="002A6203">
        <w:t xml:space="preserve">Depending on the situation </w:t>
      </w:r>
      <w:r w:rsidRPr="008679CB">
        <w:t xml:space="preserve">the </w:t>
      </w:r>
      <w:r w:rsidRPr="008679CB">
        <w:rPr>
          <w:i/>
        </w:rPr>
        <w:t>distributor</w:t>
      </w:r>
      <w:r w:rsidRPr="008679CB">
        <w:t xml:space="preserve"> must inform the </w:t>
      </w:r>
      <w:r w:rsidRPr="008679CB">
        <w:rPr>
          <w:i/>
        </w:rPr>
        <w:t>IESO</w:t>
      </w:r>
      <w:r w:rsidRPr="008679CB">
        <w:t xml:space="preserve">, or alternatively, the </w:t>
      </w:r>
      <w:r w:rsidRPr="008679CB">
        <w:rPr>
          <w:i/>
        </w:rPr>
        <w:t>IESO</w:t>
      </w:r>
      <w:r w:rsidRPr="008679CB">
        <w:t xml:space="preserve"> must inform the </w:t>
      </w:r>
      <w:r w:rsidRPr="008679CB">
        <w:rPr>
          <w:i/>
        </w:rPr>
        <w:t>distributor</w:t>
      </w:r>
      <w:r w:rsidRPr="008679CB">
        <w:t xml:space="preserve">, as soon as possible so the </w:t>
      </w:r>
      <w:r w:rsidR="002A6203">
        <w:t>proper treatment of the Global Adjustment can be determined</w:t>
      </w:r>
      <w:r w:rsidRPr="008679CB">
        <w:t>.</w:t>
      </w:r>
    </w:p>
    <w:p w14:paraId="28C19A6B" w14:textId="77777777" w:rsidR="002F19CC" w:rsidRDefault="002F19CC">
      <w:pPr>
        <w:spacing w:after="0"/>
        <w:rPr>
          <w:rFonts w:ascii="Arial" w:hAnsi="Arial" w:cs="Arial"/>
          <w:b/>
          <w:sz w:val="24"/>
          <w:szCs w:val="24"/>
          <w:u w:val="single"/>
        </w:rPr>
      </w:pPr>
      <w:r>
        <w:rPr>
          <w:rFonts w:ascii="Arial" w:hAnsi="Arial" w:cs="Arial"/>
          <w:b/>
          <w:sz w:val="24"/>
          <w:szCs w:val="24"/>
          <w:u w:val="single"/>
        </w:rPr>
        <w:br w:type="page"/>
      </w:r>
    </w:p>
    <w:p w14:paraId="264DC0EE" w14:textId="77777777" w:rsidR="00770452" w:rsidRPr="00C24A72" w:rsidRDefault="0029108A">
      <w:pPr>
        <w:pStyle w:val="BodyText"/>
        <w:rPr>
          <w:rFonts w:ascii="Arial" w:hAnsi="Arial" w:cs="Arial"/>
          <w:b/>
          <w:sz w:val="24"/>
          <w:szCs w:val="24"/>
          <w:u w:val="single"/>
        </w:rPr>
      </w:pPr>
      <w:r w:rsidRPr="0029108A">
        <w:rPr>
          <w:rFonts w:ascii="Arial" w:hAnsi="Arial" w:cs="Arial"/>
          <w:b/>
          <w:sz w:val="24"/>
          <w:szCs w:val="24"/>
          <w:u w:val="single"/>
        </w:rPr>
        <w:lastRenderedPageBreak/>
        <w:t>Monthly Settlement</w:t>
      </w:r>
    </w:p>
    <w:p w14:paraId="0FEF3DEF" w14:textId="77777777" w:rsidR="004A745A" w:rsidRDefault="00770452" w:rsidP="001B4599">
      <w:pPr>
        <w:pStyle w:val="Default"/>
        <w:spacing w:before="120" w:after="120"/>
        <w:rPr>
          <w:sz w:val="22"/>
          <w:szCs w:val="22"/>
        </w:rPr>
      </w:pPr>
      <w:r>
        <w:rPr>
          <w:sz w:val="22"/>
          <w:szCs w:val="22"/>
        </w:rPr>
        <w:t xml:space="preserve">The </w:t>
      </w:r>
      <w:r w:rsidR="00645431" w:rsidRPr="00645431">
        <w:rPr>
          <w:i/>
          <w:sz w:val="22"/>
          <w:szCs w:val="22"/>
        </w:rPr>
        <w:t>settlement amount</w:t>
      </w:r>
      <w:r>
        <w:rPr>
          <w:sz w:val="22"/>
          <w:szCs w:val="22"/>
        </w:rPr>
        <w:t xml:space="preserve"> for </w:t>
      </w:r>
      <w:r w:rsidR="00645431" w:rsidRPr="00645431">
        <w:rPr>
          <w:i/>
          <w:sz w:val="22"/>
          <w:szCs w:val="22"/>
        </w:rPr>
        <w:t>market participants</w:t>
      </w:r>
      <w:r>
        <w:rPr>
          <w:sz w:val="22"/>
          <w:szCs w:val="22"/>
        </w:rPr>
        <w:t xml:space="preserve"> </w:t>
      </w:r>
      <w:r w:rsidR="002C7D20">
        <w:rPr>
          <w:sz w:val="22"/>
          <w:szCs w:val="22"/>
        </w:rPr>
        <w:t xml:space="preserve">with eligible Class A </w:t>
      </w:r>
      <w:r w:rsidR="0029108A" w:rsidRPr="0029108A">
        <w:rPr>
          <w:i/>
          <w:sz w:val="22"/>
          <w:szCs w:val="22"/>
        </w:rPr>
        <w:t>load facilities</w:t>
      </w:r>
      <w:r w:rsidR="002C7D20">
        <w:rPr>
          <w:sz w:val="22"/>
          <w:szCs w:val="22"/>
        </w:rPr>
        <w:t xml:space="preserve"> </w:t>
      </w:r>
      <w:r>
        <w:rPr>
          <w:sz w:val="22"/>
          <w:szCs w:val="22"/>
        </w:rPr>
        <w:t xml:space="preserve">or </w:t>
      </w:r>
      <w:r w:rsidR="00645431" w:rsidRPr="00645431">
        <w:rPr>
          <w:i/>
          <w:sz w:val="22"/>
          <w:szCs w:val="22"/>
        </w:rPr>
        <w:t>distributors</w:t>
      </w:r>
      <w:r>
        <w:rPr>
          <w:sz w:val="22"/>
          <w:szCs w:val="22"/>
        </w:rPr>
        <w:t xml:space="preserve"> with Class A </w:t>
      </w:r>
      <w:r w:rsidR="00645431" w:rsidRPr="00645431">
        <w:rPr>
          <w:i/>
          <w:sz w:val="22"/>
          <w:szCs w:val="22"/>
        </w:rPr>
        <w:t>consumers</w:t>
      </w:r>
      <w:r w:rsidR="0029108A" w:rsidRPr="0029108A">
        <w:rPr>
          <w:sz w:val="22"/>
          <w:szCs w:val="22"/>
        </w:rPr>
        <w:t xml:space="preserve"> </w:t>
      </w:r>
      <w:r>
        <w:rPr>
          <w:sz w:val="22"/>
          <w:szCs w:val="22"/>
        </w:rPr>
        <w:t xml:space="preserve">will be included on the </w:t>
      </w:r>
      <w:r w:rsidR="00645431" w:rsidRPr="00645431">
        <w:rPr>
          <w:i/>
          <w:sz w:val="22"/>
          <w:szCs w:val="22"/>
        </w:rPr>
        <w:t>preliminary settlement statement</w:t>
      </w:r>
      <w:r>
        <w:rPr>
          <w:sz w:val="22"/>
          <w:szCs w:val="22"/>
        </w:rPr>
        <w:t xml:space="preserve"> and </w:t>
      </w:r>
      <w:r w:rsidR="00645431" w:rsidRPr="00645431">
        <w:rPr>
          <w:i/>
          <w:sz w:val="22"/>
          <w:szCs w:val="22"/>
        </w:rPr>
        <w:t>final settlement statement</w:t>
      </w:r>
      <w:r>
        <w:rPr>
          <w:sz w:val="22"/>
          <w:szCs w:val="22"/>
        </w:rPr>
        <w:t xml:space="preserve"> for the last </w:t>
      </w:r>
      <w:r w:rsidR="00645431" w:rsidRPr="00645431">
        <w:rPr>
          <w:i/>
          <w:sz w:val="22"/>
          <w:szCs w:val="22"/>
        </w:rPr>
        <w:t>trading</w:t>
      </w:r>
      <w:r w:rsidR="0029108A" w:rsidRPr="0029108A">
        <w:rPr>
          <w:sz w:val="22"/>
          <w:szCs w:val="22"/>
        </w:rPr>
        <w:t xml:space="preserve"> </w:t>
      </w:r>
      <w:r w:rsidR="00645431" w:rsidRPr="00645431">
        <w:rPr>
          <w:i/>
          <w:sz w:val="22"/>
          <w:szCs w:val="22"/>
        </w:rPr>
        <w:t>day</w:t>
      </w:r>
      <w:r>
        <w:rPr>
          <w:sz w:val="22"/>
          <w:szCs w:val="22"/>
        </w:rPr>
        <w:t xml:space="preserve"> of the month under </w:t>
      </w:r>
      <w:r w:rsidR="00645431" w:rsidRPr="00645431">
        <w:rPr>
          <w:i/>
          <w:sz w:val="22"/>
          <w:szCs w:val="22"/>
        </w:rPr>
        <w:t>charge type</w:t>
      </w:r>
      <w:r>
        <w:rPr>
          <w:sz w:val="22"/>
          <w:szCs w:val="22"/>
        </w:rPr>
        <w:t xml:space="preserve"> 147 “Class A Global Adjustment Settlement Amount”.</w:t>
      </w:r>
    </w:p>
    <w:p w14:paraId="6827BAA3" w14:textId="77777777" w:rsidR="004A745A" w:rsidRDefault="00770452" w:rsidP="001B4599">
      <w:pPr>
        <w:pStyle w:val="Default"/>
        <w:spacing w:before="120" w:after="120"/>
        <w:rPr>
          <w:sz w:val="22"/>
          <w:szCs w:val="22"/>
        </w:rPr>
      </w:pPr>
      <w:r>
        <w:rPr>
          <w:sz w:val="22"/>
          <w:szCs w:val="22"/>
        </w:rPr>
        <w:t xml:space="preserve">The </w:t>
      </w:r>
      <w:r w:rsidR="00645431" w:rsidRPr="00645431">
        <w:rPr>
          <w:i/>
          <w:sz w:val="22"/>
          <w:szCs w:val="22"/>
        </w:rPr>
        <w:t>settlement amount</w:t>
      </w:r>
      <w:r w:rsidRPr="00161C7C">
        <w:rPr>
          <w:sz w:val="22"/>
          <w:szCs w:val="22"/>
        </w:rPr>
        <w:t xml:space="preserve"> for </w:t>
      </w:r>
      <w:r>
        <w:rPr>
          <w:sz w:val="22"/>
          <w:szCs w:val="22"/>
        </w:rPr>
        <w:t xml:space="preserve">Class B </w:t>
      </w:r>
      <w:r w:rsidR="00645431" w:rsidRPr="00645431">
        <w:rPr>
          <w:i/>
          <w:sz w:val="22"/>
          <w:szCs w:val="22"/>
        </w:rPr>
        <w:t>market participants</w:t>
      </w:r>
      <w:r w:rsidRPr="00161C7C">
        <w:rPr>
          <w:sz w:val="22"/>
          <w:szCs w:val="22"/>
        </w:rPr>
        <w:t xml:space="preserve"> or </w:t>
      </w:r>
      <w:r w:rsidR="00645431" w:rsidRPr="00645431">
        <w:rPr>
          <w:i/>
          <w:sz w:val="22"/>
          <w:szCs w:val="22"/>
        </w:rPr>
        <w:t>distributors</w:t>
      </w:r>
      <w:r w:rsidRPr="00161C7C">
        <w:rPr>
          <w:sz w:val="22"/>
          <w:szCs w:val="22"/>
        </w:rPr>
        <w:t xml:space="preserve"> </w:t>
      </w:r>
      <w:r>
        <w:rPr>
          <w:sz w:val="22"/>
          <w:szCs w:val="22"/>
        </w:rPr>
        <w:t xml:space="preserve">will be included on the </w:t>
      </w:r>
      <w:r w:rsidR="00645431" w:rsidRPr="00645431">
        <w:rPr>
          <w:i/>
          <w:sz w:val="22"/>
          <w:szCs w:val="22"/>
        </w:rPr>
        <w:t>preliminary settlement statement</w:t>
      </w:r>
      <w:r>
        <w:rPr>
          <w:sz w:val="22"/>
          <w:szCs w:val="22"/>
        </w:rPr>
        <w:t xml:space="preserve"> and </w:t>
      </w:r>
      <w:r w:rsidR="00645431" w:rsidRPr="00645431">
        <w:rPr>
          <w:i/>
          <w:sz w:val="22"/>
          <w:szCs w:val="22"/>
        </w:rPr>
        <w:t>final settlement statement</w:t>
      </w:r>
      <w:r>
        <w:rPr>
          <w:sz w:val="22"/>
          <w:szCs w:val="22"/>
        </w:rPr>
        <w:t xml:space="preserve"> for the last </w:t>
      </w:r>
      <w:r w:rsidR="00645431" w:rsidRPr="00645431">
        <w:rPr>
          <w:i/>
          <w:sz w:val="22"/>
          <w:szCs w:val="22"/>
        </w:rPr>
        <w:t>trading day</w:t>
      </w:r>
      <w:r>
        <w:rPr>
          <w:sz w:val="22"/>
          <w:szCs w:val="22"/>
        </w:rPr>
        <w:t xml:space="preserve"> of the month under </w:t>
      </w:r>
      <w:r w:rsidR="00645431" w:rsidRPr="00645431">
        <w:rPr>
          <w:i/>
          <w:sz w:val="22"/>
          <w:szCs w:val="22"/>
        </w:rPr>
        <w:t>charge type</w:t>
      </w:r>
      <w:r>
        <w:rPr>
          <w:sz w:val="22"/>
          <w:szCs w:val="22"/>
        </w:rPr>
        <w:t xml:space="preserve"> 148 “Class B Global Adjustment Settlement Amount”.</w:t>
      </w:r>
    </w:p>
    <w:p w14:paraId="572FDDA0" w14:textId="0101297A" w:rsidR="00866C33" w:rsidRDefault="00866C33" w:rsidP="00866C33">
      <w:pPr>
        <w:pStyle w:val="Default"/>
        <w:spacing w:before="120" w:after="120"/>
        <w:rPr>
          <w:sz w:val="22"/>
          <w:szCs w:val="22"/>
        </w:rPr>
      </w:pPr>
      <w:r>
        <w:rPr>
          <w:sz w:val="22"/>
          <w:szCs w:val="22"/>
        </w:rPr>
        <w:t xml:space="preserve">Any prior period corrections for </w:t>
      </w:r>
      <w:r w:rsidRPr="001B084C">
        <w:rPr>
          <w:i/>
          <w:sz w:val="22"/>
          <w:szCs w:val="22"/>
        </w:rPr>
        <w:t>charge type</w:t>
      </w:r>
      <w:r>
        <w:rPr>
          <w:sz w:val="22"/>
          <w:szCs w:val="22"/>
        </w:rPr>
        <w:t xml:space="preserve"> 148 “Class B Global Adjustment Settlement Amount” resulting from post-final changes to input data (e.g. embedded generation, </w:t>
      </w:r>
      <w:r w:rsidR="0036059A">
        <w:rPr>
          <w:sz w:val="22"/>
          <w:szCs w:val="22"/>
        </w:rPr>
        <w:t xml:space="preserve">electricity </w:t>
      </w:r>
      <w:r>
        <w:rPr>
          <w:sz w:val="22"/>
          <w:szCs w:val="22"/>
        </w:rPr>
        <w:t xml:space="preserve">storage or load quantities) will be settled for the impacted </w:t>
      </w:r>
      <w:r w:rsidRPr="009B294A">
        <w:rPr>
          <w:i/>
          <w:sz w:val="22"/>
          <w:szCs w:val="22"/>
        </w:rPr>
        <w:t>market participant</w:t>
      </w:r>
      <w:r>
        <w:rPr>
          <w:sz w:val="22"/>
          <w:szCs w:val="22"/>
        </w:rPr>
        <w:t xml:space="preserve"> under </w:t>
      </w:r>
      <w:r w:rsidRPr="001B084C">
        <w:rPr>
          <w:i/>
          <w:sz w:val="22"/>
          <w:szCs w:val="22"/>
        </w:rPr>
        <w:t>charge type</w:t>
      </w:r>
      <w:r>
        <w:rPr>
          <w:sz w:val="22"/>
          <w:szCs w:val="22"/>
        </w:rPr>
        <w:t xml:space="preserve"> 2148 “Class B Global </w:t>
      </w:r>
      <w:r w:rsidRPr="00C005AC">
        <w:rPr>
          <w:sz w:val="22"/>
          <w:szCs w:val="22"/>
        </w:rPr>
        <w:t xml:space="preserve">Adjustment Prior Period Correction Settlement Amount”. </w:t>
      </w:r>
      <w:r w:rsidR="000B2186" w:rsidRPr="00C005AC">
        <w:rPr>
          <w:sz w:val="22"/>
          <w:szCs w:val="22"/>
        </w:rPr>
        <w:t xml:space="preserve">In addition, post-final changes to input data impacting charge type 6148 “Class B Global Adjustment Deferral Recovery Amount” will be settled for the impacted </w:t>
      </w:r>
      <w:r w:rsidR="000B2186" w:rsidRPr="00C005AC">
        <w:rPr>
          <w:i/>
          <w:sz w:val="22"/>
          <w:szCs w:val="22"/>
        </w:rPr>
        <w:t>market participant</w:t>
      </w:r>
      <w:r w:rsidR="000B2186" w:rsidRPr="00C005AC">
        <w:rPr>
          <w:sz w:val="22"/>
          <w:szCs w:val="22"/>
        </w:rPr>
        <w:t xml:space="preserve"> under charge type 6148. </w:t>
      </w:r>
      <w:r w:rsidRPr="00C005AC">
        <w:rPr>
          <w:sz w:val="22"/>
          <w:szCs w:val="22"/>
        </w:rPr>
        <w:t>In turn, these corrective settlements will be balanced to the Class B market using Class B current settlement month load quantities.</w:t>
      </w:r>
    </w:p>
    <w:p w14:paraId="625617DE" w14:textId="280EBE02" w:rsidR="004874A2" w:rsidRDefault="004874A2" w:rsidP="001B4599">
      <w:pPr>
        <w:pStyle w:val="Default"/>
        <w:spacing w:before="120" w:after="120"/>
        <w:rPr>
          <w:sz w:val="22"/>
          <w:szCs w:val="22"/>
        </w:rPr>
      </w:pPr>
      <w:r>
        <w:rPr>
          <w:sz w:val="22"/>
          <w:szCs w:val="22"/>
        </w:rPr>
        <w:t xml:space="preserve">The </w:t>
      </w:r>
      <w:r>
        <w:rPr>
          <w:i/>
          <w:iCs/>
          <w:sz w:val="22"/>
          <w:szCs w:val="22"/>
        </w:rPr>
        <w:t xml:space="preserve">settlement amount </w:t>
      </w:r>
      <w:r>
        <w:rPr>
          <w:sz w:val="22"/>
          <w:szCs w:val="22"/>
        </w:rPr>
        <w:t xml:space="preserve">relating to </w:t>
      </w:r>
      <w:r w:rsidR="0036059A">
        <w:rPr>
          <w:sz w:val="22"/>
          <w:szCs w:val="22"/>
        </w:rPr>
        <w:t xml:space="preserve">electricity </w:t>
      </w:r>
      <w:r>
        <w:rPr>
          <w:sz w:val="22"/>
          <w:szCs w:val="22"/>
        </w:rPr>
        <w:t xml:space="preserve">storage injection reimbursement for Class B </w:t>
      </w:r>
      <w:r>
        <w:rPr>
          <w:i/>
          <w:iCs/>
          <w:sz w:val="22"/>
          <w:szCs w:val="22"/>
        </w:rPr>
        <w:t xml:space="preserve">market participants </w:t>
      </w:r>
      <w:r>
        <w:rPr>
          <w:sz w:val="22"/>
          <w:szCs w:val="22"/>
        </w:rPr>
        <w:t xml:space="preserve">or </w:t>
      </w:r>
      <w:r>
        <w:rPr>
          <w:i/>
          <w:iCs/>
          <w:sz w:val="22"/>
          <w:szCs w:val="22"/>
        </w:rPr>
        <w:t xml:space="preserve">distributors </w:t>
      </w:r>
      <w:r>
        <w:rPr>
          <w:sz w:val="22"/>
          <w:szCs w:val="22"/>
        </w:rPr>
        <w:t xml:space="preserve">will be included on the </w:t>
      </w:r>
      <w:r>
        <w:rPr>
          <w:i/>
          <w:iCs/>
          <w:sz w:val="22"/>
          <w:szCs w:val="22"/>
        </w:rPr>
        <w:t xml:space="preserve">preliminary settlement statement </w:t>
      </w:r>
      <w:r>
        <w:rPr>
          <w:sz w:val="22"/>
          <w:szCs w:val="22"/>
        </w:rPr>
        <w:t xml:space="preserve">and </w:t>
      </w:r>
      <w:r>
        <w:rPr>
          <w:i/>
          <w:iCs/>
          <w:sz w:val="22"/>
          <w:szCs w:val="22"/>
        </w:rPr>
        <w:t xml:space="preserve">final settlement statement </w:t>
      </w:r>
      <w:r>
        <w:rPr>
          <w:sz w:val="22"/>
          <w:szCs w:val="22"/>
        </w:rPr>
        <w:t xml:space="preserve">for the last </w:t>
      </w:r>
      <w:r>
        <w:rPr>
          <w:i/>
          <w:iCs/>
          <w:sz w:val="22"/>
          <w:szCs w:val="22"/>
        </w:rPr>
        <w:t xml:space="preserve">trading day </w:t>
      </w:r>
      <w:r>
        <w:rPr>
          <w:sz w:val="22"/>
          <w:szCs w:val="22"/>
        </w:rPr>
        <w:t xml:space="preserve">of the month under </w:t>
      </w:r>
      <w:r>
        <w:rPr>
          <w:i/>
          <w:iCs/>
          <w:sz w:val="22"/>
          <w:szCs w:val="22"/>
        </w:rPr>
        <w:t xml:space="preserve">charge type </w:t>
      </w:r>
      <w:r>
        <w:rPr>
          <w:sz w:val="22"/>
          <w:szCs w:val="22"/>
        </w:rPr>
        <w:t>1148 “GA Energy Storage Injection Reimbursement”.</w:t>
      </w:r>
    </w:p>
    <w:p w14:paraId="1BDE8A33" w14:textId="77777777" w:rsidR="009A0268" w:rsidRDefault="00770452" w:rsidP="00DC766D">
      <w:pPr>
        <w:pStyle w:val="Default"/>
        <w:spacing w:before="120" w:after="120"/>
        <w:rPr>
          <w:rFonts w:ascii="Arial" w:hAnsi="Arial"/>
          <w:b/>
        </w:rPr>
      </w:pPr>
      <w:r w:rsidRPr="00C34666">
        <w:rPr>
          <w:sz w:val="22"/>
          <w:szCs w:val="22"/>
        </w:rPr>
        <w:t xml:space="preserve">The corresponding set-offs are </w:t>
      </w:r>
      <w:r w:rsidR="0029108A" w:rsidRPr="0029108A">
        <w:rPr>
          <w:i/>
          <w:sz w:val="22"/>
          <w:szCs w:val="22"/>
        </w:rPr>
        <w:t>charge type</w:t>
      </w:r>
      <w:r w:rsidRPr="00C34666">
        <w:rPr>
          <w:sz w:val="22"/>
          <w:szCs w:val="22"/>
        </w:rPr>
        <w:t xml:space="preserve"> 196 “Global Adjustment Balancing Amount” and </w:t>
      </w:r>
      <w:r w:rsidR="0029108A" w:rsidRPr="0029108A">
        <w:rPr>
          <w:i/>
          <w:sz w:val="22"/>
          <w:szCs w:val="22"/>
        </w:rPr>
        <w:t>charge</w:t>
      </w:r>
      <w:r w:rsidRPr="00C34666">
        <w:rPr>
          <w:sz w:val="22"/>
          <w:szCs w:val="22"/>
        </w:rPr>
        <w:t xml:space="preserve"> </w:t>
      </w:r>
      <w:r w:rsidR="0029108A" w:rsidRPr="0029108A">
        <w:rPr>
          <w:i/>
          <w:sz w:val="22"/>
          <w:szCs w:val="22"/>
        </w:rPr>
        <w:t>type</w:t>
      </w:r>
      <w:r w:rsidRPr="00C34666">
        <w:rPr>
          <w:sz w:val="22"/>
          <w:szCs w:val="22"/>
        </w:rPr>
        <w:t xml:space="preserve"> 197 “Global Adjustment - Special Programs Balancing Amount”.  </w:t>
      </w:r>
      <w:r w:rsidR="0029108A" w:rsidRPr="0029108A">
        <w:rPr>
          <w:i/>
          <w:sz w:val="22"/>
          <w:szCs w:val="22"/>
        </w:rPr>
        <w:t>Charge type 196</w:t>
      </w:r>
      <w:r w:rsidRPr="00C34666">
        <w:rPr>
          <w:sz w:val="22"/>
          <w:szCs w:val="22"/>
        </w:rPr>
        <w:t xml:space="preserve"> is included on the </w:t>
      </w:r>
      <w:r w:rsidR="00C51A68">
        <w:rPr>
          <w:sz w:val="22"/>
          <w:szCs w:val="22"/>
        </w:rPr>
        <w:t xml:space="preserve">IESO’s </w:t>
      </w:r>
      <w:r w:rsidR="0029108A" w:rsidRPr="0029108A">
        <w:rPr>
          <w:i/>
          <w:sz w:val="22"/>
          <w:szCs w:val="22"/>
        </w:rPr>
        <w:t>preliminary settlement statement</w:t>
      </w:r>
      <w:r w:rsidRPr="00C34666">
        <w:rPr>
          <w:sz w:val="22"/>
          <w:szCs w:val="22"/>
        </w:rPr>
        <w:t xml:space="preserve"> and </w:t>
      </w:r>
      <w:r w:rsidR="0029108A" w:rsidRPr="0029108A">
        <w:rPr>
          <w:i/>
          <w:sz w:val="22"/>
          <w:szCs w:val="22"/>
        </w:rPr>
        <w:t>final settlement statement</w:t>
      </w:r>
      <w:r w:rsidRPr="00C34666">
        <w:rPr>
          <w:sz w:val="22"/>
          <w:szCs w:val="22"/>
        </w:rPr>
        <w:t xml:space="preserve"> for the last </w:t>
      </w:r>
      <w:r w:rsidR="0029108A" w:rsidRPr="0029108A">
        <w:rPr>
          <w:i/>
          <w:sz w:val="22"/>
          <w:szCs w:val="22"/>
        </w:rPr>
        <w:t>trading day</w:t>
      </w:r>
      <w:r w:rsidRPr="00C34666">
        <w:rPr>
          <w:sz w:val="22"/>
          <w:szCs w:val="22"/>
        </w:rPr>
        <w:t xml:space="preserve"> of the month. </w:t>
      </w:r>
      <w:r w:rsidR="0029108A" w:rsidRPr="0029108A">
        <w:rPr>
          <w:i/>
          <w:sz w:val="22"/>
          <w:szCs w:val="22"/>
        </w:rPr>
        <w:t>Charge type</w:t>
      </w:r>
      <w:r w:rsidRPr="00C34666">
        <w:rPr>
          <w:sz w:val="22"/>
          <w:szCs w:val="22"/>
        </w:rPr>
        <w:t xml:space="preserve"> 197 is balanced by the </w:t>
      </w:r>
      <w:r w:rsidR="0029108A" w:rsidRPr="0029108A">
        <w:rPr>
          <w:i/>
          <w:sz w:val="22"/>
          <w:szCs w:val="22"/>
        </w:rPr>
        <w:t>IESO</w:t>
      </w:r>
      <w:r w:rsidRPr="00C34666">
        <w:rPr>
          <w:sz w:val="22"/>
          <w:szCs w:val="22"/>
        </w:rPr>
        <w:t xml:space="preserve"> at the end of the month for </w:t>
      </w:r>
      <w:r w:rsidR="00E43E9E">
        <w:rPr>
          <w:sz w:val="22"/>
          <w:szCs w:val="22"/>
        </w:rPr>
        <w:t>special programs relating to conservation and demand management.</w:t>
      </w:r>
    </w:p>
    <w:p w14:paraId="4368853E" w14:textId="77777777" w:rsidR="00855CB7" w:rsidRDefault="00CB6889" w:rsidP="00133618">
      <w:pPr>
        <w:pStyle w:val="Heading4"/>
      </w:pPr>
      <w:r>
        <w:t>Intentionally Left Blank</w:t>
      </w:r>
    </w:p>
    <w:p w14:paraId="1BCC76A4" w14:textId="77777777" w:rsidR="00CB6889" w:rsidRDefault="00CB6889" w:rsidP="00CB6889">
      <w:pPr>
        <w:pStyle w:val="BodyTextNote"/>
        <w:pBdr>
          <w:top w:val="single" w:sz="2" w:space="1" w:color="auto"/>
          <w:left w:val="single" w:sz="2" w:space="4" w:color="auto"/>
          <w:bottom w:val="single" w:sz="2" w:space="1" w:color="auto"/>
          <w:right w:val="single" w:sz="2" w:space="4" w:color="auto"/>
        </w:pBdr>
        <w:tabs>
          <w:tab w:val="clear" w:pos="576"/>
          <w:tab w:val="left" w:pos="720"/>
        </w:tabs>
        <w:ind w:left="720" w:hanging="720"/>
      </w:pPr>
      <w:r>
        <w:rPr>
          <w:szCs w:val="22"/>
          <w:lang w:val="en-CA"/>
        </w:rPr>
        <w:t>T</w:t>
      </w:r>
      <w:r w:rsidRPr="00E014D3">
        <w:rPr>
          <w:szCs w:val="22"/>
          <w:lang w:val="en-CA"/>
        </w:rPr>
        <w:t xml:space="preserve">he </w:t>
      </w:r>
      <w:r>
        <w:rPr>
          <w:szCs w:val="22"/>
          <w:lang w:val="en-CA"/>
        </w:rPr>
        <w:t>section ‘OPA Administration Charge’ has been removed. The OPA Administration Charge was last settled on the December 2016 settlement statements and invoice</w:t>
      </w:r>
      <w:r w:rsidRPr="00E014D3">
        <w:rPr>
          <w:szCs w:val="22"/>
          <w:lang w:val="en-CA"/>
        </w:rPr>
        <w:t xml:space="preserve">. </w:t>
      </w:r>
      <w:r>
        <w:rPr>
          <w:szCs w:val="22"/>
          <w:lang w:val="en-CA"/>
        </w:rPr>
        <w:t xml:space="preserve">For more details, refer to Appendix E.6, where the archived section can be found. </w:t>
      </w:r>
    </w:p>
    <w:p w14:paraId="0DF02043" w14:textId="2AFED67E" w:rsidR="005E191C" w:rsidRPr="00E6372F" w:rsidRDefault="004D0640" w:rsidP="005E191C">
      <w:pPr>
        <w:pStyle w:val="Heading3"/>
        <w:rPr>
          <w:lang w:val="en-CA"/>
        </w:rPr>
      </w:pPr>
      <w:bookmarkStart w:id="431" w:name="_Toc341262726"/>
      <w:bookmarkStart w:id="432" w:name="_Toc400369511"/>
      <w:bookmarkStart w:id="433" w:name="_Toc35796337"/>
      <w:bookmarkStart w:id="434" w:name="_Toc79657939"/>
      <w:bookmarkEnd w:id="431"/>
      <w:r>
        <w:rPr>
          <w:lang w:val="en-CA"/>
        </w:rPr>
        <w:t>Limiting CMSC Payments for Exporters and Dispatchable Loads</w:t>
      </w:r>
      <w:bookmarkEnd w:id="432"/>
      <w:bookmarkEnd w:id="433"/>
      <w:r w:rsidR="0036059A">
        <w:rPr>
          <w:lang w:val="en-CA"/>
        </w:rPr>
        <w:t xml:space="preserve"> and Electricity Storage Participants</w:t>
      </w:r>
      <w:bookmarkEnd w:id="434"/>
    </w:p>
    <w:p w14:paraId="50126409" w14:textId="32D5F4BA" w:rsidR="00540B39" w:rsidRPr="00E6372F" w:rsidRDefault="004D0640" w:rsidP="00540B39">
      <w:pPr>
        <w:pStyle w:val="BodyText"/>
      </w:pPr>
      <w:r>
        <w:t xml:space="preserve">Exporters and </w:t>
      </w:r>
      <w:r w:rsidR="00DA3379" w:rsidRPr="00DA3379">
        <w:rPr>
          <w:i/>
        </w:rPr>
        <w:t>dispatchable loads</w:t>
      </w:r>
      <w:r>
        <w:t xml:space="preserve"> </w:t>
      </w:r>
      <w:r w:rsidR="0036059A">
        <w:t xml:space="preserve">and dispatchable </w:t>
      </w:r>
      <w:r w:rsidR="0036059A">
        <w:rPr>
          <w:i/>
        </w:rPr>
        <w:t xml:space="preserve">electricity storage facilities </w:t>
      </w:r>
      <w:r w:rsidR="0036059A">
        <w:t xml:space="preserve">that withdraw </w:t>
      </w:r>
      <w:r>
        <w:t xml:space="preserve">may be eligible for CMSC payments from the marketplace when they submit negative </w:t>
      </w:r>
      <w:r w:rsidRPr="007266EE">
        <w:t xml:space="preserve">bids </w:t>
      </w:r>
      <w:r>
        <w:t xml:space="preserve">and are </w:t>
      </w:r>
      <w:r w:rsidR="00DA3379" w:rsidRPr="00DA3379">
        <w:rPr>
          <w:i/>
        </w:rPr>
        <w:t>constrained on</w:t>
      </w:r>
      <w:r>
        <w:t xml:space="preserve"> by the </w:t>
      </w:r>
      <w:r>
        <w:rPr>
          <w:i/>
          <w:iCs/>
        </w:rPr>
        <w:t>IESO</w:t>
      </w:r>
      <w:r>
        <w:t xml:space="preserve">.  To minimize uplift costs for Ontario </w:t>
      </w:r>
      <w:r w:rsidR="00DA3379" w:rsidRPr="00DA3379">
        <w:rPr>
          <w:i/>
        </w:rPr>
        <w:t>consumers</w:t>
      </w:r>
      <w:r>
        <w:t xml:space="preserve">, the </w:t>
      </w:r>
      <w:r>
        <w:rPr>
          <w:i/>
          <w:iCs/>
        </w:rPr>
        <w:t xml:space="preserve">IESO, </w:t>
      </w:r>
      <w:r>
        <w:t xml:space="preserve">under Section 3.5.6A, Chapter 9 of the </w:t>
      </w:r>
      <w:r>
        <w:rPr>
          <w:i/>
          <w:iCs/>
        </w:rPr>
        <w:t>market rules,</w:t>
      </w:r>
      <w:r>
        <w:t xml:space="preserve"> may adjust any bid price associated with an exporter or </w:t>
      </w:r>
      <w:r w:rsidR="00DA3379" w:rsidRPr="00DA3379">
        <w:rPr>
          <w:i/>
        </w:rPr>
        <w:t>dispatchable load facility</w:t>
      </w:r>
      <w:r>
        <w:t xml:space="preserve"> for calculating CMSC payments under the following conditions:</w:t>
      </w:r>
    </w:p>
    <w:p w14:paraId="6C9481DC" w14:textId="77777777" w:rsidR="00540B39" w:rsidRPr="00E6372F" w:rsidRDefault="004D0640" w:rsidP="003853C6">
      <w:pPr>
        <w:pStyle w:val="BodyText"/>
        <w:numPr>
          <w:ilvl w:val="0"/>
          <w:numId w:val="74"/>
        </w:numPr>
      </w:pPr>
      <w:r>
        <w:t xml:space="preserve">The bid price is less than the replacement bid prices determined by the </w:t>
      </w:r>
      <w:r>
        <w:rPr>
          <w:i/>
          <w:iCs/>
        </w:rPr>
        <w:t>IESO</w:t>
      </w:r>
      <w:r>
        <w:t xml:space="preserve"> (i.e. -$125/MWh for exporters and -$</w:t>
      </w:r>
      <w:r w:rsidR="00F27C96">
        <w:t>15</w:t>
      </w:r>
      <w:r>
        <w:t xml:space="preserve">/MWh for </w:t>
      </w:r>
      <w:r w:rsidR="00DA3379" w:rsidRPr="00DA3379">
        <w:rPr>
          <w:i/>
        </w:rPr>
        <w:t>dispatchable loads</w:t>
      </w:r>
      <w:r>
        <w:t>); and</w:t>
      </w:r>
    </w:p>
    <w:p w14:paraId="1846D7E6" w14:textId="77777777" w:rsidR="00540B39" w:rsidRPr="00E6372F" w:rsidRDefault="004D0640" w:rsidP="003853C6">
      <w:pPr>
        <w:pStyle w:val="BodyText"/>
        <w:numPr>
          <w:ilvl w:val="0"/>
          <w:numId w:val="74"/>
        </w:numPr>
      </w:pPr>
      <w:r>
        <w:t xml:space="preserve">The bid price is less than the applicable </w:t>
      </w:r>
      <w:r w:rsidR="00DA3379" w:rsidRPr="00DA3379">
        <w:rPr>
          <w:i/>
        </w:rPr>
        <w:t>energy</w:t>
      </w:r>
      <w:r>
        <w:t xml:space="preserve"> market price (i.e. the zonal clearing price at the </w:t>
      </w:r>
      <w:r w:rsidR="00DA3379" w:rsidRPr="00DA3379">
        <w:rPr>
          <w:i/>
        </w:rPr>
        <w:t>intertie</w:t>
      </w:r>
      <w:r>
        <w:t xml:space="preserve"> for exporters or the Ontario market clearing price for </w:t>
      </w:r>
      <w:r w:rsidR="00DA3379" w:rsidRPr="00DA3379">
        <w:rPr>
          <w:i/>
        </w:rPr>
        <w:t>dispatchable loads</w:t>
      </w:r>
      <w:r>
        <w:t>).</w:t>
      </w:r>
    </w:p>
    <w:p w14:paraId="70D55982" w14:textId="77777777" w:rsidR="00540B39" w:rsidRPr="00E6372F" w:rsidRDefault="004D0640" w:rsidP="00540B39">
      <w:pPr>
        <w:pStyle w:val="BodyText"/>
      </w:pPr>
      <w:r>
        <w:t xml:space="preserve">When these two conditions are met, the </w:t>
      </w:r>
      <w:r>
        <w:rPr>
          <w:i/>
          <w:iCs/>
        </w:rPr>
        <w:t>IESO</w:t>
      </w:r>
      <w:r>
        <w:t xml:space="preserve"> may adjust the negative bid price to the </w:t>
      </w:r>
      <w:r>
        <w:rPr>
          <w:i/>
          <w:iCs/>
          <w:u w:val="single"/>
        </w:rPr>
        <w:t>lesser</w:t>
      </w:r>
      <w:r>
        <w:t xml:space="preserve"> of the replacement bid prices determined by the </w:t>
      </w:r>
      <w:r>
        <w:rPr>
          <w:i/>
          <w:iCs/>
        </w:rPr>
        <w:t xml:space="preserve">IESO </w:t>
      </w:r>
      <w:r>
        <w:t xml:space="preserve">and the applicable </w:t>
      </w:r>
      <w:r w:rsidR="00DA3379" w:rsidRPr="00DA3379">
        <w:rPr>
          <w:i/>
        </w:rPr>
        <w:t>intertie</w:t>
      </w:r>
      <w:r>
        <w:t xml:space="preserve"> or Ontario market clearing price.</w:t>
      </w:r>
    </w:p>
    <w:p w14:paraId="43D7D0F4" w14:textId="77777777" w:rsidR="00540B39" w:rsidRPr="00E6372F" w:rsidRDefault="004D0640" w:rsidP="00540B39">
      <w:pPr>
        <w:pStyle w:val="BodyText"/>
      </w:pPr>
      <w:r>
        <w:lastRenderedPageBreak/>
        <w:t xml:space="preserve">Exporters may submit a </w:t>
      </w:r>
      <w:r>
        <w:rPr>
          <w:i/>
          <w:iCs/>
        </w:rPr>
        <w:t>notice of disagreement</w:t>
      </w:r>
      <w:r>
        <w:t xml:space="preserve"> and a suggested replacement price to recover their costs in cases where,</w:t>
      </w:r>
    </w:p>
    <w:p w14:paraId="4977FCE1" w14:textId="77777777" w:rsidR="00540B39" w:rsidRPr="00E6372F" w:rsidRDefault="004D0640" w:rsidP="003853C6">
      <w:pPr>
        <w:pStyle w:val="BodyText"/>
        <w:numPr>
          <w:ilvl w:val="0"/>
          <w:numId w:val="75"/>
        </w:numPr>
      </w:pPr>
      <w:r>
        <w:t xml:space="preserve">the negative bid is adjusted to the replacement bid price set by the </w:t>
      </w:r>
      <w:r>
        <w:rPr>
          <w:i/>
        </w:rPr>
        <w:t>IESO</w:t>
      </w:r>
      <w:r>
        <w:t xml:space="preserve"> (i.e. -$125/MWh); and</w:t>
      </w:r>
    </w:p>
    <w:p w14:paraId="1B2D0E38" w14:textId="77777777" w:rsidR="00540B39" w:rsidRPr="00E6372F" w:rsidRDefault="004D0640" w:rsidP="003853C6">
      <w:pPr>
        <w:pStyle w:val="BodyText"/>
        <w:numPr>
          <w:ilvl w:val="0"/>
          <w:numId w:val="75"/>
        </w:numPr>
      </w:pPr>
      <w:r>
        <w:t xml:space="preserve">the export transaction is settled in the neighbouring market at a negative price that is less than the replacement bid price set by the </w:t>
      </w:r>
      <w:r>
        <w:rPr>
          <w:i/>
        </w:rPr>
        <w:t>IESO</w:t>
      </w:r>
      <w:r>
        <w:t>; and</w:t>
      </w:r>
    </w:p>
    <w:p w14:paraId="2A8742F3" w14:textId="77777777" w:rsidR="00540B39" w:rsidRPr="00E6372F" w:rsidRDefault="004D0640" w:rsidP="003853C6">
      <w:pPr>
        <w:pStyle w:val="BodyText"/>
        <w:numPr>
          <w:ilvl w:val="0"/>
          <w:numId w:val="75"/>
        </w:numPr>
      </w:pPr>
      <w:r>
        <w:t xml:space="preserve">the total value of unrecovered costs (i.e. CMSC not paid due to the replacement bid) for the trade date that is the subject of the submitted </w:t>
      </w:r>
      <w:r>
        <w:rPr>
          <w:i/>
          <w:iCs/>
        </w:rPr>
        <w:t>notice of disagreement</w:t>
      </w:r>
      <w:r>
        <w:t xml:space="preserve"> exceeds $1,000.</w:t>
      </w:r>
    </w:p>
    <w:p w14:paraId="22203E7E" w14:textId="6EF472FA" w:rsidR="00540B39" w:rsidRPr="00E6372F" w:rsidRDefault="00DA3379" w:rsidP="00540B39">
      <w:pPr>
        <w:pStyle w:val="BodyText"/>
      </w:pPr>
      <w:r w:rsidRPr="00DA3379">
        <w:rPr>
          <w:i/>
        </w:rPr>
        <w:t>Dispatchable loads</w:t>
      </w:r>
      <w:r w:rsidR="004D0640">
        <w:t xml:space="preserve"> </w:t>
      </w:r>
      <w:r w:rsidR="0036059A">
        <w:t xml:space="preserve">and dispatchable </w:t>
      </w:r>
      <w:r w:rsidR="0036059A">
        <w:rPr>
          <w:i/>
        </w:rPr>
        <w:t xml:space="preserve">electricity storage facilities </w:t>
      </w:r>
      <w:r w:rsidR="0036059A">
        <w:t xml:space="preserve">that withdraw </w:t>
      </w:r>
      <w:r w:rsidR="004D0640">
        <w:t xml:space="preserve">may submit a </w:t>
      </w:r>
      <w:r w:rsidR="004D0640">
        <w:rPr>
          <w:i/>
          <w:iCs/>
        </w:rPr>
        <w:t>notice of disagreement</w:t>
      </w:r>
      <w:r w:rsidR="004D0640">
        <w:t xml:space="preserve"> for any trade date in a month where,</w:t>
      </w:r>
    </w:p>
    <w:p w14:paraId="4A0A35EC" w14:textId="77777777" w:rsidR="00540B39" w:rsidRPr="00E6372F" w:rsidRDefault="006411B0" w:rsidP="003853C6">
      <w:pPr>
        <w:pStyle w:val="BodyText"/>
        <w:numPr>
          <w:ilvl w:val="0"/>
          <w:numId w:val="76"/>
        </w:numPr>
      </w:pPr>
      <w:r>
        <w:t xml:space="preserve">the </w:t>
      </w:r>
      <w:r w:rsidR="00F520F8">
        <w:t xml:space="preserve">combined preliminary hourly and daily uplifts for a trade date reported on the </w:t>
      </w:r>
      <w:r w:rsidR="00DA3379" w:rsidRPr="00DA3379">
        <w:rPr>
          <w:i/>
        </w:rPr>
        <w:t>IESO</w:t>
      </w:r>
      <w:r w:rsidR="00F520F8">
        <w:t xml:space="preserve"> website exceeds $2.50/MWh;</w:t>
      </w:r>
      <w:r w:rsidR="004D0640">
        <w:t xml:space="preserve"> and</w:t>
      </w:r>
    </w:p>
    <w:p w14:paraId="04C389E3" w14:textId="77777777" w:rsidR="00540B39" w:rsidRPr="00E6372F" w:rsidRDefault="004D0640" w:rsidP="003853C6">
      <w:pPr>
        <w:pStyle w:val="BodyText"/>
        <w:numPr>
          <w:ilvl w:val="0"/>
          <w:numId w:val="76"/>
        </w:numPr>
      </w:pPr>
      <w:r>
        <w:t xml:space="preserve">the negative bid is adjusted to the replacement bid price set by the </w:t>
      </w:r>
      <w:r>
        <w:rPr>
          <w:i/>
        </w:rPr>
        <w:t>IESO</w:t>
      </w:r>
      <w:r>
        <w:t xml:space="preserve"> (i.e. -$</w:t>
      </w:r>
      <w:r w:rsidR="00F27C96">
        <w:t>15</w:t>
      </w:r>
      <w:r>
        <w:t>/MWh); and</w:t>
      </w:r>
    </w:p>
    <w:p w14:paraId="5C8D7333" w14:textId="77777777" w:rsidR="00540B39" w:rsidRPr="00E6372F" w:rsidRDefault="004D0640" w:rsidP="003853C6">
      <w:pPr>
        <w:pStyle w:val="BodyText"/>
        <w:numPr>
          <w:ilvl w:val="0"/>
          <w:numId w:val="76"/>
        </w:numPr>
      </w:pPr>
      <w:r>
        <w:t xml:space="preserve">the total value of unrecovered costs (i.e. CMSC not paid due to the replacement bid) for the trade date that is the subject of the submitted </w:t>
      </w:r>
      <w:r>
        <w:rPr>
          <w:i/>
          <w:iCs/>
        </w:rPr>
        <w:t>notice of disagreement</w:t>
      </w:r>
      <w:r>
        <w:t xml:space="preserve"> exceeds $1,000.</w:t>
      </w:r>
    </w:p>
    <w:p w14:paraId="39894C09" w14:textId="77777777" w:rsidR="005211CF" w:rsidRDefault="004D0640">
      <w:pPr>
        <w:pStyle w:val="BodyText"/>
      </w:pPr>
      <w:r>
        <w:t xml:space="preserve">The </w:t>
      </w:r>
      <w:r>
        <w:rPr>
          <w:i/>
          <w:iCs/>
        </w:rPr>
        <w:t xml:space="preserve">notice of disagreement </w:t>
      </w:r>
      <w:r>
        <w:t>should provide details of the transaction including evidence to support the suggested replacement price and the value of the requested compensation.</w:t>
      </w:r>
    </w:p>
    <w:p w14:paraId="6336CD4F" w14:textId="77777777" w:rsidR="00855CB7" w:rsidRDefault="00855CB7">
      <w:pPr>
        <w:pStyle w:val="Heading3"/>
        <w:rPr>
          <w:lang w:val="en-CA"/>
        </w:rPr>
      </w:pPr>
      <w:bookmarkStart w:id="435" w:name="_Toc175383895"/>
      <w:bookmarkStart w:id="436" w:name="_Toc400369512"/>
      <w:bookmarkStart w:id="437" w:name="_Toc35796338"/>
      <w:bookmarkStart w:id="438" w:name="_Toc79657940"/>
      <w:r>
        <w:rPr>
          <w:lang w:val="en-CA"/>
        </w:rPr>
        <w:t>Adjustment for Facility-Induced CMSC</w:t>
      </w:r>
      <w:bookmarkEnd w:id="435"/>
      <w:bookmarkEnd w:id="436"/>
      <w:bookmarkEnd w:id="437"/>
      <w:bookmarkEnd w:id="438"/>
    </w:p>
    <w:p w14:paraId="486F39F3" w14:textId="64BB2E0A" w:rsidR="00C00BCA" w:rsidRPr="00DA2A12" w:rsidRDefault="00C00BCA" w:rsidP="00C00BCA">
      <w:pPr>
        <w:pStyle w:val="BodyText"/>
        <w:rPr>
          <w:lang w:val="en-CA"/>
        </w:rPr>
      </w:pPr>
      <w:r>
        <w:rPr>
          <w:lang w:val="en-CA"/>
        </w:rPr>
        <w:t>Under</w:t>
      </w:r>
      <w:r w:rsidRPr="00DA2A12">
        <w:rPr>
          <w:lang w:val="en-CA"/>
        </w:rPr>
        <w:t xml:space="preserve"> Section 3.5.1A of Chapter 9 of the </w:t>
      </w:r>
      <w:r w:rsidRPr="00DA2A12">
        <w:rPr>
          <w:i/>
          <w:lang w:val="en-CA"/>
        </w:rPr>
        <w:t>market rules</w:t>
      </w:r>
      <w:r>
        <w:rPr>
          <w:i/>
          <w:lang w:val="en-CA"/>
        </w:rPr>
        <w:t>,</w:t>
      </w:r>
      <w:r w:rsidRPr="00DA2A12">
        <w:rPr>
          <w:lang w:val="en-CA"/>
        </w:rPr>
        <w:t xml:space="preserve"> a </w:t>
      </w:r>
      <w:r w:rsidRPr="00DA2A12">
        <w:rPr>
          <w:i/>
          <w:lang w:val="en-CA"/>
        </w:rPr>
        <w:t>market participant</w:t>
      </w:r>
      <w:r w:rsidRPr="00DA2A12">
        <w:rPr>
          <w:lang w:val="en-CA"/>
        </w:rPr>
        <w:t xml:space="preserve"> is not entitled to congestion management </w:t>
      </w:r>
      <w:r w:rsidR="00DA3379" w:rsidRPr="00DA3379">
        <w:rPr>
          <w:i/>
          <w:lang w:val="en-CA"/>
        </w:rPr>
        <w:t>settlement</w:t>
      </w:r>
      <w:r w:rsidRPr="00DA2A12">
        <w:rPr>
          <w:lang w:val="en-CA"/>
        </w:rPr>
        <w:t xml:space="preserve"> credits (CMSC) where these are the result of the</w:t>
      </w:r>
      <w:r w:rsidRPr="00DA2A12">
        <w:rPr>
          <w:i/>
          <w:lang w:val="en-CA"/>
        </w:rPr>
        <w:t xml:space="preserve"> facility’s</w:t>
      </w:r>
      <w:r w:rsidRPr="00DA2A12">
        <w:rPr>
          <w:lang w:val="en-CA"/>
        </w:rPr>
        <w:t xml:space="preserve"> own equipment or operational limitations under certain circumstances. </w:t>
      </w:r>
      <w:r w:rsidR="00BA295D">
        <w:rPr>
          <w:lang w:val="en-CA"/>
        </w:rPr>
        <w:t xml:space="preserve"> </w:t>
      </w:r>
      <w:r w:rsidRPr="00DA2A12">
        <w:rPr>
          <w:lang w:val="en-CA"/>
        </w:rPr>
        <w:t xml:space="preserve">Such situations include a </w:t>
      </w:r>
      <w:r w:rsidRPr="001441A5">
        <w:rPr>
          <w:i/>
          <w:lang w:val="en-CA"/>
        </w:rPr>
        <w:t>dispatchable load facility</w:t>
      </w:r>
      <w:r w:rsidRPr="00563901">
        <w:rPr>
          <w:lang w:val="en-CA"/>
        </w:rPr>
        <w:t xml:space="preserve"> </w:t>
      </w:r>
      <w:r w:rsidR="0036059A">
        <w:rPr>
          <w:lang w:val="en-CA"/>
        </w:rPr>
        <w:t xml:space="preserve">or a dispatchable </w:t>
      </w:r>
      <w:r w:rsidR="0036059A">
        <w:rPr>
          <w:i/>
          <w:lang w:val="en-CA"/>
        </w:rPr>
        <w:t xml:space="preserve">electricity storage facility </w:t>
      </w:r>
      <w:r w:rsidR="0036059A">
        <w:rPr>
          <w:lang w:val="en-CA"/>
        </w:rPr>
        <w:t xml:space="preserve">that withdraws </w:t>
      </w:r>
      <w:r w:rsidRPr="00DA2A12">
        <w:rPr>
          <w:lang w:val="en-CA"/>
        </w:rPr>
        <w:t xml:space="preserve">which does not fully or accurately respond to </w:t>
      </w:r>
      <w:r w:rsidRPr="00DA2A12">
        <w:rPr>
          <w:i/>
          <w:lang w:val="en-CA"/>
        </w:rPr>
        <w:t>dispatch</w:t>
      </w:r>
      <w:r w:rsidRPr="00DA2A12">
        <w:rPr>
          <w:lang w:val="en-CA"/>
        </w:rPr>
        <w:t xml:space="preserve"> </w:t>
      </w:r>
      <w:r w:rsidRPr="00DA2A12">
        <w:rPr>
          <w:i/>
          <w:lang w:val="en-CA"/>
        </w:rPr>
        <w:t>instructions</w:t>
      </w:r>
      <w:r w:rsidRPr="00DA2A12">
        <w:rPr>
          <w:lang w:val="en-CA"/>
        </w:rPr>
        <w:t xml:space="preserve"> or where the </w:t>
      </w:r>
      <w:r w:rsidRPr="0071121F">
        <w:rPr>
          <w:lang w:val="en-CA"/>
        </w:rPr>
        <w:t xml:space="preserve">bid </w:t>
      </w:r>
      <w:r w:rsidRPr="00DA2A12">
        <w:rPr>
          <w:lang w:val="en-CA"/>
        </w:rPr>
        <w:t xml:space="preserve">ramp rate is below the specified threshold. </w:t>
      </w:r>
      <w:r w:rsidR="00BA295D">
        <w:rPr>
          <w:lang w:val="en-CA"/>
        </w:rPr>
        <w:t xml:space="preserve"> </w:t>
      </w:r>
      <w:r w:rsidRPr="00DA2A12">
        <w:rPr>
          <w:lang w:val="en-CA"/>
        </w:rPr>
        <w:t xml:space="preserve">The </w:t>
      </w:r>
      <w:r w:rsidRPr="00DA2A12">
        <w:rPr>
          <w:i/>
        </w:rPr>
        <w:t>market rules</w:t>
      </w:r>
      <w:r w:rsidRPr="00DA2A12">
        <w:rPr>
          <w:lang w:val="en-CA"/>
        </w:rPr>
        <w:t xml:space="preserve"> enable </w:t>
      </w:r>
      <w:r w:rsidR="0076734A">
        <w:rPr>
          <w:lang w:val="en-CA"/>
        </w:rPr>
        <w:t>us</w:t>
      </w:r>
      <w:r>
        <w:rPr>
          <w:lang w:val="en-CA"/>
        </w:rPr>
        <w:t xml:space="preserve"> </w:t>
      </w:r>
      <w:r w:rsidRPr="00DA2A12">
        <w:rPr>
          <w:lang w:val="en-CA"/>
        </w:rPr>
        <w:t>to:</w:t>
      </w:r>
    </w:p>
    <w:p w14:paraId="6E0EE87B" w14:textId="77777777" w:rsidR="00C00BCA" w:rsidRPr="00DA2A12" w:rsidRDefault="007169D9" w:rsidP="00C00BCA">
      <w:pPr>
        <w:pStyle w:val="ListBullet"/>
      </w:pPr>
      <w:r>
        <w:t>a</w:t>
      </w:r>
      <w:r w:rsidRPr="00DA2A12">
        <w:t xml:space="preserve">void </w:t>
      </w:r>
      <w:r w:rsidR="00C00BCA" w:rsidRPr="00DA2A12">
        <w:t>making the CMSC payments entirely; or</w:t>
      </w:r>
    </w:p>
    <w:p w14:paraId="4CF9A248" w14:textId="56DB86D2" w:rsidR="00C00BCA" w:rsidRPr="00DA2A12" w:rsidRDefault="007169D9" w:rsidP="00C00BCA">
      <w:pPr>
        <w:pStyle w:val="ListBullet"/>
      </w:pPr>
      <w:r>
        <w:t>c</w:t>
      </w:r>
      <w:r w:rsidRPr="00DA2A12">
        <w:t xml:space="preserve">ompletely </w:t>
      </w:r>
      <w:r w:rsidR="00C00BCA" w:rsidRPr="00DA2A12">
        <w:t xml:space="preserve">recover such payments after the fact from the </w:t>
      </w:r>
      <w:r w:rsidR="00C00BCA" w:rsidRPr="00DA2A12">
        <w:rPr>
          <w:i/>
        </w:rPr>
        <w:t>dispatchable load</w:t>
      </w:r>
      <w:r w:rsidR="0036059A">
        <w:t xml:space="preserve"> or dispatchable </w:t>
      </w:r>
      <w:r w:rsidR="0036059A">
        <w:rPr>
          <w:i/>
        </w:rPr>
        <w:t xml:space="preserve">electricity storage facility </w:t>
      </w:r>
      <w:r w:rsidR="0036059A">
        <w:t>that withdraws</w:t>
      </w:r>
      <w:r w:rsidR="00C00BCA" w:rsidRPr="00DA2A12">
        <w:t>.</w:t>
      </w:r>
    </w:p>
    <w:p w14:paraId="1FD377B4" w14:textId="47958322" w:rsidR="00C00BCA" w:rsidRPr="00DA2A12" w:rsidRDefault="00C00BCA" w:rsidP="00C00BCA">
      <w:pPr>
        <w:pStyle w:val="BodyText"/>
      </w:pPr>
      <w:r w:rsidRPr="00DA2A12">
        <w:t xml:space="preserve">This procedure describing recovery of deviation-induced CMSC also applies when the </w:t>
      </w:r>
      <w:r w:rsidRPr="00DA2A12">
        <w:rPr>
          <w:i/>
        </w:rPr>
        <w:t>dispatchable load</w:t>
      </w:r>
      <w:r w:rsidRPr="00DA2A12">
        <w:t xml:space="preserve"> has a </w:t>
      </w:r>
      <w:r w:rsidRPr="0071121F">
        <w:t xml:space="preserve">bid </w:t>
      </w:r>
      <w:r w:rsidRPr="00DA2A12">
        <w:t xml:space="preserve">price equal to the </w:t>
      </w:r>
      <w:r w:rsidRPr="00DA2A12">
        <w:rPr>
          <w:i/>
        </w:rPr>
        <w:t xml:space="preserve">maximum market clearing price </w:t>
      </w:r>
      <w:r w:rsidRPr="00DA2A12">
        <w:t>(</w:t>
      </w:r>
      <w:r w:rsidRPr="00DA2A12">
        <w:rPr>
          <w:i/>
        </w:rPr>
        <w:t>MMCP</w:t>
      </w:r>
      <w:r w:rsidRPr="00DA2A12">
        <w:t xml:space="preserve">). </w:t>
      </w:r>
      <w:r w:rsidR="00861035">
        <w:t xml:space="preserve">With respect to </w:t>
      </w:r>
      <w:r w:rsidR="00861035">
        <w:rPr>
          <w:i/>
        </w:rPr>
        <w:t>dispatchable loads</w:t>
      </w:r>
      <w:r w:rsidR="00E70CA7">
        <w:t xml:space="preserve"> in particular</w:t>
      </w:r>
      <w:r w:rsidR="00861035" w:rsidRPr="00DA2A12">
        <w:t xml:space="preserve">, not only is a </w:t>
      </w:r>
      <w:r w:rsidR="00861035" w:rsidRPr="00DA3379">
        <w:rPr>
          <w:i/>
        </w:rPr>
        <w:t xml:space="preserve">dispatch </w:t>
      </w:r>
      <w:r w:rsidR="00861035" w:rsidRPr="00DA2A12">
        <w:t xml:space="preserve">deviation the likely cause of the </w:t>
      </w:r>
      <w:r w:rsidR="00861035" w:rsidRPr="00DA2A12">
        <w:rPr>
          <w:i/>
        </w:rPr>
        <w:t>dispatch</w:t>
      </w:r>
      <w:r w:rsidR="00861035" w:rsidRPr="00DA2A12">
        <w:t xml:space="preserve">, but according to Section 3.3.18 of Chapter 7 of the </w:t>
      </w:r>
      <w:r w:rsidR="00861035" w:rsidRPr="00DA2A12">
        <w:rPr>
          <w:i/>
          <w:lang w:val="en-CA"/>
        </w:rPr>
        <w:t>market rules</w:t>
      </w:r>
      <w:r w:rsidR="00861035">
        <w:rPr>
          <w:i/>
          <w:lang w:val="en-CA"/>
        </w:rPr>
        <w:t>,</w:t>
      </w:r>
      <w:r w:rsidR="00861035" w:rsidRPr="00861035">
        <w:t xml:space="preserve"> </w:t>
      </w:r>
      <w:r w:rsidR="00861035" w:rsidRPr="00DA2A12">
        <w:t xml:space="preserve">this price indicates the </w:t>
      </w:r>
      <w:r w:rsidR="00861035" w:rsidRPr="00A1142F">
        <w:t>load is</w:t>
      </w:r>
      <w:r w:rsidR="00861035" w:rsidRPr="00DA2A12">
        <w:t xml:space="preserve"> to be treated as </w:t>
      </w:r>
      <w:r w:rsidR="00861035" w:rsidRPr="00DA3379">
        <w:rPr>
          <w:i/>
        </w:rPr>
        <w:t>non-dispatchable</w:t>
      </w:r>
      <w:r w:rsidR="00861035" w:rsidRPr="00DA2A12">
        <w:t xml:space="preserve"> and</w:t>
      </w:r>
      <w:r w:rsidR="00861035">
        <w:t>,</w:t>
      </w:r>
      <w:r w:rsidR="00861035" w:rsidRPr="00DA2A12">
        <w:t xml:space="preserve"> </w:t>
      </w:r>
      <w:r w:rsidR="00861035">
        <w:t>therefore</w:t>
      </w:r>
      <w:r w:rsidR="00861035" w:rsidRPr="00DA2A12">
        <w:t>, it is not eligible for CMSC</w:t>
      </w:r>
      <w:r w:rsidR="00861035">
        <w:t>.</w:t>
      </w:r>
      <w:r w:rsidR="00E70CA7">
        <w:t xml:space="preserve"> In addition, and for </w:t>
      </w:r>
      <w:r w:rsidR="0036059A">
        <w:t xml:space="preserve">further certainty, a </w:t>
      </w:r>
      <w:r w:rsidR="0036059A" w:rsidRPr="00223B0C">
        <w:rPr>
          <w:i/>
        </w:rPr>
        <w:t>market participant</w:t>
      </w:r>
      <w:r w:rsidR="0036059A">
        <w:t xml:space="preserve"> registered as an </w:t>
      </w:r>
      <w:r w:rsidR="0036059A" w:rsidRPr="009F7E3E">
        <w:rPr>
          <w:i/>
        </w:rPr>
        <w:t>electricity storage facility</w:t>
      </w:r>
      <w:r w:rsidR="0036059A">
        <w:t xml:space="preserve"> is not entitled to change its load status </w:t>
      </w:r>
      <w:r w:rsidR="00861035">
        <w:t>as per</w:t>
      </w:r>
      <w:r w:rsidR="0036059A">
        <w:t xml:space="preserve"> </w:t>
      </w:r>
      <w:r w:rsidR="0036059A" w:rsidRPr="00D24700">
        <w:t>Market Manual 4: Market Operations, Part 4.2: Submission of Dispatch Data in the Real-Time Energy and Operating Reserve Markets</w:t>
      </w:r>
      <w:r w:rsidR="0036059A">
        <w:t>, section 2.4.1.</w:t>
      </w:r>
    </w:p>
    <w:p w14:paraId="0EA3FC2D" w14:textId="77777777" w:rsidR="00855CB7" w:rsidRDefault="00855CB7" w:rsidP="00133618">
      <w:pPr>
        <w:pStyle w:val="Heading4"/>
      </w:pPr>
      <w:r>
        <w:t>Assessment</w:t>
      </w:r>
    </w:p>
    <w:p w14:paraId="440DFE46" w14:textId="1CAC1FF7" w:rsidR="00C00BCA" w:rsidRPr="00A2715D" w:rsidRDefault="00C00BCA" w:rsidP="00C00BCA">
      <w:pPr>
        <w:pStyle w:val="BodyText"/>
        <w:rPr>
          <w:lang w:val="en-CA"/>
        </w:rPr>
      </w:pPr>
      <w:r w:rsidRPr="00A2715D">
        <w:rPr>
          <w:lang w:val="en-CA"/>
        </w:rPr>
        <w:t xml:space="preserve">The following </w:t>
      </w:r>
      <w:r>
        <w:rPr>
          <w:lang w:val="en-CA"/>
        </w:rPr>
        <w:t>b</w:t>
      </w:r>
      <w:r w:rsidRPr="00A2715D">
        <w:rPr>
          <w:lang w:val="en-CA"/>
        </w:rPr>
        <w:t xml:space="preserve">usiness </w:t>
      </w:r>
      <w:r>
        <w:rPr>
          <w:lang w:val="en-CA"/>
        </w:rPr>
        <w:t>r</w:t>
      </w:r>
      <w:r w:rsidRPr="00A2715D">
        <w:rPr>
          <w:lang w:val="en-CA"/>
        </w:rPr>
        <w:t xml:space="preserve">ules identify the criteria </w:t>
      </w:r>
      <w:r w:rsidR="0076734A">
        <w:rPr>
          <w:lang w:val="en-CA"/>
        </w:rPr>
        <w:t>we</w:t>
      </w:r>
      <w:r>
        <w:rPr>
          <w:lang w:val="en-CA"/>
        </w:rPr>
        <w:t xml:space="preserve"> </w:t>
      </w:r>
      <w:r w:rsidR="00432780">
        <w:rPr>
          <w:lang w:val="en-CA"/>
        </w:rPr>
        <w:t>use when</w:t>
      </w:r>
      <w:r w:rsidR="00432780" w:rsidRPr="00A2715D">
        <w:rPr>
          <w:lang w:val="en-CA"/>
        </w:rPr>
        <w:t xml:space="preserve"> </w:t>
      </w:r>
      <w:r w:rsidRPr="00A2715D">
        <w:rPr>
          <w:lang w:val="en-CA"/>
        </w:rPr>
        <w:t>recover</w:t>
      </w:r>
      <w:r w:rsidR="00432780">
        <w:rPr>
          <w:lang w:val="en-CA"/>
        </w:rPr>
        <w:t>ing</w:t>
      </w:r>
      <w:r w:rsidRPr="00A2715D">
        <w:rPr>
          <w:lang w:val="en-CA"/>
        </w:rPr>
        <w:t xml:space="preserve"> constrained-off CMSC paid to </w:t>
      </w:r>
      <w:r w:rsidR="00DA3379" w:rsidRPr="00DA3379">
        <w:rPr>
          <w:i/>
          <w:lang w:val="en-CA"/>
        </w:rPr>
        <w:t>dispatchable load facilities</w:t>
      </w:r>
      <w:r w:rsidR="0036059A">
        <w:rPr>
          <w:i/>
          <w:lang w:val="en-CA"/>
        </w:rPr>
        <w:t xml:space="preserve"> </w:t>
      </w:r>
      <w:r w:rsidR="0036059A">
        <w:rPr>
          <w:lang w:val="en-CA"/>
        </w:rPr>
        <w:t xml:space="preserve">or </w:t>
      </w:r>
      <w:r w:rsidR="0036059A" w:rsidRPr="00533FEF">
        <w:rPr>
          <w:i/>
          <w:lang w:val="en-CA"/>
        </w:rPr>
        <w:t>electricity storage facilities</w:t>
      </w:r>
      <w:r w:rsidR="0036059A">
        <w:rPr>
          <w:lang w:val="en-CA"/>
        </w:rPr>
        <w:t xml:space="preserve"> that withdraw</w:t>
      </w:r>
      <w:r w:rsidRPr="0070152B">
        <w:rPr>
          <w:i/>
          <w:lang w:val="en-CA"/>
        </w:rPr>
        <w:t>.</w:t>
      </w:r>
    </w:p>
    <w:p w14:paraId="67E0988C" w14:textId="77777777" w:rsidR="00C00BCA" w:rsidRPr="00DA2A12" w:rsidRDefault="00C00BCA" w:rsidP="00BB05B3">
      <w:pPr>
        <w:pStyle w:val="Bullet"/>
      </w:pPr>
      <w:r w:rsidRPr="00DA2A12">
        <w:t xml:space="preserve">Business Rule 1 – </w:t>
      </w:r>
      <w:r w:rsidR="007169D9">
        <w:t>M</w:t>
      </w:r>
      <w:r w:rsidR="007169D9" w:rsidRPr="00DA2A12">
        <w:t>ateriality</w:t>
      </w:r>
    </w:p>
    <w:p w14:paraId="2E4919E3" w14:textId="167A4430" w:rsidR="00C00BCA" w:rsidRPr="00DA2A12" w:rsidRDefault="00C00BCA" w:rsidP="00BB05B3">
      <w:pPr>
        <w:pStyle w:val="BodyTextNumContinue"/>
        <w:tabs>
          <w:tab w:val="num" w:pos="720"/>
        </w:tabs>
        <w:rPr>
          <w:lang w:val="en-CA"/>
        </w:rPr>
      </w:pPr>
      <w:r w:rsidRPr="00DA2A12">
        <w:rPr>
          <w:lang w:val="en-CA"/>
        </w:rPr>
        <w:t xml:space="preserve">Constrained-off CMSC is allowed </w:t>
      </w:r>
      <w:r>
        <w:rPr>
          <w:lang w:val="en-CA"/>
        </w:rPr>
        <w:t xml:space="preserve">for an interval </w:t>
      </w:r>
      <w:r w:rsidRPr="00DA2A12">
        <w:rPr>
          <w:lang w:val="en-CA"/>
        </w:rPr>
        <w:t xml:space="preserve">if the total amount of CMSC paid </w:t>
      </w:r>
      <w:r>
        <w:rPr>
          <w:lang w:val="en-CA"/>
        </w:rPr>
        <w:t>during</w:t>
      </w:r>
      <w:r w:rsidRPr="00DA2A12">
        <w:rPr>
          <w:lang w:val="en-CA"/>
        </w:rPr>
        <w:t xml:space="preserve"> that </w:t>
      </w:r>
      <w:r w:rsidRPr="0070152B">
        <w:rPr>
          <w:i/>
          <w:lang w:val="en-CA"/>
        </w:rPr>
        <w:t>trading day</w:t>
      </w:r>
      <w:r w:rsidRPr="00DA2A12">
        <w:rPr>
          <w:lang w:val="en-CA"/>
        </w:rPr>
        <w:t xml:space="preserve"> to that </w:t>
      </w:r>
      <w:r w:rsidRPr="0070152B">
        <w:rPr>
          <w:i/>
          <w:lang w:val="en-CA"/>
        </w:rPr>
        <w:t>dispatchable load</w:t>
      </w:r>
      <w:r w:rsidRPr="00DA2A12">
        <w:rPr>
          <w:lang w:val="en-CA"/>
        </w:rPr>
        <w:t xml:space="preserve"> </w:t>
      </w:r>
      <w:r w:rsidR="0036059A">
        <w:rPr>
          <w:lang w:val="en-CA"/>
        </w:rPr>
        <w:t xml:space="preserve">or </w:t>
      </w:r>
      <w:r w:rsidR="0036059A">
        <w:rPr>
          <w:i/>
          <w:lang w:val="en-CA"/>
        </w:rPr>
        <w:t xml:space="preserve">electricity storage facility </w:t>
      </w:r>
      <w:r w:rsidR="0036059A">
        <w:rPr>
          <w:lang w:val="en-CA"/>
        </w:rPr>
        <w:t xml:space="preserve">that withdraws </w:t>
      </w:r>
      <w:r w:rsidRPr="00DA2A12">
        <w:rPr>
          <w:lang w:val="en-CA"/>
        </w:rPr>
        <w:t xml:space="preserve">is </w:t>
      </w:r>
      <w:r>
        <w:rPr>
          <w:lang w:val="en-CA"/>
        </w:rPr>
        <w:t>less than</w:t>
      </w:r>
      <w:r w:rsidRPr="00DA2A12">
        <w:rPr>
          <w:lang w:val="en-CA"/>
        </w:rPr>
        <w:t xml:space="preserve"> </w:t>
      </w:r>
      <w:r w:rsidR="00590FB9">
        <w:t xml:space="preserve">a </w:t>
      </w:r>
      <w:r w:rsidR="00590FB9">
        <w:lastRenderedPageBreak/>
        <w:t>specified threshold</w:t>
      </w:r>
      <w:r w:rsidRPr="00DA2A12">
        <w:rPr>
          <w:lang w:val="en-CA"/>
        </w:rPr>
        <w:t xml:space="preserve">. </w:t>
      </w:r>
      <w:r w:rsidR="00BA295D">
        <w:rPr>
          <w:lang w:val="en-CA"/>
        </w:rPr>
        <w:t xml:space="preserve"> </w:t>
      </w:r>
      <w:r w:rsidRPr="00DA2A12">
        <w:rPr>
          <w:lang w:val="en-CA"/>
        </w:rPr>
        <w:t>The daily total includes negative CMSC.</w:t>
      </w:r>
      <w:r w:rsidR="00590FB9" w:rsidRPr="00590FB9">
        <w:t xml:space="preserve"> </w:t>
      </w:r>
      <w:r w:rsidR="00590FB9">
        <w:t xml:space="preserve">The threshold is currently set </w:t>
      </w:r>
      <w:r w:rsidR="00590FB9" w:rsidRPr="000719EF">
        <w:rPr>
          <w:color w:val="000000" w:themeColor="text1"/>
        </w:rPr>
        <w:t xml:space="preserve">at $0 removing </w:t>
      </w:r>
      <w:r w:rsidR="00590FB9">
        <w:t>any exemptions and which replaces the previously set threshold of $4000.</w:t>
      </w:r>
    </w:p>
    <w:p w14:paraId="4572E9F0" w14:textId="77777777" w:rsidR="00C00BCA" w:rsidRPr="00B27412" w:rsidRDefault="00C00BCA" w:rsidP="00BB05B3">
      <w:pPr>
        <w:pStyle w:val="Bullet"/>
      </w:pPr>
      <w:r w:rsidRPr="00B27412">
        <w:t xml:space="preserve">Business Rule 2 </w:t>
      </w:r>
      <w:r w:rsidRPr="00DA2A12">
        <w:t>–</w:t>
      </w:r>
      <w:r>
        <w:t xml:space="preserve"> </w:t>
      </w:r>
      <w:r w:rsidR="00DA3379" w:rsidRPr="00DA3379">
        <w:rPr>
          <w:i/>
        </w:rPr>
        <w:t>Non-Dispatchable</w:t>
      </w:r>
      <w:r w:rsidR="007169D9" w:rsidRPr="00B27412">
        <w:t xml:space="preserve"> </w:t>
      </w:r>
      <w:r w:rsidR="007169D9">
        <w:t>P</w:t>
      </w:r>
      <w:r w:rsidR="007169D9" w:rsidRPr="00B27412">
        <w:t xml:space="preserve">ortion </w:t>
      </w:r>
      <w:r w:rsidRPr="00B27412">
        <w:t xml:space="preserve">of </w:t>
      </w:r>
      <w:r w:rsidR="007169D9">
        <w:t>L</w:t>
      </w:r>
      <w:r w:rsidR="007169D9" w:rsidRPr="00B27412">
        <w:t>oad</w:t>
      </w:r>
    </w:p>
    <w:p w14:paraId="6485792C" w14:textId="77777777" w:rsidR="00AB66A5" w:rsidRDefault="00C00BCA">
      <w:pPr>
        <w:pStyle w:val="BodyTextNumContinue"/>
        <w:tabs>
          <w:tab w:val="num" w:pos="720"/>
        </w:tabs>
      </w:pPr>
      <w:r w:rsidRPr="00B27412">
        <w:rPr>
          <w:lang w:val="en-CA"/>
        </w:rPr>
        <w:t>Constrained</w:t>
      </w:r>
      <w:r>
        <w:rPr>
          <w:lang w:val="en-CA"/>
        </w:rPr>
        <w:t>-off CMSC is not allowed for an</w:t>
      </w:r>
      <w:r w:rsidRPr="00B27412">
        <w:rPr>
          <w:lang w:val="en-CA"/>
        </w:rPr>
        <w:t xml:space="preserve"> interval if it is paid for portions of the schedule where the load has </w:t>
      </w:r>
      <w:r w:rsidRPr="0070152B">
        <w:rPr>
          <w:i/>
          <w:lang w:val="en-CA"/>
        </w:rPr>
        <w:t>bid</w:t>
      </w:r>
      <w:r w:rsidRPr="00B27412">
        <w:rPr>
          <w:lang w:val="en-CA"/>
        </w:rPr>
        <w:t xml:space="preserve"> </w:t>
      </w:r>
      <w:r w:rsidR="00432780">
        <w:rPr>
          <w:lang w:val="en-CA"/>
        </w:rPr>
        <w:t>+</w:t>
      </w:r>
      <w:r w:rsidRPr="00563901">
        <w:rPr>
          <w:i/>
          <w:lang w:val="en-CA"/>
        </w:rPr>
        <w:t>MMCP</w:t>
      </w:r>
      <w:r w:rsidRPr="00B27412">
        <w:rPr>
          <w:lang w:val="en-CA"/>
        </w:rPr>
        <w:t xml:space="preserve">, indicating that it is </w:t>
      </w:r>
      <w:r w:rsidR="00DA3379" w:rsidRPr="00DA3379">
        <w:rPr>
          <w:i/>
          <w:lang w:val="en-CA"/>
        </w:rPr>
        <w:t>non-dispatchable</w:t>
      </w:r>
      <w:r w:rsidRPr="00B27412">
        <w:rPr>
          <w:lang w:val="en-CA"/>
        </w:rPr>
        <w:t xml:space="preserve"> in that range. </w:t>
      </w:r>
      <w:r w:rsidR="00BA295D">
        <w:rPr>
          <w:lang w:val="en-CA"/>
        </w:rPr>
        <w:t xml:space="preserve"> </w:t>
      </w:r>
      <w:r w:rsidRPr="00B27412">
        <w:rPr>
          <w:lang w:val="en-CA"/>
        </w:rPr>
        <w:t>This business rule applies unless CMSC is allowed because</w:t>
      </w:r>
      <w:r w:rsidR="007169D9">
        <w:rPr>
          <w:lang w:val="en-CA"/>
        </w:rPr>
        <w:t xml:space="preserve"> o</w:t>
      </w:r>
      <w:r w:rsidR="00B658A8" w:rsidRPr="00C00BCA">
        <w:t xml:space="preserve">f </w:t>
      </w:r>
      <w:r w:rsidRPr="00C00BCA">
        <w:t>materiality (Business Rule 1).</w:t>
      </w:r>
    </w:p>
    <w:p w14:paraId="6F8676C8" w14:textId="77777777" w:rsidR="00C00BCA" w:rsidRPr="00B27412" w:rsidRDefault="00C00BCA" w:rsidP="00BB05B3">
      <w:pPr>
        <w:pStyle w:val="Bullet"/>
      </w:pPr>
      <w:r w:rsidRPr="00B27412">
        <w:t xml:space="preserve">Business Rule 3 – </w:t>
      </w:r>
      <w:r w:rsidR="00DA3379" w:rsidRPr="00DA3379">
        <w:rPr>
          <w:i/>
        </w:rPr>
        <w:t>Dispatch</w:t>
      </w:r>
      <w:r w:rsidR="007169D9" w:rsidRPr="00B27412">
        <w:t xml:space="preserve"> </w:t>
      </w:r>
      <w:r w:rsidR="007169D9">
        <w:t>D</w:t>
      </w:r>
      <w:r w:rsidR="007169D9" w:rsidRPr="00B27412">
        <w:t>eviation</w:t>
      </w:r>
    </w:p>
    <w:p w14:paraId="1487C2C8" w14:textId="77777777" w:rsidR="00C00BCA" w:rsidRPr="00B27412" w:rsidRDefault="00C00BCA" w:rsidP="00C00BCA">
      <w:pPr>
        <w:pStyle w:val="BodyTextNumContinue"/>
        <w:rPr>
          <w:lang w:val="en-CA"/>
        </w:rPr>
      </w:pPr>
      <w:r w:rsidRPr="00B27412">
        <w:rPr>
          <w:lang w:val="en-CA"/>
        </w:rPr>
        <w:t>Constrained</w:t>
      </w:r>
      <w:r>
        <w:rPr>
          <w:lang w:val="en-CA"/>
        </w:rPr>
        <w:t>-off CMSC is not allowed for an</w:t>
      </w:r>
      <w:r w:rsidRPr="00B27412">
        <w:rPr>
          <w:lang w:val="en-CA"/>
        </w:rPr>
        <w:t xml:space="preserve"> interval if the current 5-minute constrained schedule exceeds the </w:t>
      </w:r>
      <w:r w:rsidR="00DA3379" w:rsidRPr="00DA3379">
        <w:rPr>
          <w:i/>
          <w:lang w:val="en-CA"/>
        </w:rPr>
        <w:t>revenue meter</w:t>
      </w:r>
      <w:r w:rsidRPr="00B27412">
        <w:rPr>
          <w:lang w:val="en-CA"/>
        </w:rPr>
        <w:t xml:space="preserve"> value in the previous interval plus 2.5 minutes of ramping. </w:t>
      </w:r>
      <w:r w:rsidR="00BA295D">
        <w:rPr>
          <w:lang w:val="en-CA"/>
        </w:rPr>
        <w:t xml:space="preserve"> </w:t>
      </w:r>
      <w:r w:rsidRPr="00B27412">
        <w:rPr>
          <w:lang w:val="en-CA"/>
        </w:rPr>
        <w:t>This business rule will be applied unless CMSC is allowed because:</w:t>
      </w:r>
    </w:p>
    <w:p w14:paraId="37482A54" w14:textId="77777777" w:rsidR="00C00BCA" w:rsidRPr="00C00BCA" w:rsidRDefault="007169D9" w:rsidP="00C40E32">
      <w:pPr>
        <w:pStyle w:val="ListBullet"/>
      </w:pPr>
      <w:r>
        <w:t>o</w:t>
      </w:r>
      <w:r w:rsidRPr="00C00BCA">
        <w:t xml:space="preserve">f </w:t>
      </w:r>
      <w:r w:rsidR="00C00BCA" w:rsidRPr="00C00BCA">
        <w:t>materiality (Business Rule 1); or</w:t>
      </w:r>
    </w:p>
    <w:p w14:paraId="668CB0C7" w14:textId="1146CCAA" w:rsidR="00C00BCA" w:rsidRPr="00C00BCA" w:rsidRDefault="007169D9" w:rsidP="00C40E32">
      <w:pPr>
        <w:pStyle w:val="ListBullet"/>
      </w:pPr>
      <w:r>
        <w:t>t</w:t>
      </w:r>
      <w:r w:rsidRPr="00C00BCA">
        <w:t xml:space="preserve">he </w:t>
      </w:r>
      <w:r w:rsidR="00C00BCA" w:rsidRPr="00C00BCA">
        <w:t xml:space="preserve">load </w:t>
      </w:r>
      <w:r w:rsidR="0036059A">
        <w:t xml:space="preserve">or dispatchable </w:t>
      </w:r>
      <w:r w:rsidR="0036059A">
        <w:rPr>
          <w:i/>
        </w:rPr>
        <w:t xml:space="preserve">electricity storage facility </w:t>
      </w:r>
      <w:r w:rsidR="0036059A">
        <w:t xml:space="preserve">that withdraws </w:t>
      </w:r>
      <w:r w:rsidR="00C00BCA" w:rsidRPr="00C00BCA">
        <w:t>has been constrained-off economically (see Definition 1 below); or</w:t>
      </w:r>
    </w:p>
    <w:p w14:paraId="3E66C172" w14:textId="77777777" w:rsidR="00C00BCA" w:rsidRPr="00C00BCA" w:rsidRDefault="008D2B24" w:rsidP="00C40E32">
      <w:pPr>
        <w:pStyle w:val="ListBullet"/>
      </w:pPr>
      <w:r>
        <w:rPr>
          <w:i/>
        </w:rPr>
        <w:t>o</w:t>
      </w:r>
      <w:r w:rsidRPr="00C40E32">
        <w:rPr>
          <w:i/>
        </w:rPr>
        <w:t xml:space="preserve">perating </w:t>
      </w:r>
      <w:r w:rsidR="00C00BCA" w:rsidRPr="00C40E32">
        <w:rPr>
          <w:i/>
        </w:rPr>
        <w:t>reserve</w:t>
      </w:r>
      <w:r w:rsidR="00C00BCA" w:rsidRPr="00C00BCA">
        <w:t xml:space="preserve"> has been activated (see Definition 2 below); or</w:t>
      </w:r>
    </w:p>
    <w:p w14:paraId="0718159F" w14:textId="263E8113" w:rsidR="00C00BCA" w:rsidRPr="00C00BCA" w:rsidRDefault="008D2B24" w:rsidP="00C40E32">
      <w:pPr>
        <w:pStyle w:val="ListBullet"/>
      </w:pPr>
      <w:r>
        <w:t>t</w:t>
      </w:r>
      <w:r w:rsidRPr="00C00BCA">
        <w:t xml:space="preserve">he </w:t>
      </w:r>
      <w:r w:rsidR="00C00BCA" w:rsidRPr="00C00BCA">
        <w:t>load</w:t>
      </w:r>
      <w:r w:rsidR="0036059A" w:rsidRPr="0036059A">
        <w:t xml:space="preserve"> </w:t>
      </w:r>
      <w:r w:rsidR="0036059A">
        <w:t xml:space="preserve">or dispatchable </w:t>
      </w:r>
      <w:r w:rsidR="0036059A">
        <w:rPr>
          <w:i/>
        </w:rPr>
        <w:t xml:space="preserve">electricity storage facility </w:t>
      </w:r>
      <w:r w:rsidR="0036059A">
        <w:t xml:space="preserve">that withdraws </w:t>
      </w:r>
      <w:r w:rsidR="00C00BCA" w:rsidRPr="00C00BCA">
        <w:t>is ramping (see Definition 3 below); or</w:t>
      </w:r>
    </w:p>
    <w:p w14:paraId="42023B1F" w14:textId="4A46EC23" w:rsidR="00C00BCA" w:rsidRPr="00C00BCA" w:rsidRDefault="008D2B24" w:rsidP="00054139">
      <w:pPr>
        <w:pStyle w:val="ListBullet"/>
      </w:pPr>
      <w:r>
        <w:t>t</w:t>
      </w:r>
      <w:r w:rsidRPr="00C00BCA">
        <w:t xml:space="preserve">he </w:t>
      </w:r>
      <w:r w:rsidR="00C00BCA" w:rsidRPr="00C00BCA">
        <w:t xml:space="preserve">load </w:t>
      </w:r>
      <w:r w:rsidR="0036059A">
        <w:t xml:space="preserve">or dispatchable </w:t>
      </w:r>
      <w:r w:rsidR="0036059A">
        <w:rPr>
          <w:i/>
        </w:rPr>
        <w:t xml:space="preserve">electricity storage facility </w:t>
      </w:r>
      <w:r w:rsidR="0036059A">
        <w:t xml:space="preserve">that withdraws </w:t>
      </w:r>
      <w:r w:rsidR="00C00BCA" w:rsidRPr="00C00BCA">
        <w:t xml:space="preserve">has been manually dispatched down for </w:t>
      </w:r>
      <w:r w:rsidR="00C00BCA" w:rsidRPr="00C40E32">
        <w:rPr>
          <w:i/>
        </w:rPr>
        <w:t>reliability</w:t>
      </w:r>
      <w:r w:rsidR="00C00BCA" w:rsidRPr="00C40E32">
        <w:t xml:space="preserve"> </w:t>
      </w:r>
      <w:r w:rsidR="00C00BCA" w:rsidRPr="00C00BCA">
        <w:t>(see Definition 4).</w:t>
      </w:r>
    </w:p>
    <w:p w14:paraId="6AA2DD3D" w14:textId="77777777" w:rsidR="00B733CC" w:rsidRDefault="00C00BCA" w:rsidP="001B4599">
      <w:pPr>
        <w:pStyle w:val="Bullet"/>
        <w:spacing w:before="240" w:after="120"/>
        <w:ind w:left="714" w:hanging="357"/>
      </w:pPr>
      <w:r w:rsidRPr="00B27412">
        <w:t xml:space="preserve">Business Rule 4 – </w:t>
      </w:r>
      <w:r w:rsidR="008D2B24">
        <w:rPr>
          <w:i/>
        </w:rPr>
        <w:t>F</w:t>
      </w:r>
      <w:r w:rsidR="008D2B24" w:rsidRPr="0070152B">
        <w:rPr>
          <w:i/>
        </w:rPr>
        <w:t>acility</w:t>
      </w:r>
      <w:r w:rsidR="008D2B24" w:rsidRPr="00B27412">
        <w:t xml:space="preserve"> </w:t>
      </w:r>
      <w:r w:rsidR="008D2B24">
        <w:t>O</w:t>
      </w:r>
      <w:r w:rsidR="008D2B24" w:rsidRPr="00B27412">
        <w:t>ff</w:t>
      </w:r>
      <w:r w:rsidRPr="00B27412">
        <w:t>-</w:t>
      </w:r>
      <w:r w:rsidR="008D2B24">
        <w:t>L</w:t>
      </w:r>
      <w:r w:rsidR="008D2B24" w:rsidRPr="00B27412">
        <w:t xml:space="preserve">ine </w:t>
      </w:r>
      <w:r w:rsidRPr="00B27412">
        <w:t xml:space="preserve">or </w:t>
      </w:r>
      <w:r w:rsidR="008D2B24">
        <w:t>U</w:t>
      </w:r>
      <w:r w:rsidR="008D2B24" w:rsidRPr="00B27412">
        <w:t xml:space="preserve">nable </w:t>
      </w:r>
      <w:r w:rsidRPr="00B27412">
        <w:t xml:space="preserve">to </w:t>
      </w:r>
      <w:r w:rsidR="008D2B24">
        <w:t>F</w:t>
      </w:r>
      <w:r w:rsidR="008D2B24" w:rsidRPr="00B27412">
        <w:t xml:space="preserve">ollow </w:t>
      </w:r>
      <w:r w:rsidR="008D2B24">
        <w:rPr>
          <w:i/>
        </w:rPr>
        <w:t>D</w:t>
      </w:r>
      <w:r w:rsidR="008D2B24" w:rsidRPr="0070152B">
        <w:rPr>
          <w:i/>
        </w:rPr>
        <w:t>ispatch</w:t>
      </w:r>
      <w:r w:rsidR="008D2B24">
        <w:rPr>
          <w:i/>
        </w:rPr>
        <w:t xml:space="preserve"> Instructions</w:t>
      </w:r>
    </w:p>
    <w:p w14:paraId="050E6A38" w14:textId="77777777" w:rsidR="00C00BCA" w:rsidRPr="00B27412" w:rsidRDefault="00C00BCA">
      <w:pPr>
        <w:pStyle w:val="BodyTextNumContinue"/>
        <w:rPr>
          <w:lang w:val="en-CA"/>
        </w:rPr>
      </w:pPr>
      <w:r w:rsidRPr="00B27412">
        <w:rPr>
          <w:lang w:val="en-CA"/>
        </w:rPr>
        <w:t>Constrained-</w:t>
      </w:r>
      <w:r>
        <w:rPr>
          <w:lang w:val="en-CA"/>
        </w:rPr>
        <w:t>off CMSC is not allowed for an</w:t>
      </w:r>
      <w:r w:rsidRPr="00B27412">
        <w:rPr>
          <w:lang w:val="en-CA"/>
        </w:rPr>
        <w:t xml:space="preserve"> interval if the constrained schedule is 0 MW and consumption is </w:t>
      </w:r>
      <w:r>
        <w:rPr>
          <w:lang w:val="en-CA"/>
        </w:rPr>
        <w:t>less than</w:t>
      </w:r>
      <w:r w:rsidRPr="00B27412">
        <w:rPr>
          <w:lang w:val="en-CA"/>
        </w:rPr>
        <w:t xml:space="preserve"> 1 MW, or if consumption is 0 MW. </w:t>
      </w:r>
      <w:r w:rsidR="00BA295D">
        <w:rPr>
          <w:lang w:val="en-CA"/>
        </w:rPr>
        <w:t xml:space="preserve"> </w:t>
      </w:r>
      <w:r w:rsidRPr="00B27412">
        <w:rPr>
          <w:lang w:val="en-CA"/>
        </w:rPr>
        <w:t>This business rule will be applied unless CMSC is allowed because:</w:t>
      </w:r>
    </w:p>
    <w:p w14:paraId="150D9FE4" w14:textId="77777777" w:rsidR="00C00BCA" w:rsidRPr="00C00BCA" w:rsidRDefault="001E395C" w:rsidP="00C40E32">
      <w:pPr>
        <w:pStyle w:val="ListBullet"/>
      </w:pPr>
      <w:r>
        <w:t>o</w:t>
      </w:r>
      <w:r w:rsidR="008D2B24" w:rsidRPr="00C00BCA">
        <w:t xml:space="preserve">f </w:t>
      </w:r>
      <w:r w:rsidR="00C00BCA" w:rsidRPr="00C00BCA">
        <w:t>materiality (Business Rule 1); or</w:t>
      </w:r>
    </w:p>
    <w:p w14:paraId="46BBB47C" w14:textId="46EA7BBC" w:rsidR="00C00BCA" w:rsidRPr="00C00BCA" w:rsidRDefault="00377577" w:rsidP="00C40E32">
      <w:pPr>
        <w:pStyle w:val="ListBullet"/>
      </w:pPr>
      <w:r>
        <w:t>t</w:t>
      </w:r>
      <w:r w:rsidR="008D2B24" w:rsidRPr="00C00BCA">
        <w:t xml:space="preserve">he </w:t>
      </w:r>
      <w:r w:rsidR="00C00BCA" w:rsidRPr="00C00BCA">
        <w:t>load</w:t>
      </w:r>
      <w:r w:rsidR="0036059A" w:rsidRPr="0036059A">
        <w:t xml:space="preserve"> </w:t>
      </w:r>
      <w:r w:rsidR="0036059A">
        <w:t xml:space="preserve">or dispatchable </w:t>
      </w:r>
      <w:r w:rsidR="0036059A">
        <w:rPr>
          <w:i/>
        </w:rPr>
        <w:t xml:space="preserve">electricity storage facility </w:t>
      </w:r>
      <w:r w:rsidR="0036059A">
        <w:t xml:space="preserve">that withdraws </w:t>
      </w:r>
      <w:r w:rsidR="00C00BCA" w:rsidRPr="00C00BCA">
        <w:t>has been constrained-off economically (see Definition 1); or</w:t>
      </w:r>
    </w:p>
    <w:p w14:paraId="2A07DDE7" w14:textId="77777777" w:rsidR="00C00BCA" w:rsidRPr="00C00BCA" w:rsidRDefault="00377577" w:rsidP="00C40E32">
      <w:pPr>
        <w:pStyle w:val="ListBullet"/>
      </w:pPr>
      <w:r>
        <w:rPr>
          <w:i/>
        </w:rPr>
        <w:t>o</w:t>
      </w:r>
      <w:r w:rsidR="008D2B24" w:rsidRPr="00C40E32">
        <w:rPr>
          <w:i/>
        </w:rPr>
        <w:t xml:space="preserve">perating </w:t>
      </w:r>
      <w:r w:rsidR="00C00BCA" w:rsidRPr="00C40E32">
        <w:rPr>
          <w:i/>
        </w:rPr>
        <w:t>reserve</w:t>
      </w:r>
      <w:r w:rsidR="00C00BCA" w:rsidRPr="00C00BCA">
        <w:t xml:space="preserve"> has been activated (see Definition 2); or</w:t>
      </w:r>
    </w:p>
    <w:p w14:paraId="0AD8AD21" w14:textId="7D3C704C" w:rsidR="005C4EFA" w:rsidRDefault="00377577" w:rsidP="00C40E32">
      <w:pPr>
        <w:pStyle w:val="ListBullet"/>
      </w:pPr>
      <w:r>
        <w:t>t</w:t>
      </w:r>
      <w:r w:rsidR="008D2B24" w:rsidRPr="00C00BCA">
        <w:t xml:space="preserve">he </w:t>
      </w:r>
      <w:r w:rsidR="00C00BCA" w:rsidRPr="00C00BCA">
        <w:t xml:space="preserve">load </w:t>
      </w:r>
      <w:r w:rsidR="0036059A">
        <w:t xml:space="preserve">or dispatchable </w:t>
      </w:r>
      <w:r w:rsidR="0036059A">
        <w:rPr>
          <w:i/>
        </w:rPr>
        <w:t xml:space="preserve">electricity storage facility </w:t>
      </w:r>
      <w:r w:rsidR="0036059A">
        <w:t xml:space="preserve">that withdraws </w:t>
      </w:r>
      <w:r w:rsidR="00C00BCA" w:rsidRPr="00C00BCA">
        <w:t xml:space="preserve">has been manually dispatched down for </w:t>
      </w:r>
      <w:r w:rsidR="00C00BCA" w:rsidRPr="00C40E32">
        <w:rPr>
          <w:i/>
        </w:rPr>
        <w:t>reliability</w:t>
      </w:r>
      <w:r w:rsidR="00C00BCA" w:rsidRPr="00C00BCA">
        <w:t xml:space="preserve"> (see Definition 4).</w:t>
      </w:r>
    </w:p>
    <w:p w14:paraId="35768608" w14:textId="77777777" w:rsidR="00C00BCA" w:rsidRPr="00B27412" w:rsidRDefault="00C00BCA" w:rsidP="006E37DA">
      <w:pPr>
        <w:pStyle w:val="BodyText"/>
        <w:spacing w:before="360"/>
        <w:rPr>
          <w:lang w:val="en-CA"/>
        </w:rPr>
      </w:pPr>
      <w:r w:rsidRPr="00B27412">
        <w:rPr>
          <w:lang w:val="en-CA"/>
        </w:rPr>
        <w:t>The business rules are supported by the following definitions:</w:t>
      </w:r>
    </w:p>
    <w:p w14:paraId="1F00BFD8" w14:textId="77777777" w:rsidR="00B733CC" w:rsidRDefault="00C00BCA">
      <w:pPr>
        <w:pStyle w:val="Bullet"/>
      </w:pPr>
      <w:r>
        <w:t xml:space="preserve">Definition 0 – </w:t>
      </w:r>
      <w:r w:rsidRPr="00FE7287">
        <w:rPr>
          <w:i/>
        </w:rPr>
        <w:t>constrained off event</w:t>
      </w:r>
      <w:r w:rsidR="008D2B24">
        <w:t>.</w:t>
      </w:r>
    </w:p>
    <w:p w14:paraId="7ACC7A43" w14:textId="77777777" w:rsidR="00B733CC" w:rsidRDefault="00C00BCA" w:rsidP="00906BEF">
      <w:pPr>
        <w:pStyle w:val="BodyTextNumContinue"/>
        <w:ind w:left="540"/>
        <w:rPr>
          <w:lang w:val="en-CA"/>
        </w:rPr>
      </w:pPr>
      <w:r>
        <w:rPr>
          <w:lang w:val="en-CA"/>
        </w:rPr>
        <w:t xml:space="preserve">A </w:t>
      </w:r>
      <w:r w:rsidRPr="00FE7287">
        <w:rPr>
          <w:i/>
          <w:lang w:val="en-CA"/>
        </w:rPr>
        <w:t>constrained off event</w:t>
      </w:r>
      <w:r w:rsidRPr="00B27412">
        <w:rPr>
          <w:lang w:val="en-CA"/>
        </w:rPr>
        <w:t xml:space="preserve"> comprises one or more consecutive intervals where</w:t>
      </w:r>
      <w:r w:rsidR="00B658A8">
        <w:rPr>
          <w:lang w:val="en-CA"/>
        </w:rPr>
        <w:t>:</w:t>
      </w:r>
    </w:p>
    <w:p w14:paraId="117B5068" w14:textId="77777777" w:rsidR="00C00BCA" w:rsidRPr="00C00BCA" w:rsidRDefault="008D2B24" w:rsidP="00C40E32">
      <w:pPr>
        <w:pStyle w:val="ListBullet"/>
      </w:pPr>
      <w:r>
        <w:rPr>
          <w:i/>
        </w:rPr>
        <w:t>m</w:t>
      </w:r>
      <w:r w:rsidRPr="00C40E32">
        <w:rPr>
          <w:i/>
        </w:rPr>
        <w:t xml:space="preserve">arket </w:t>
      </w:r>
      <w:r w:rsidR="00C00BCA" w:rsidRPr="00C40E32">
        <w:rPr>
          <w:i/>
        </w:rPr>
        <w:t>schedule</w:t>
      </w:r>
      <w:r w:rsidR="00C00BCA" w:rsidRPr="00C00BCA">
        <w:t xml:space="preserve"> &gt; constrained schedule; and</w:t>
      </w:r>
    </w:p>
    <w:p w14:paraId="42C86732" w14:textId="77777777" w:rsidR="00C00BCA" w:rsidRPr="00C00BCA" w:rsidRDefault="008D2B24" w:rsidP="00C40E32">
      <w:pPr>
        <w:pStyle w:val="ListBullet"/>
      </w:pPr>
      <w:r>
        <w:rPr>
          <w:i/>
        </w:rPr>
        <w:t>m</w:t>
      </w:r>
      <w:r w:rsidRPr="00C40E32">
        <w:rPr>
          <w:i/>
        </w:rPr>
        <w:t xml:space="preserve">arket </w:t>
      </w:r>
      <w:r w:rsidR="00C00BCA" w:rsidRPr="00C40E32">
        <w:rPr>
          <w:i/>
        </w:rPr>
        <w:t>schedule</w:t>
      </w:r>
      <w:r w:rsidR="00C00BCA" w:rsidRPr="00C00BCA">
        <w:t xml:space="preserve"> &gt; AQEW.</w:t>
      </w:r>
    </w:p>
    <w:p w14:paraId="1D2BB299" w14:textId="77777777" w:rsidR="00B733CC" w:rsidRDefault="00C00BCA">
      <w:pPr>
        <w:pStyle w:val="Bullet"/>
        <w:spacing w:before="240"/>
      </w:pPr>
      <w:r w:rsidRPr="00B27412">
        <w:t xml:space="preserve">Definition 1 – economically </w:t>
      </w:r>
      <w:r w:rsidR="00397AEE" w:rsidRPr="00397AEE">
        <w:rPr>
          <w:i/>
        </w:rPr>
        <w:t>constrained</w:t>
      </w:r>
      <w:r w:rsidR="00645315">
        <w:rPr>
          <w:i/>
        </w:rPr>
        <w:t xml:space="preserve"> </w:t>
      </w:r>
      <w:r w:rsidR="00397AEE" w:rsidRPr="00397AEE">
        <w:rPr>
          <w:i/>
        </w:rPr>
        <w:t>off</w:t>
      </w:r>
    </w:p>
    <w:p w14:paraId="306F4B5C" w14:textId="087C0137" w:rsidR="00C00BCA" w:rsidRPr="00B27412" w:rsidRDefault="00C00BCA" w:rsidP="00C00BCA">
      <w:pPr>
        <w:pStyle w:val="BodyTextNumContinue"/>
        <w:rPr>
          <w:lang w:val="en-CA"/>
        </w:rPr>
      </w:pPr>
      <w:r w:rsidRPr="00B27412">
        <w:rPr>
          <w:lang w:val="en-CA"/>
        </w:rPr>
        <w:t xml:space="preserve">A </w:t>
      </w:r>
      <w:r w:rsidRPr="0070152B">
        <w:rPr>
          <w:i/>
          <w:lang w:val="en-CA"/>
        </w:rPr>
        <w:t>dispatchable load</w:t>
      </w:r>
      <w:r w:rsidRPr="00B27412">
        <w:rPr>
          <w:lang w:val="en-CA"/>
        </w:rPr>
        <w:t xml:space="preserve"> </w:t>
      </w:r>
      <w:r w:rsidR="0036059A">
        <w:t xml:space="preserve">or </w:t>
      </w:r>
      <w:r w:rsidR="00876D3C">
        <w:t xml:space="preserve">a </w:t>
      </w:r>
      <w:r w:rsidR="0036059A">
        <w:t xml:space="preserve">dispatchable </w:t>
      </w:r>
      <w:r w:rsidR="0036059A">
        <w:rPr>
          <w:i/>
        </w:rPr>
        <w:t xml:space="preserve">electricity storage facility </w:t>
      </w:r>
      <w:r w:rsidR="0036059A">
        <w:t xml:space="preserve">that withdraws </w:t>
      </w:r>
      <w:r w:rsidRPr="00B27412">
        <w:rPr>
          <w:lang w:val="en-CA"/>
        </w:rPr>
        <w:t>is considered to be ‘economically constrained-off’ in an interval if the relevant nodal price</w:t>
      </w:r>
      <w:r>
        <w:rPr>
          <w:lang w:val="en-CA"/>
        </w:rPr>
        <w:t xml:space="preserve"> is</w:t>
      </w:r>
      <w:r w:rsidRPr="00B27412">
        <w:rPr>
          <w:lang w:val="en-CA"/>
        </w:rPr>
        <w:t xml:space="preserve"> </w:t>
      </w:r>
      <w:r>
        <w:rPr>
          <w:lang w:val="en-CA"/>
        </w:rPr>
        <w:t>greater than or equal to the</w:t>
      </w:r>
      <w:r w:rsidRPr="00B27412">
        <w:rPr>
          <w:lang w:val="en-CA"/>
        </w:rPr>
        <w:t xml:space="preserve"> </w:t>
      </w:r>
      <w:r w:rsidRPr="00FE7287">
        <w:rPr>
          <w:i/>
          <w:lang w:val="en-CA"/>
        </w:rPr>
        <w:t>bid</w:t>
      </w:r>
      <w:r w:rsidRPr="00B27412">
        <w:rPr>
          <w:lang w:val="en-CA"/>
        </w:rPr>
        <w:t xml:space="preserve"> price for either the current interval, the next interval or the previous interval. </w:t>
      </w:r>
      <w:r w:rsidR="00BA295D">
        <w:rPr>
          <w:lang w:val="en-CA"/>
        </w:rPr>
        <w:t xml:space="preserve"> </w:t>
      </w:r>
      <w:r w:rsidRPr="00B27412">
        <w:rPr>
          <w:lang w:val="en-CA"/>
        </w:rPr>
        <w:t>The inequality is applied to the last MW constrained-off.</w:t>
      </w:r>
    </w:p>
    <w:p w14:paraId="38AACF9B" w14:textId="77777777" w:rsidR="00B733CC" w:rsidRDefault="00C00BCA">
      <w:pPr>
        <w:pStyle w:val="Bullet"/>
        <w:spacing w:before="120"/>
      </w:pPr>
      <w:r w:rsidRPr="00B27412">
        <w:lastRenderedPageBreak/>
        <w:t xml:space="preserve">Definition 2 – </w:t>
      </w:r>
      <w:r w:rsidR="00397AEE" w:rsidRPr="00397AEE">
        <w:rPr>
          <w:i/>
        </w:rPr>
        <w:t>operating reserve</w:t>
      </w:r>
      <w:r w:rsidRPr="00B27412">
        <w:t xml:space="preserve"> activation (ORA)</w:t>
      </w:r>
    </w:p>
    <w:p w14:paraId="0BEB3638" w14:textId="3B99ACF0" w:rsidR="00C00BCA" w:rsidRPr="00B27412" w:rsidRDefault="00C00BCA" w:rsidP="00C00BCA">
      <w:pPr>
        <w:pStyle w:val="BodyTextNumContinue"/>
        <w:rPr>
          <w:lang w:val="en-CA"/>
        </w:rPr>
      </w:pPr>
      <w:r w:rsidRPr="00B27412">
        <w:rPr>
          <w:lang w:val="en-CA"/>
        </w:rPr>
        <w:t xml:space="preserve">A </w:t>
      </w:r>
      <w:r w:rsidRPr="0070152B">
        <w:rPr>
          <w:i/>
          <w:lang w:val="en-CA"/>
        </w:rPr>
        <w:t>dispatchable load</w:t>
      </w:r>
      <w:r w:rsidRPr="00B27412">
        <w:rPr>
          <w:lang w:val="en-CA"/>
        </w:rPr>
        <w:t xml:space="preserve"> </w:t>
      </w:r>
      <w:r w:rsidR="0036059A">
        <w:t xml:space="preserve">or </w:t>
      </w:r>
      <w:r w:rsidR="00876D3C">
        <w:t xml:space="preserve">a </w:t>
      </w:r>
      <w:r w:rsidR="0036059A">
        <w:t xml:space="preserve">dispatchable </w:t>
      </w:r>
      <w:r w:rsidR="0036059A">
        <w:rPr>
          <w:i/>
        </w:rPr>
        <w:t xml:space="preserve">electricity storage facility </w:t>
      </w:r>
      <w:r w:rsidR="0036059A">
        <w:t xml:space="preserve">that withdraws </w:t>
      </w:r>
      <w:r w:rsidRPr="00B27412">
        <w:rPr>
          <w:lang w:val="en-CA"/>
        </w:rPr>
        <w:t xml:space="preserve">is considered to be </w:t>
      </w:r>
      <w:r w:rsidRPr="00FE7287">
        <w:rPr>
          <w:i/>
          <w:lang w:val="en-CA"/>
        </w:rPr>
        <w:t>dispatched</w:t>
      </w:r>
      <w:r w:rsidRPr="00B27412">
        <w:rPr>
          <w:lang w:val="en-CA"/>
        </w:rPr>
        <w:t xml:space="preserve"> in an interval as part of an acti</w:t>
      </w:r>
      <w:r>
        <w:rPr>
          <w:lang w:val="en-CA"/>
        </w:rPr>
        <w:t xml:space="preserve">vation of </w:t>
      </w:r>
      <w:r w:rsidRPr="00563901">
        <w:rPr>
          <w:i/>
          <w:lang w:val="en-CA"/>
        </w:rPr>
        <w:t>operating reserve</w:t>
      </w:r>
      <w:r>
        <w:rPr>
          <w:lang w:val="en-CA"/>
        </w:rPr>
        <w:t xml:space="preserve"> if:</w:t>
      </w:r>
    </w:p>
    <w:p w14:paraId="598BABB4" w14:textId="77777777" w:rsidR="00C00BCA" w:rsidRPr="00CC32C7" w:rsidRDefault="008D2B24" w:rsidP="00C40E32">
      <w:pPr>
        <w:pStyle w:val="ListBullet"/>
      </w:pPr>
      <w:r>
        <w:t>i</w:t>
      </w:r>
      <w:r w:rsidRPr="00CC32C7">
        <w:t xml:space="preserve">ts </w:t>
      </w:r>
      <w:r w:rsidR="00C00BCA" w:rsidRPr="00CC32C7">
        <w:t>constrained schedule is labelled with the reason code ‘ORA’; or</w:t>
      </w:r>
    </w:p>
    <w:p w14:paraId="5E46FC6B" w14:textId="77777777" w:rsidR="00C00BCA" w:rsidRPr="00CC32C7" w:rsidRDefault="008D2B24" w:rsidP="00C40E32">
      <w:pPr>
        <w:pStyle w:val="ListBullet"/>
      </w:pPr>
      <w:r>
        <w:t>t</w:t>
      </w:r>
      <w:r w:rsidRPr="00CC32C7">
        <w:t xml:space="preserve">he </w:t>
      </w:r>
      <w:r w:rsidR="00C00BCA" w:rsidRPr="00CC32C7">
        <w:t>interval is 1-3 intervals in advance of an interval where its schedule is labelled with the ‘ORA’ code; or</w:t>
      </w:r>
    </w:p>
    <w:p w14:paraId="644E8184" w14:textId="77777777" w:rsidR="000E268A" w:rsidRDefault="008D2B24" w:rsidP="00C40E32">
      <w:pPr>
        <w:pStyle w:val="ListBullet"/>
      </w:pPr>
      <w:r>
        <w:t>t</w:t>
      </w:r>
      <w:r w:rsidRPr="00CC32C7">
        <w:t xml:space="preserve">he </w:t>
      </w:r>
      <w:r w:rsidR="00C00BCA" w:rsidRPr="00CC32C7">
        <w:t>interval is 1-3 intervals after an interval where its schedule is labelled with the ‘ORA’ code.</w:t>
      </w:r>
    </w:p>
    <w:p w14:paraId="32CB8D54" w14:textId="77777777" w:rsidR="00B733CC" w:rsidRDefault="00C00BCA">
      <w:pPr>
        <w:pStyle w:val="Bullet"/>
        <w:spacing w:before="120"/>
      </w:pPr>
      <w:r w:rsidRPr="00B27412">
        <w:t>Definition 3 – ramping</w:t>
      </w:r>
    </w:p>
    <w:p w14:paraId="45F9AA54" w14:textId="773426ED" w:rsidR="00C00BCA" w:rsidRPr="00B27412" w:rsidRDefault="00C00BCA" w:rsidP="00C00BCA">
      <w:pPr>
        <w:pStyle w:val="BodyTextNumContinue"/>
        <w:rPr>
          <w:lang w:val="en-CA"/>
        </w:rPr>
      </w:pPr>
      <w:r w:rsidRPr="00B27412">
        <w:rPr>
          <w:lang w:val="en-CA"/>
        </w:rPr>
        <w:t xml:space="preserve">A </w:t>
      </w:r>
      <w:r w:rsidRPr="0070152B">
        <w:rPr>
          <w:i/>
          <w:lang w:val="en-CA"/>
        </w:rPr>
        <w:t>dispatchable load</w:t>
      </w:r>
      <w:r w:rsidRPr="00B27412">
        <w:rPr>
          <w:lang w:val="en-CA"/>
        </w:rPr>
        <w:t xml:space="preserve"> </w:t>
      </w:r>
      <w:r w:rsidR="0036059A">
        <w:t xml:space="preserve">or </w:t>
      </w:r>
      <w:r w:rsidR="00876D3C">
        <w:t xml:space="preserve">a </w:t>
      </w:r>
      <w:r w:rsidR="0036059A">
        <w:t xml:space="preserve">dispatchable </w:t>
      </w:r>
      <w:r w:rsidR="0036059A">
        <w:rPr>
          <w:i/>
        </w:rPr>
        <w:t xml:space="preserve">electricity storage facility </w:t>
      </w:r>
      <w:r w:rsidR="0036059A">
        <w:t xml:space="preserve">that withdraws </w:t>
      </w:r>
      <w:r w:rsidRPr="00B27412">
        <w:rPr>
          <w:lang w:val="en-CA"/>
        </w:rPr>
        <w:t>is considered to be ‘ramping’ in an interval if it is one of the first 3 intervals of the second hour when ramping-up, or if it is one of the last 3 intervals of the first hour when ramping</w:t>
      </w:r>
      <w:r w:rsidR="00432780">
        <w:rPr>
          <w:lang w:val="en-CA"/>
        </w:rPr>
        <w:t xml:space="preserve"> </w:t>
      </w:r>
      <w:r w:rsidRPr="00B27412">
        <w:rPr>
          <w:lang w:val="en-CA"/>
        </w:rPr>
        <w:t xml:space="preserve">down. </w:t>
      </w:r>
      <w:r w:rsidR="00BA295D">
        <w:rPr>
          <w:lang w:val="en-CA"/>
        </w:rPr>
        <w:t xml:space="preserve"> </w:t>
      </w:r>
      <w:r w:rsidRPr="00B27412">
        <w:rPr>
          <w:lang w:val="en-CA"/>
        </w:rPr>
        <w:t xml:space="preserve">A </w:t>
      </w:r>
      <w:r w:rsidRPr="008173B6">
        <w:rPr>
          <w:i/>
          <w:lang w:val="en-CA"/>
        </w:rPr>
        <w:t>generation unit</w:t>
      </w:r>
      <w:r w:rsidRPr="00B27412">
        <w:rPr>
          <w:lang w:val="en-CA"/>
        </w:rPr>
        <w:t xml:space="preserve"> is considered to be ra</w:t>
      </w:r>
      <w:r>
        <w:rPr>
          <w:lang w:val="en-CA"/>
        </w:rPr>
        <w:t>mping</w:t>
      </w:r>
      <w:r w:rsidR="00432780">
        <w:rPr>
          <w:lang w:val="en-CA"/>
        </w:rPr>
        <w:t xml:space="preserve"> </w:t>
      </w:r>
      <w:r>
        <w:rPr>
          <w:lang w:val="en-CA"/>
        </w:rPr>
        <w:t>up or ramping</w:t>
      </w:r>
      <w:r w:rsidR="00432780">
        <w:rPr>
          <w:lang w:val="en-CA"/>
        </w:rPr>
        <w:t xml:space="preserve"> </w:t>
      </w:r>
      <w:r>
        <w:rPr>
          <w:lang w:val="en-CA"/>
        </w:rPr>
        <w:t>down in an</w:t>
      </w:r>
      <w:r w:rsidRPr="00B27412">
        <w:rPr>
          <w:lang w:val="en-CA"/>
        </w:rPr>
        <w:t xml:space="preserve"> hour when the unconstrained schedule differs between consecutive hours.</w:t>
      </w:r>
    </w:p>
    <w:p w14:paraId="1608380D" w14:textId="77777777" w:rsidR="00B733CC" w:rsidRDefault="00C00BCA" w:rsidP="00906BEF">
      <w:pPr>
        <w:pStyle w:val="Bullet"/>
        <w:keepNext/>
        <w:spacing w:before="120"/>
      </w:pPr>
      <w:r w:rsidRPr="00B27412">
        <w:t xml:space="preserve">Definition 4 – manually </w:t>
      </w:r>
      <w:r w:rsidR="00397AEE" w:rsidRPr="00397AEE">
        <w:rPr>
          <w:i/>
        </w:rPr>
        <w:t>constrained off</w:t>
      </w:r>
      <w:r w:rsidRPr="00B27412">
        <w:t xml:space="preserve"> for </w:t>
      </w:r>
      <w:r w:rsidRPr="00563901">
        <w:rPr>
          <w:i/>
        </w:rPr>
        <w:t>reliability</w:t>
      </w:r>
    </w:p>
    <w:p w14:paraId="545B14E7" w14:textId="04C2473E" w:rsidR="00C00BCA" w:rsidRDefault="00C00BCA" w:rsidP="00C00BCA">
      <w:pPr>
        <w:pStyle w:val="BodyTextNumContinue"/>
        <w:rPr>
          <w:lang w:val="en-CA"/>
        </w:rPr>
      </w:pPr>
      <w:r w:rsidRPr="00B27412">
        <w:rPr>
          <w:lang w:val="en-CA"/>
        </w:rPr>
        <w:t xml:space="preserve">A </w:t>
      </w:r>
      <w:r w:rsidRPr="0070152B">
        <w:rPr>
          <w:i/>
          <w:lang w:val="en-CA"/>
        </w:rPr>
        <w:t>dispatchable load</w:t>
      </w:r>
      <w:r w:rsidRPr="00B27412">
        <w:rPr>
          <w:lang w:val="en-CA"/>
        </w:rPr>
        <w:t xml:space="preserve"> </w:t>
      </w:r>
      <w:r w:rsidR="0036059A">
        <w:t xml:space="preserve">or </w:t>
      </w:r>
      <w:r w:rsidR="00876D3C">
        <w:t xml:space="preserve">a </w:t>
      </w:r>
      <w:r w:rsidR="0036059A">
        <w:t xml:space="preserve">dispatchable </w:t>
      </w:r>
      <w:r w:rsidR="0036059A">
        <w:rPr>
          <w:i/>
        </w:rPr>
        <w:t xml:space="preserve">electricity storage facility </w:t>
      </w:r>
      <w:r w:rsidR="0036059A">
        <w:t xml:space="preserve">that withdraws </w:t>
      </w:r>
      <w:r w:rsidRPr="00B27412">
        <w:rPr>
          <w:lang w:val="en-CA"/>
        </w:rPr>
        <w:t xml:space="preserve">is considered to be ‘manually </w:t>
      </w:r>
      <w:r w:rsidR="00397AEE" w:rsidRPr="00397AEE">
        <w:rPr>
          <w:i/>
          <w:lang w:val="en-CA"/>
        </w:rPr>
        <w:t>constrained off</w:t>
      </w:r>
      <w:r w:rsidRPr="00B27412">
        <w:rPr>
          <w:lang w:val="en-CA"/>
        </w:rPr>
        <w:t xml:space="preserve"> for </w:t>
      </w:r>
      <w:r w:rsidRPr="00563901">
        <w:rPr>
          <w:i/>
          <w:lang w:val="en-CA"/>
        </w:rPr>
        <w:t>reliability</w:t>
      </w:r>
      <w:r>
        <w:rPr>
          <w:lang w:val="en-CA"/>
        </w:rPr>
        <w:t>’</w:t>
      </w:r>
      <w:r w:rsidRPr="00B27412">
        <w:rPr>
          <w:lang w:val="en-CA"/>
        </w:rPr>
        <w:t xml:space="preserve"> if our </w:t>
      </w:r>
      <w:r w:rsidR="00432780">
        <w:rPr>
          <w:lang w:val="en-CA"/>
        </w:rPr>
        <w:t>c</w:t>
      </w:r>
      <w:r w:rsidR="00432780" w:rsidRPr="00B27412">
        <w:rPr>
          <w:lang w:val="en-CA"/>
        </w:rPr>
        <w:t xml:space="preserve">ontrol </w:t>
      </w:r>
      <w:r w:rsidR="00432780">
        <w:rPr>
          <w:lang w:val="en-CA"/>
        </w:rPr>
        <w:t>r</w:t>
      </w:r>
      <w:r w:rsidR="00432780" w:rsidRPr="00B27412">
        <w:rPr>
          <w:lang w:val="en-CA"/>
        </w:rPr>
        <w:t xml:space="preserve">oom </w:t>
      </w:r>
      <w:r w:rsidRPr="00B27412">
        <w:rPr>
          <w:lang w:val="en-CA"/>
        </w:rPr>
        <w:t>logs indicate that we needed to constrain</w:t>
      </w:r>
      <w:r w:rsidR="00432780">
        <w:rPr>
          <w:lang w:val="en-CA"/>
        </w:rPr>
        <w:t xml:space="preserve"> </w:t>
      </w:r>
      <w:r w:rsidRPr="00B27412">
        <w:rPr>
          <w:lang w:val="en-CA"/>
        </w:rPr>
        <w:t>off the load for system or local requirements.</w:t>
      </w:r>
    </w:p>
    <w:p w14:paraId="453DB503" w14:textId="77777777" w:rsidR="00855CB7" w:rsidRDefault="009571C6" w:rsidP="00133618">
      <w:pPr>
        <w:pStyle w:val="Heading4"/>
      </w:pPr>
      <w:r>
        <w:t>Timing of the Facility-</w:t>
      </w:r>
      <w:r w:rsidR="00855CB7">
        <w:t>Induced CMSC Processing and Adjustment</w:t>
      </w:r>
    </w:p>
    <w:p w14:paraId="6B561EC9" w14:textId="45CE9D27" w:rsidR="00CA25FD" w:rsidRDefault="00432780">
      <w:pPr>
        <w:pStyle w:val="BodyText"/>
      </w:pPr>
      <w:r>
        <w:t>Effective</w:t>
      </w:r>
      <w:r w:rsidRPr="00DA2A12">
        <w:t xml:space="preserve"> </w:t>
      </w:r>
      <w:r w:rsidR="00D72D04">
        <w:t>December</w:t>
      </w:r>
      <w:r w:rsidR="00560FF6" w:rsidRPr="00DA2A12">
        <w:t xml:space="preserve"> 1</w:t>
      </w:r>
      <w:r>
        <w:t>,</w:t>
      </w:r>
      <w:r w:rsidR="00560FF6" w:rsidRPr="00DA2A12">
        <w:t xml:space="preserve"> 2007, the </w:t>
      </w:r>
      <w:r w:rsidR="00560FF6">
        <w:t xml:space="preserve">CMSC </w:t>
      </w:r>
      <w:r w:rsidR="00560FF6" w:rsidRPr="00DA2A12">
        <w:t>adjustment</w:t>
      </w:r>
      <w:r w:rsidR="00560FF6">
        <w:t xml:space="preserve"> for a </w:t>
      </w:r>
      <w:r w:rsidR="00560FF6">
        <w:rPr>
          <w:i/>
        </w:rPr>
        <w:t>dispatchable load</w:t>
      </w:r>
      <w:r w:rsidR="00560FF6" w:rsidRPr="00DA2A12">
        <w:t xml:space="preserve"> </w:t>
      </w:r>
      <w:r w:rsidR="0036059A">
        <w:t xml:space="preserve">or </w:t>
      </w:r>
      <w:r w:rsidR="00876D3C">
        <w:t xml:space="preserve">a </w:t>
      </w:r>
      <w:r w:rsidR="0036059A">
        <w:t xml:space="preserve">dispatchable </w:t>
      </w:r>
      <w:r w:rsidR="0036059A">
        <w:rPr>
          <w:i/>
        </w:rPr>
        <w:t xml:space="preserve">electricity storage facility </w:t>
      </w:r>
      <w:r w:rsidR="0036059A">
        <w:t xml:space="preserve">that withdraws </w:t>
      </w:r>
      <w:r w:rsidR="00560FF6" w:rsidRPr="00DA2A12">
        <w:t xml:space="preserve">will be </w:t>
      </w:r>
      <w:r w:rsidR="00560FF6">
        <w:t xml:space="preserve">calculated for each interval and applied to the </w:t>
      </w:r>
      <w:r w:rsidR="00560FF6" w:rsidRPr="00563901">
        <w:rPr>
          <w:i/>
        </w:rPr>
        <w:t>preliminary settlement statement</w:t>
      </w:r>
      <w:r w:rsidR="00560FF6" w:rsidRPr="00DA2A12">
        <w:t xml:space="preserve"> for that </w:t>
      </w:r>
      <w:r w:rsidR="00560FF6" w:rsidRPr="0070152B">
        <w:rPr>
          <w:i/>
        </w:rPr>
        <w:t>trading day</w:t>
      </w:r>
      <w:r w:rsidR="00560FF6" w:rsidRPr="00DA2A12">
        <w:t xml:space="preserve"> via </w:t>
      </w:r>
      <w:r w:rsidR="00560FF6" w:rsidRPr="0070152B">
        <w:rPr>
          <w:i/>
        </w:rPr>
        <w:t>charge type</w:t>
      </w:r>
      <w:r w:rsidR="00560FF6" w:rsidRPr="00DA2A12">
        <w:t xml:space="preserve"> </w:t>
      </w:r>
      <w:r w:rsidR="00D72D04">
        <w:t>1050 “Self-Induced Dispatchable Load CMSC Clawback”.</w:t>
      </w:r>
    </w:p>
    <w:p w14:paraId="61E7F808" w14:textId="13E6C3B2" w:rsidR="00CA25FD" w:rsidRDefault="004D0640" w:rsidP="00133618">
      <w:pPr>
        <w:pStyle w:val="Heading4"/>
      </w:pPr>
      <w:r>
        <w:t>Limiting Constrained Off CMSC for Dispatchable Loads</w:t>
      </w:r>
      <w:r w:rsidR="0036059A">
        <w:t xml:space="preserve"> and Dispatchable Electricity Storage Facilities that Withdraw</w:t>
      </w:r>
    </w:p>
    <w:p w14:paraId="1B234438" w14:textId="2CA33856" w:rsidR="00A7536D" w:rsidRDefault="00397AEE" w:rsidP="009A7172">
      <w:pPr>
        <w:pStyle w:val="BodyText"/>
      </w:pPr>
      <w:r w:rsidRPr="00397AEE">
        <w:t xml:space="preserve">If you are the </w:t>
      </w:r>
      <w:r w:rsidRPr="00397AEE">
        <w:rPr>
          <w:i/>
          <w:iCs/>
        </w:rPr>
        <w:t>market participant</w:t>
      </w:r>
      <w:r w:rsidRPr="00397AEE">
        <w:t xml:space="preserve"> for a </w:t>
      </w:r>
      <w:r w:rsidRPr="00397AEE">
        <w:rPr>
          <w:i/>
        </w:rPr>
        <w:t>dispatchable load</w:t>
      </w:r>
      <w:r w:rsidR="0036059A">
        <w:rPr>
          <w:i/>
        </w:rPr>
        <w:t xml:space="preserve"> </w:t>
      </w:r>
      <w:r w:rsidR="0036059A">
        <w:t xml:space="preserve">or </w:t>
      </w:r>
      <w:r w:rsidR="00876D3C">
        <w:t xml:space="preserve">a </w:t>
      </w:r>
      <w:r w:rsidR="0036059A">
        <w:t xml:space="preserve">dispatchable </w:t>
      </w:r>
      <w:r w:rsidR="0036059A">
        <w:rPr>
          <w:i/>
        </w:rPr>
        <w:t xml:space="preserve">electricity storage facility </w:t>
      </w:r>
      <w:r w:rsidR="0036059A">
        <w:t>that withdraws</w:t>
      </w:r>
      <w:r w:rsidRPr="00397AEE">
        <w:t xml:space="preserve">, you are </w:t>
      </w:r>
      <w:r w:rsidRPr="00397AEE">
        <w:rPr>
          <w:u w:val="single"/>
        </w:rPr>
        <w:t>not</w:t>
      </w:r>
      <w:r w:rsidRPr="00397AEE">
        <w:t xml:space="preserve"> entitled to </w:t>
      </w:r>
      <w:r w:rsidRPr="00397AEE">
        <w:rPr>
          <w:i/>
        </w:rPr>
        <w:t>constrained off</w:t>
      </w:r>
      <w:r w:rsidRPr="00397AEE">
        <w:t xml:space="preserve"> CMSC payments related to ramping, if you change your operating behavior as a result of conditions and/or actions at your </w:t>
      </w:r>
      <w:r w:rsidRPr="00397AEE">
        <w:rPr>
          <w:i/>
        </w:rPr>
        <w:t>dispatchable load facility</w:t>
      </w:r>
      <w:r w:rsidR="0036059A">
        <w:rPr>
          <w:i/>
        </w:rPr>
        <w:t xml:space="preserve"> </w:t>
      </w:r>
      <w:r w:rsidR="0036059A">
        <w:t xml:space="preserve">or dispatchable </w:t>
      </w:r>
      <w:r w:rsidR="0036059A">
        <w:rPr>
          <w:i/>
        </w:rPr>
        <w:t xml:space="preserve">electricity storage facility </w:t>
      </w:r>
      <w:r w:rsidR="0036059A">
        <w:t>that withdraws</w:t>
      </w:r>
      <w:r w:rsidRPr="00397AEE">
        <w:t xml:space="preserve">, and not due to conditions on the </w:t>
      </w:r>
      <w:r w:rsidRPr="00397AEE">
        <w:rPr>
          <w:i/>
          <w:iCs/>
        </w:rPr>
        <w:t>IESO-controlled grid.</w:t>
      </w:r>
      <w:r w:rsidRPr="00397AEE">
        <w:rPr>
          <w:iCs/>
        </w:rPr>
        <w:t xml:space="preserve">  </w:t>
      </w:r>
      <w:r w:rsidRPr="00397AEE">
        <w:t>Under sections 3.5.1</w:t>
      </w:r>
      <w:r w:rsidR="006411B0">
        <w:t>D</w:t>
      </w:r>
      <w:r w:rsidRPr="00397AEE">
        <w:t xml:space="preserve"> and 3.5.2, Chapter 9 of the </w:t>
      </w:r>
      <w:r w:rsidRPr="00397AEE">
        <w:rPr>
          <w:i/>
          <w:iCs/>
        </w:rPr>
        <w:t>market rules</w:t>
      </w:r>
      <w:r w:rsidRPr="00397AEE">
        <w:t xml:space="preserve">, the withholding of </w:t>
      </w:r>
      <w:r w:rsidRPr="00397AEE">
        <w:rPr>
          <w:i/>
        </w:rPr>
        <w:t>constrained off</w:t>
      </w:r>
      <w:r w:rsidRPr="00397AEE">
        <w:t xml:space="preserve"> CMSC payments is limited to </w:t>
      </w:r>
      <w:r w:rsidRPr="00397AEE">
        <w:rPr>
          <w:i/>
        </w:rPr>
        <w:t xml:space="preserve">bid </w:t>
      </w:r>
      <w:r w:rsidRPr="00397AEE">
        <w:t xml:space="preserve">changes that result in changes to the </w:t>
      </w:r>
      <w:r w:rsidR="00DA3379" w:rsidRPr="00DA3379">
        <w:rPr>
          <w:i/>
        </w:rPr>
        <w:t>facility</w:t>
      </w:r>
      <w:r w:rsidRPr="00397AEE">
        <w:t>’s</w:t>
      </w:r>
      <w:r w:rsidRPr="00397AEE">
        <w:rPr>
          <w:i/>
        </w:rPr>
        <w:t xml:space="preserve"> market schedule</w:t>
      </w:r>
      <w:r w:rsidRPr="00397AEE">
        <w:t xml:space="preserve"> and targets </w:t>
      </w:r>
      <w:r w:rsidRPr="00397AEE">
        <w:rPr>
          <w:i/>
        </w:rPr>
        <w:t>constrained off</w:t>
      </w:r>
      <w:r w:rsidRPr="00397AEE">
        <w:t xml:space="preserve"> CMSC that is as a result of the </w:t>
      </w:r>
      <w:r w:rsidRPr="00397AEE">
        <w:rPr>
          <w:i/>
        </w:rPr>
        <w:t>dispatchable load</w:t>
      </w:r>
      <w:r w:rsidRPr="00397AEE">
        <w:t xml:space="preserve"> </w:t>
      </w:r>
      <w:r w:rsidR="00876D3C">
        <w:t xml:space="preserve">or dispatchable </w:t>
      </w:r>
      <w:r w:rsidR="00876D3C">
        <w:rPr>
          <w:i/>
        </w:rPr>
        <w:t xml:space="preserve">electricity storage facility </w:t>
      </w:r>
      <w:r w:rsidR="00876D3C">
        <w:t xml:space="preserve">that withdraws </w:t>
      </w:r>
      <w:r w:rsidRPr="00397AEE">
        <w:t>ramping up or down.</w:t>
      </w:r>
    </w:p>
    <w:p w14:paraId="32FCCEBE" w14:textId="77777777" w:rsidR="00405C98" w:rsidRPr="00405C98" w:rsidRDefault="00405C98" w:rsidP="009A7172">
      <w:pPr>
        <w:pStyle w:val="BodyText"/>
        <w:rPr>
          <w:sz w:val="2"/>
          <w:szCs w:val="2"/>
        </w:rPr>
      </w:pPr>
    </w:p>
    <w:p w14:paraId="279423EB" w14:textId="77777777" w:rsidR="009A7172" w:rsidRPr="00E6372F" w:rsidRDefault="00397AEE" w:rsidP="009A7172">
      <w:pPr>
        <w:pStyle w:val="BodyText"/>
      </w:pPr>
      <w:r w:rsidRPr="00397AEE">
        <w:t>The decision rules for ramping up or down are as follows:</w:t>
      </w:r>
    </w:p>
    <w:p w14:paraId="7932C07D" w14:textId="2B824E93" w:rsidR="009A7172" w:rsidRPr="00E6372F" w:rsidRDefault="00397AEE" w:rsidP="009A7172">
      <w:r w:rsidRPr="00397AEE">
        <w:t xml:space="preserve">A </w:t>
      </w:r>
      <w:r w:rsidRPr="00397AEE">
        <w:rPr>
          <w:i/>
        </w:rPr>
        <w:t>dispatchable load</w:t>
      </w:r>
      <w:r w:rsidRPr="00397AEE">
        <w:t xml:space="preserve"> </w:t>
      </w:r>
      <w:r w:rsidR="00876D3C">
        <w:t xml:space="preserve">or a dispatchable </w:t>
      </w:r>
      <w:r w:rsidR="00876D3C">
        <w:rPr>
          <w:i/>
        </w:rPr>
        <w:t xml:space="preserve">electricity storage facility </w:t>
      </w:r>
      <w:r w:rsidR="00876D3C">
        <w:t xml:space="preserve">that withdraws </w:t>
      </w:r>
      <w:r w:rsidRPr="00397AEE">
        <w:t>is considered to be ramping down if:</w:t>
      </w:r>
    </w:p>
    <w:p w14:paraId="2B0F7E9C" w14:textId="77777777" w:rsidR="009A7172" w:rsidRPr="00E6372F" w:rsidRDefault="00397AEE" w:rsidP="003853C6">
      <w:pPr>
        <w:pStyle w:val="ListParagraph"/>
        <w:numPr>
          <w:ilvl w:val="0"/>
          <w:numId w:val="77"/>
        </w:numPr>
        <w:spacing w:after="200" w:line="276" w:lineRule="auto"/>
      </w:pPr>
      <w:r w:rsidRPr="00397AEE">
        <w:t>There is a decrease in the constrained schedule between interval 9 and 12 of the current hour; and</w:t>
      </w:r>
    </w:p>
    <w:p w14:paraId="0C79029D" w14:textId="77777777" w:rsidR="009A7172" w:rsidRPr="00E6372F" w:rsidRDefault="00397AEE" w:rsidP="003853C6">
      <w:pPr>
        <w:pStyle w:val="ListParagraph"/>
        <w:numPr>
          <w:ilvl w:val="0"/>
          <w:numId w:val="77"/>
        </w:numPr>
        <w:spacing w:after="200" w:line="276" w:lineRule="auto"/>
      </w:pPr>
      <w:r w:rsidRPr="00397AEE">
        <w:t>The unconstrained schedule in interval 12 of the current hour is greater than the unconstrained schedule in interval 1 of the next hour; and</w:t>
      </w:r>
    </w:p>
    <w:p w14:paraId="1965EFA5" w14:textId="77777777" w:rsidR="009A7172" w:rsidRPr="00E6372F" w:rsidRDefault="00397AEE" w:rsidP="003853C6">
      <w:pPr>
        <w:pStyle w:val="ListParagraph"/>
        <w:numPr>
          <w:ilvl w:val="0"/>
          <w:numId w:val="77"/>
        </w:numPr>
        <w:spacing w:after="200" w:line="276" w:lineRule="auto"/>
      </w:pPr>
      <w:r w:rsidRPr="00397AEE">
        <w:t xml:space="preserve">There is a change in the </w:t>
      </w:r>
      <w:r w:rsidRPr="00397AEE">
        <w:rPr>
          <w:i/>
        </w:rPr>
        <w:t>bid</w:t>
      </w:r>
      <w:r w:rsidRPr="00397AEE">
        <w:t xml:space="preserve"> lamination between the current and the next hour.</w:t>
      </w:r>
    </w:p>
    <w:p w14:paraId="76A73FAA" w14:textId="2C99C03A" w:rsidR="009A7172" w:rsidRPr="00E6372F" w:rsidRDefault="00397AEE" w:rsidP="006E37DA">
      <w:r w:rsidRPr="00397AEE">
        <w:t xml:space="preserve">A </w:t>
      </w:r>
      <w:r w:rsidRPr="00397AEE">
        <w:rPr>
          <w:i/>
        </w:rPr>
        <w:t>dispatchable load</w:t>
      </w:r>
      <w:r w:rsidR="00876D3C" w:rsidRPr="00876D3C">
        <w:t xml:space="preserve"> </w:t>
      </w:r>
      <w:r w:rsidR="00876D3C">
        <w:t xml:space="preserve">or a dispatchable </w:t>
      </w:r>
      <w:r w:rsidR="00876D3C">
        <w:rPr>
          <w:i/>
        </w:rPr>
        <w:t xml:space="preserve">electricity storage facility </w:t>
      </w:r>
      <w:r w:rsidR="00876D3C">
        <w:t xml:space="preserve">that withdraws </w:t>
      </w:r>
      <w:r w:rsidRPr="00397AEE">
        <w:t>is considered to be ramping up if:</w:t>
      </w:r>
    </w:p>
    <w:p w14:paraId="09425BD7" w14:textId="77777777" w:rsidR="009A7172" w:rsidRPr="00E6372F" w:rsidRDefault="00397AEE" w:rsidP="003853C6">
      <w:pPr>
        <w:pStyle w:val="ListParagraph"/>
        <w:numPr>
          <w:ilvl w:val="0"/>
          <w:numId w:val="78"/>
        </w:numPr>
        <w:spacing w:after="200" w:line="276" w:lineRule="auto"/>
      </w:pPr>
      <w:r w:rsidRPr="00397AEE">
        <w:t>There is an increase in the constrained schedule between interval 12 of the previous hour and interval 3 of the current hour; and</w:t>
      </w:r>
    </w:p>
    <w:p w14:paraId="51C9FCFA" w14:textId="77777777" w:rsidR="009A7172" w:rsidRPr="00E6372F" w:rsidRDefault="00397AEE" w:rsidP="003853C6">
      <w:pPr>
        <w:pStyle w:val="ListParagraph"/>
        <w:numPr>
          <w:ilvl w:val="0"/>
          <w:numId w:val="78"/>
        </w:numPr>
        <w:spacing w:after="200" w:line="276" w:lineRule="auto"/>
      </w:pPr>
      <w:r w:rsidRPr="00397AEE">
        <w:t>The unconstrained schedule in interval 12 of the previous hour is less than the unconstrained schedule in interval 1 of the current hour; and</w:t>
      </w:r>
    </w:p>
    <w:p w14:paraId="4CFAF3A9" w14:textId="77777777" w:rsidR="009A7172" w:rsidRPr="00E6372F" w:rsidRDefault="00397AEE" w:rsidP="003853C6">
      <w:pPr>
        <w:pStyle w:val="ListParagraph"/>
        <w:numPr>
          <w:ilvl w:val="0"/>
          <w:numId w:val="78"/>
        </w:numPr>
        <w:spacing w:after="200" w:line="276" w:lineRule="auto"/>
      </w:pPr>
      <w:r w:rsidRPr="00397AEE">
        <w:t xml:space="preserve">There is a change in the </w:t>
      </w:r>
      <w:r w:rsidRPr="00397AEE">
        <w:rPr>
          <w:i/>
        </w:rPr>
        <w:t>bid</w:t>
      </w:r>
      <w:r w:rsidRPr="00397AEE">
        <w:t xml:space="preserve"> lamination between the previous and next hour.</w:t>
      </w:r>
    </w:p>
    <w:p w14:paraId="5262895D" w14:textId="77777777" w:rsidR="003962A2" w:rsidRPr="00E6372F" w:rsidRDefault="00397AEE" w:rsidP="003962A2">
      <w:pPr>
        <w:rPr>
          <w:szCs w:val="22"/>
        </w:rPr>
      </w:pPr>
      <w:r w:rsidRPr="00397AEE">
        <w:rPr>
          <w:szCs w:val="22"/>
        </w:rPr>
        <w:t>These rules apply unless CMSC is allowed for the hour because of:</w:t>
      </w:r>
    </w:p>
    <w:p w14:paraId="293C8F00" w14:textId="77777777" w:rsidR="003962A2" w:rsidRPr="00E6372F" w:rsidRDefault="00397AEE" w:rsidP="003853C6">
      <w:pPr>
        <w:pStyle w:val="ListParagraph"/>
        <w:numPr>
          <w:ilvl w:val="0"/>
          <w:numId w:val="79"/>
        </w:numPr>
        <w:spacing w:after="200" w:line="276" w:lineRule="auto"/>
        <w:rPr>
          <w:szCs w:val="22"/>
        </w:rPr>
      </w:pPr>
      <w:r w:rsidRPr="00397AEE">
        <w:rPr>
          <w:szCs w:val="22"/>
        </w:rPr>
        <w:t>Materiality (defined in Section 1.6.9.1 by ‘Business Rule 1 – Materiality’); or</w:t>
      </w:r>
    </w:p>
    <w:p w14:paraId="1346C127" w14:textId="77777777" w:rsidR="003962A2" w:rsidRPr="00E6372F" w:rsidRDefault="00397AEE" w:rsidP="003853C6">
      <w:pPr>
        <w:pStyle w:val="ListParagraph"/>
        <w:numPr>
          <w:ilvl w:val="0"/>
          <w:numId w:val="79"/>
        </w:numPr>
        <w:spacing w:after="200" w:line="276" w:lineRule="auto"/>
        <w:rPr>
          <w:szCs w:val="22"/>
        </w:rPr>
      </w:pPr>
      <w:r w:rsidRPr="00397AEE">
        <w:rPr>
          <w:szCs w:val="22"/>
        </w:rPr>
        <w:t xml:space="preserve">The load has been </w:t>
      </w:r>
      <w:r w:rsidRPr="00397AEE">
        <w:rPr>
          <w:i/>
          <w:szCs w:val="22"/>
        </w:rPr>
        <w:t>constrained off</w:t>
      </w:r>
      <w:r w:rsidRPr="00397AEE">
        <w:rPr>
          <w:szCs w:val="22"/>
        </w:rPr>
        <w:t xml:space="preserve"> economically in an interval (defined in Section 1.6.9.1 by Business Rule 4, ‘Definition 1 – economically constrained off’); or</w:t>
      </w:r>
    </w:p>
    <w:p w14:paraId="1C6CB9F4" w14:textId="77777777" w:rsidR="003962A2" w:rsidRPr="00E6372F" w:rsidRDefault="00397AEE" w:rsidP="003853C6">
      <w:pPr>
        <w:pStyle w:val="ListParagraph"/>
        <w:numPr>
          <w:ilvl w:val="0"/>
          <w:numId w:val="79"/>
        </w:numPr>
        <w:spacing w:after="200" w:line="276" w:lineRule="auto"/>
        <w:rPr>
          <w:szCs w:val="22"/>
        </w:rPr>
      </w:pPr>
      <w:r w:rsidRPr="00397AEE">
        <w:rPr>
          <w:i/>
          <w:szCs w:val="22"/>
        </w:rPr>
        <w:t>Operating reserve</w:t>
      </w:r>
      <w:r w:rsidRPr="00397AEE">
        <w:rPr>
          <w:szCs w:val="22"/>
        </w:rPr>
        <w:t xml:space="preserve"> has been activated (defined in Section 1.6.9.1 by Business Rule 4, ‘Definition 2 – </w:t>
      </w:r>
      <w:r w:rsidR="00DA3379" w:rsidRPr="00DA3379">
        <w:rPr>
          <w:i/>
          <w:szCs w:val="22"/>
        </w:rPr>
        <w:t>operating reserve</w:t>
      </w:r>
      <w:r w:rsidRPr="00397AEE">
        <w:rPr>
          <w:szCs w:val="22"/>
        </w:rPr>
        <w:t xml:space="preserve"> activation’); or</w:t>
      </w:r>
    </w:p>
    <w:p w14:paraId="122695BE" w14:textId="77777777" w:rsidR="003962A2" w:rsidRPr="00E6372F" w:rsidRDefault="00397AEE" w:rsidP="003853C6">
      <w:pPr>
        <w:pStyle w:val="ListParagraph"/>
        <w:numPr>
          <w:ilvl w:val="0"/>
          <w:numId w:val="79"/>
        </w:numPr>
        <w:spacing w:after="200" w:line="276" w:lineRule="auto"/>
        <w:rPr>
          <w:szCs w:val="22"/>
        </w:rPr>
      </w:pPr>
      <w:r w:rsidRPr="00397AEE">
        <w:rPr>
          <w:szCs w:val="22"/>
        </w:rPr>
        <w:t xml:space="preserve">The load has been manually dispatched down for </w:t>
      </w:r>
      <w:r w:rsidRPr="00397AEE">
        <w:rPr>
          <w:i/>
          <w:szCs w:val="22"/>
        </w:rPr>
        <w:t>reliability</w:t>
      </w:r>
      <w:r w:rsidRPr="00397AEE">
        <w:rPr>
          <w:szCs w:val="22"/>
        </w:rPr>
        <w:t xml:space="preserve"> (defined in Section 1.6.9.1 by Business Rule 4, ‘Definition 4 – manually constrained off for </w:t>
      </w:r>
      <w:r w:rsidRPr="00397AEE">
        <w:rPr>
          <w:i/>
          <w:szCs w:val="22"/>
        </w:rPr>
        <w:t>reliability</w:t>
      </w:r>
      <w:r w:rsidRPr="00397AEE">
        <w:rPr>
          <w:szCs w:val="22"/>
        </w:rPr>
        <w:t>’).</w:t>
      </w:r>
    </w:p>
    <w:p w14:paraId="7ECDD0BD" w14:textId="69029979" w:rsidR="00B442BA" w:rsidRDefault="004D0640" w:rsidP="00B2717F">
      <w:pPr>
        <w:pStyle w:val="BodyText"/>
      </w:pPr>
      <w:r>
        <w:t xml:space="preserve">Under </w:t>
      </w:r>
      <w:r w:rsidR="00A810D0">
        <w:t>section 3.5.1</w:t>
      </w:r>
      <w:r w:rsidR="00DA3379" w:rsidRPr="00DA3379">
        <w:t>D</w:t>
      </w:r>
      <w:r w:rsidR="00DA3379" w:rsidRPr="00DA3379">
        <w:rPr>
          <w:color w:val="FF0000"/>
        </w:rPr>
        <w:t xml:space="preserve"> </w:t>
      </w:r>
      <w:r>
        <w:t xml:space="preserve">Chapter 9 of the </w:t>
      </w:r>
      <w:r>
        <w:rPr>
          <w:i/>
        </w:rPr>
        <w:t>market rules</w:t>
      </w:r>
      <w:r>
        <w:t xml:space="preserve">, the </w:t>
      </w:r>
      <w:r>
        <w:rPr>
          <w:i/>
        </w:rPr>
        <w:t>IESO</w:t>
      </w:r>
      <w:r>
        <w:t xml:space="preserve"> will recover </w:t>
      </w:r>
      <w:r>
        <w:rPr>
          <w:i/>
        </w:rPr>
        <w:t>constrained off</w:t>
      </w:r>
      <w:r>
        <w:t xml:space="preserve"> CMSC payment </w:t>
      </w:r>
      <w:r w:rsidR="00397AEE" w:rsidRPr="00397AEE">
        <w:t xml:space="preserve">related to ramping </w:t>
      </w:r>
      <w:r>
        <w:t xml:space="preserve">of any remaining portion of </w:t>
      </w:r>
      <w:r>
        <w:rPr>
          <w:i/>
        </w:rPr>
        <w:t>constrained off</w:t>
      </w:r>
      <w:r>
        <w:t xml:space="preserve"> CMSC payment net of “Self-Induced Dispatchable Load CMSC Clawback” </w:t>
      </w:r>
      <w:r>
        <w:rPr>
          <w:i/>
        </w:rPr>
        <w:t>charge type</w:t>
      </w:r>
      <w:r>
        <w:t xml:space="preserve"> 1050 to </w:t>
      </w:r>
      <w:r>
        <w:rPr>
          <w:i/>
        </w:rPr>
        <w:t>dispatchable loads</w:t>
      </w:r>
      <w:r w:rsidR="00876D3C">
        <w:rPr>
          <w:i/>
        </w:rPr>
        <w:t xml:space="preserve"> </w:t>
      </w:r>
      <w:r w:rsidR="00876D3C">
        <w:t xml:space="preserve">or dispatchable </w:t>
      </w:r>
      <w:r w:rsidR="00876D3C">
        <w:rPr>
          <w:i/>
        </w:rPr>
        <w:t xml:space="preserve">electricity storage facilities </w:t>
      </w:r>
      <w:r w:rsidR="00876D3C">
        <w:t>that withdraw</w:t>
      </w:r>
      <w:r>
        <w:t>.  The business rules in Section 1.6.</w:t>
      </w:r>
      <w:r w:rsidR="00397AEE" w:rsidRPr="00397AEE">
        <w:t>9</w:t>
      </w:r>
      <w:r>
        <w:t xml:space="preserve">.1 will continue to recover </w:t>
      </w:r>
      <w:r>
        <w:rPr>
          <w:i/>
        </w:rPr>
        <w:t>constrained off</w:t>
      </w:r>
      <w:r>
        <w:t xml:space="preserve"> CMSC on an interval basis with the charges appearing on the </w:t>
      </w:r>
      <w:r>
        <w:rPr>
          <w:i/>
        </w:rPr>
        <w:t>preliminary settlement statement</w:t>
      </w:r>
      <w:r>
        <w:t xml:space="preserve"> for that </w:t>
      </w:r>
      <w:r>
        <w:rPr>
          <w:i/>
        </w:rPr>
        <w:t>trading day</w:t>
      </w:r>
      <w:r>
        <w:t xml:space="preserve">.  The remaining </w:t>
      </w:r>
      <w:r>
        <w:rPr>
          <w:i/>
        </w:rPr>
        <w:t>constrained off</w:t>
      </w:r>
      <w:r>
        <w:t xml:space="preserve"> CMSC for </w:t>
      </w:r>
      <w:r>
        <w:rPr>
          <w:i/>
        </w:rPr>
        <w:t>dispatchable loads</w:t>
      </w:r>
      <w:r w:rsidR="00876D3C">
        <w:rPr>
          <w:i/>
        </w:rPr>
        <w:t xml:space="preserve"> </w:t>
      </w:r>
      <w:r w:rsidR="00876D3C">
        <w:t xml:space="preserve">or dispatchable </w:t>
      </w:r>
      <w:r w:rsidR="00876D3C">
        <w:rPr>
          <w:i/>
        </w:rPr>
        <w:t xml:space="preserve">electricity storage facilities </w:t>
      </w:r>
      <w:r w:rsidR="00876D3C">
        <w:t xml:space="preserve">that withdraw </w:t>
      </w:r>
      <w:r>
        <w:t>will be recovered through manual adjustments (</w:t>
      </w:r>
      <w:r w:rsidR="00397AEE" w:rsidRPr="00397AEE">
        <w:rPr>
          <w:i/>
        </w:rPr>
        <w:t>charge type</w:t>
      </w:r>
      <w:r>
        <w:t xml:space="preserve"> 1050) </w:t>
      </w:r>
      <w:r w:rsidR="00677E57">
        <w:t>appearing on</w:t>
      </w:r>
      <w:r>
        <w:t xml:space="preserve"> the month-end </w:t>
      </w:r>
      <w:r>
        <w:rPr>
          <w:i/>
        </w:rPr>
        <w:t>settlement statements</w:t>
      </w:r>
      <w:r>
        <w:t>.</w:t>
      </w:r>
    </w:p>
    <w:p w14:paraId="23C69332" w14:textId="094065CA" w:rsidR="00B442BA" w:rsidRDefault="00B442BA" w:rsidP="00B442BA">
      <w:pPr>
        <w:pStyle w:val="Heading4"/>
      </w:pPr>
      <w:r w:rsidRPr="00B442BA">
        <w:t>Adjustment for Self-Induced CMSC Earned for Dispatchable Loads</w:t>
      </w:r>
    </w:p>
    <w:p w14:paraId="0F5DD3CA" w14:textId="77777777" w:rsidR="00B442BA" w:rsidRPr="0020762D" w:rsidRDefault="00B442BA" w:rsidP="00B442BA">
      <w:pPr>
        <w:spacing w:before="120"/>
      </w:pPr>
      <w:r w:rsidRPr="0020762D">
        <w:t xml:space="preserve">Self-induced CMSC payments, also considered inappropriate, occur as the result of actions taken by the </w:t>
      </w:r>
      <w:r w:rsidRPr="000F1B8D">
        <w:rPr>
          <w:i/>
        </w:rPr>
        <w:t>dispatchable</w:t>
      </w:r>
      <w:r>
        <w:t xml:space="preserve"> </w:t>
      </w:r>
      <w:r w:rsidRPr="0020762D">
        <w:rPr>
          <w:i/>
        </w:rPr>
        <w:t>load</w:t>
      </w:r>
      <w:r w:rsidRPr="0020762D">
        <w:t xml:space="preserve"> and/or conditions at, or involving, the </w:t>
      </w:r>
      <w:r w:rsidRPr="000F1B8D">
        <w:rPr>
          <w:i/>
        </w:rPr>
        <w:t>dispatchable</w:t>
      </w:r>
      <w:r>
        <w:t xml:space="preserve"> </w:t>
      </w:r>
      <w:r w:rsidRPr="0020762D">
        <w:rPr>
          <w:i/>
        </w:rPr>
        <w:t>load facility</w:t>
      </w:r>
      <w:r w:rsidRPr="0020762D">
        <w:t xml:space="preserve"> and not by conditions on the </w:t>
      </w:r>
      <w:r w:rsidRPr="0020762D">
        <w:rPr>
          <w:i/>
        </w:rPr>
        <w:t>IESO-controlled grid</w:t>
      </w:r>
      <w:r w:rsidRPr="0020762D">
        <w:t xml:space="preserve">. If you are the </w:t>
      </w:r>
      <w:r w:rsidRPr="0020762D">
        <w:rPr>
          <w:i/>
          <w:iCs/>
        </w:rPr>
        <w:t>market participant</w:t>
      </w:r>
      <w:r w:rsidRPr="0020762D">
        <w:t xml:space="preserve"> for a </w:t>
      </w:r>
      <w:r w:rsidRPr="0020762D">
        <w:rPr>
          <w:i/>
        </w:rPr>
        <w:t>dispatchable load facility</w:t>
      </w:r>
      <w:r w:rsidRPr="0020762D">
        <w:t xml:space="preserve"> the</w:t>
      </w:r>
      <w:r w:rsidRPr="0020762D">
        <w:rPr>
          <w:i/>
        </w:rPr>
        <w:t xml:space="preserve"> IESO</w:t>
      </w:r>
      <w:r w:rsidRPr="0020762D">
        <w:t xml:space="preserve"> may recover inappropriate CMSC payments from </w:t>
      </w:r>
      <w:r w:rsidRPr="0020762D">
        <w:rPr>
          <w:i/>
        </w:rPr>
        <w:t>dispatchable loads</w:t>
      </w:r>
      <w:r w:rsidRPr="0020762D">
        <w:t xml:space="preserve"> under the following scenarios, in accordance with section 3.5.6G of Chapter 9 of the </w:t>
      </w:r>
      <w:r w:rsidRPr="0020762D">
        <w:rPr>
          <w:i/>
        </w:rPr>
        <w:t>market rules</w:t>
      </w:r>
      <w:r w:rsidRPr="0020762D">
        <w:t xml:space="preserve">: </w:t>
      </w:r>
    </w:p>
    <w:p w14:paraId="1D92A4E2" w14:textId="77777777" w:rsidR="00B442BA" w:rsidRPr="0020762D" w:rsidRDefault="00B442BA" w:rsidP="00B442BA">
      <w:pPr>
        <w:pStyle w:val="ListParagraph"/>
        <w:numPr>
          <w:ilvl w:val="0"/>
          <w:numId w:val="84"/>
        </w:numPr>
      </w:pPr>
      <w:r w:rsidRPr="0020762D">
        <w:t xml:space="preserve">A </w:t>
      </w:r>
      <w:r w:rsidRPr="000F1B8D">
        <w:rPr>
          <w:i/>
        </w:rPr>
        <w:t>dispatchable</w:t>
      </w:r>
      <w:r>
        <w:t xml:space="preserve"> </w:t>
      </w:r>
      <w:r w:rsidRPr="0020762D">
        <w:rPr>
          <w:i/>
        </w:rPr>
        <w:t>load facility</w:t>
      </w:r>
      <w:r w:rsidRPr="0020762D">
        <w:t xml:space="preserve"> that either:</w:t>
      </w:r>
    </w:p>
    <w:p w14:paraId="1DCC23EE" w14:textId="77777777" w:rsidR="00B442BA" w:rsidRPr="0020762D" w:rsidRDefault="00B442BA" w:rsidP="00B442BA">
      <w:pPr>
        <w:pStyle w:val="ListParagraph"/>
        <w:numPr>
          <w:ilvl w:val="1"/>
          <w:numId w:val="84"/>
        </w:numPr>
      </w:pPr>
      <w:r w:rsidRPr="0020762D">
        <w:t xml:space="preserve">is unable to follow </w:t>
      </w:r>
      <w:r w:rsidRPr="0020762D">
        <w:rPr>
          <w:i/>
        </w:rPr>
        <w:t>IESO</w:t>
      </w:r>
      <w:r w:rsidRPr="0020762D">
        <w:t xml:space="preserve"> </w:t>
      </w:r>
      <w:r w:rsidRPr="0020762D">
        <w:rPr>
          <w:i/>
        </w:rPr>
        <w:t>dispatch</w:t>
      </w:r>
      <w:r w:rsidRPr="0020762D">
        <w:t xml:space="preserve"> </w:t>
      </w:r>
      <w:r w:rsidRPr="00747912">
        <w:rPr>
          <w:i/>
        </w:rPr>
        <w:t>instructions</w:t>
      </w:r>
      <w:r w:rsidRPr="0020762D">
        <w:t xml:space="preserve"> for safety, legal, regulatory, environmental or equipment damage reasons; and/or</w:t>
      </w:r>
    </w:p>
    <w:p w14:paraId="3B8B3349" w14:textId="77777777" w:rsidR="00B442BA" w:rsidRPr="0020762D" w:rsidRDefault="00B442BA" w:rsidP="00B442BA">
      <w:pPr>
        <w:pStyle w:val="ListParagraph"/>
        <w:numPr>
          <w:ilvl w:val="1"/>
          <w:numId w:val="84"/>
        </w:numPr>
      </w:pPr>
      <w:r w:rsidRPr="0020762D">
        <w:t xml:space="preserve">is </w:t>
      </w:r>
      <w:r w:rsidRPr="00747912">
        <w:t>constrained on</w:t>
      </w:r>
      <w:r w:rsidRPr="0020762D">
        <w:t xml:space="preserve"> or </w:t>
      </w:r>
      <w:r w:rsidRPr="00747912">
        <w:t>constrained off</w:t>
      </w:r>
      <w:r w:rsidRPr="0020762D">
        <w:t xml:space="preserve"> by the </w:t>
      </w:r>
      <w:r w:rsidRPr="0020762D">
        <w:rPr>
          <w:i/>
        </w:rPr>
        <w:t>IESO</w:t>
      </w:r>
      <w:r w:rsidRPr="0020762D">
        <w:t xml:space="preserve">, at the request of the </w:t>
      </w:r>
      <w:r w:rsidRPr="000F1B8D">
        <w:rPr>
          <w:i/>
        </w:rPr>
        <w:t>dispatchable</w:t>
      </w:r>
      <w:r>
        <w:t xml:space="preserve"> </w:t>
      </w:r>
      <w:r w:rsidRPr="0020762D">
        <w:rPr>
          <w:i/>
        </w:rPr>
        <w:t>load facility</w:t>
      </w:r>
      <w:r w:rsidRPr="0020762D">
        <w:t>, for safety, legal, regulatory, environmental or equipment damage reasons.</w:t>
      </w:r>
    </w:p>
    <w:p w14:paraId="663B387B" w14:textId="77777777" w:rsidR="00B442BA" w:rsidRPr="0020762D" w:rsidRDefault="00B442BA" w:rsidP="00B442BA"/>
    <w:p w14:paraId="08F2B309" w14:textId="77777777" w:rsidR="00B442BA" w:rsidRPr="0020762D" w:rsidRDefault="00B442BA" w:rsidP="00B442BA">
      <w:r w:rsidRPr="0020762D">
        <w:t xml:space="preserve">CMSC earned by the </w:t>
      </w:r>
      <w:r w:rsidRPr="0020762D">
        <w:rPr>
          <w:i/>
        </w:rPr>
        <w:t>dispatchable load facility</w:t>
      </w:r>
      <w:r w:rsidRPr="0020762D">
        <w:t xml:space="preserve"> in these scenarios is considered inappropriate as these payments are not consistent with the original intent of CMSC.</w:t>
      </w:r>
    </w:p>
    <w:p w14:paraId="61CB0668" w14:textId="77777777" w:rsidR="00B442BA" w:rsidRPr="0020762D" w:rsidRDefault="00B442BA" w:rsidP="00B442BA">
      <w:r w:rsidRPr="0020762D">
        <w:rPr>
          <w:i/>
        </w:rPr>
        <w:t>IESO</w:t>
      </w:r>
      <w:r w:rsidRPr="0020762D">
        <w:t xml:space="preserve"> staff will investigate these instances on an on-going basis and will notify the </w:t>
      </w:r>
      <w:r w:rsidRPr="0020762D">
        <w:rPr>
          <w:i/>
        </w:rPr>
        <w:t>market participant</w:t>
      </w:r>
      <w:r w:rsidRPr="0020762D">
        <w:t xml:space="preserve"> for a </w:t>
      </w:r>
      <w:r w:rsidRPr="0020762D">
        <w:rPr>
          <w:i/>
        </w:rPr>
        <w:t>dispatchable load facility</w:t>
      </w:r>
      <w:r w:rsidRPr="0020762D">
        <w:t xml:space="preserve"> of the applicable CMSC recovery. A </w:t>
      </w:r>
      <w:r w:rsidRPr="0020762D">
        <w:rPr>
          <w:i/>
        </w:rPr>
        <w:t>market participant</w:t>
      </w:r>
      <w:r w:rsidRPr="0020762D">
        <w:t xml:space="preserve"> for a </w:t>
      </w:r>
      <w:r w:rsidRPr="0020762D">
        <w:rPr>
          <w:i/>
        </w:rPr>
        <w:t>dispatchable load</w:t>
      </w:r>
      <w:r w:rsidRPr="0020762D">
        <w:t xml:space="preserve"> </w:t>
      </w:r>
      <w:r w:rsidRPr="0020762D">
        <w:rPr>
          <w:i/>
        </w:rPr>
        <w:t>facility</w:t>
      </w:r>
      <w:r w:rsidRPr="0020762D">
        <w:t xml:space="preserve"> will have 5 </w:t>
      </w:r>
      <w:r w:rsidRPr="0020762D">
        <w:rPr>
          <w:i/>
        </w:rPr>
        <w:t>business days</w:t>
      </w:r>
      <w:r w:rsidRPr="0020762D">
        <w:t xml:space="preserve"> to respond to the </w:t>
      </w:r>
      <w:r w:rsidRPr="0020762D">
        <w:rPr>
          <w:i/>
        </w:rPr>
        <w:t>IESO’s</w:t>
      </w:r>
      <w:r w:rsidRPr="0020762D">
        <w:t xml:space="preserve"> notification if the </w:t>
      </w:r>
      <w:r w:rsidRPr="0020762D">
        <w:rPr>
          <w:i/>
        </w:rPr>
        <w:t>market participant</w:t>
      </w:r>
      <w:r w:rsidRPr="0020762D">
        <w:t xml:space="preserve"> disagrees. If the </w:t>
      </w:r>
      <w:r w:rsidRPr="0020762D">
        <w:rPr>
          <w:i/>
        </w:rPr>
        <w:t>market participant</w:t>
      </w:r>
      <w:r w:rsidRPr="0020762D">
        <w:t xml:space="preserve"> does not respond within 5 </w:t>
      </w:r>
      <w:r w:rsidRPr="0020762D">
        <w:rPr>
          <w:i/>
        </w:rPr>
        <w:t>business days</w:t>
      </w:r>
      <w:r w:rsidRPr="0020762D">
        <w:t xml:space="preserve">, the CMSC included in the </w:t>
      </w:r>
      <w:r w:rsidRPr="0020762D">
        <w:rPr>
          <w:i/>
        </w:rPr>
        <w:t>IESO’s</w:t>
      </w:r>
      <w:r w:rsidRPr="0020762D">
        <w:t xml:space="preserve"> notice shall be recovered.</w:t>
      </w:r>
    </w:p>
    <w:p w14:paraId="44C1AF14" w14:textId="77777777" w:rsidR="00B442BA" w:rsidRPr="0020762D" w:rsidRDefault="00B442BA" w:rsidP="00B442BA">
      <w:pPr>
        <w:pStyle w:val="ListContinue"/>
        <w:rPr>
          <w:szCs w:val="22"/>
          <w:lang w:val="en-CA"/>
        </w:rPr>
      </w:pPr>
      <w:r w:rsidRPr="0020762D">
        <w:rPr>
          <w:szCs w:val="22"/>
          <w:lang w:val="en-CA"/>
        </w:rPr>
        <w:t xml:space="preserve">The CMSC recovery is applied as a manual entry to </w:t>
      </w:r>
      <w:r w:rsidRPr="0020762D">
        <w:rPr>
          <w:i/>
          <w:szCs w:val="22"/>
          <w:lang w:val="en-CA"/>
        </w:rPr>
        <w:t>charge type</w:t>
      </w:r>
      <w:r w:rsidRPr="0020762D">
        <w:rPr>
          <w:szCs w:val="22"/>
          <w:lang w:val="en-CA"/>
        </w:rPr>
        <w:t xml:space="preserve"> 124 “SEAL Congestion Management Settlement Credit Amount” </w:t>
      </w:r>
      <w:r w:rsidRPr="0020762D">
        <w:t xml:space="preserve">on your </w:t>
      </w:r>
      <w:r w:rsidRPr="0020762D">
        <w:rPr>
          <w:i/>
        </w:rPr>
        <w:t>preliminary settlement statement</w:t>
      </w:r>
      <w:r w:rsidRPr="0020762D">
        <w:t xml:space="preserve"> and </w:t>
      </w:r>
      <w:r w:rsidRPr="0020762D">
        <w:rPr>
          <w:i/>
        </w:rPr>
        <w:t>final settlement statement</w:t>
      </w:r>
      <w:r w:rsidRPr="0020762D">
        <w:t xml:space="preserve"> for the last </w:t>
      </w:r>
      <w:r w:rsidRPr="0020762D">
        <w:rPr>
          <w:i/>
        </w:rPr>
        <w:t>trading day</w:t>
      </w:r>
      <w:r w:rsidRPr="0020762D">
        <w:t xml:space="preserve"> of the month.</w:t>
      </w:r>
      <w:r w:rsidRPr="0020762D">
        <w:rPr>
          <w:szCs w:val="22"/>
          <w:lang w:val="en-CA"/>
        </w:rPr>
        <w:t xml:space="preserve"> The adjustment is rebated back to </w:t>
      </w:r>
      <w:r w:rsidRPr="0020762D">
        <w:rPr>
          <w:i/>
          <w:szCs w:val="22"/>
          <w:lang w:val="en-CA"/>
        </w:rPr>
        <w:t>market participants</w:t>
      </w:r>
      <w:r w:rsidRPr="0020762D">
        <w:rPr>
          <w:szCs w:val="22"/>
          <w:lang w:val="en-CA"/>
        </w:rPr>
        <w:t xml:space="preserve"> as a single manual entry to </w:t>
      </w:r>
      <w:r w:rsidRPr="0020762D">
        <w:rPr>
          <w:i/>
          <w:szCs w:val="22"/>
          <w:lang w:val="en-CA"/>
        </w:rPr>
        <w:t>charge type</w:t>
      </w:r>
      <w:r w:rsidRPr="0020762D">
        <w:rPr>
          <w:szCs w:val="22"/>
          <w:lang w:val="en-CA"/>
        </w:rPr>
        <w:t xml:space="preserve"> 155 “Congestion Management Settlement Uplift” </w:t>
      </w:r>
      <w:r w:rsidRPr="0020762D">
        <w:t xml:space="preserve">on the </w:t>
      </w:r>
      <w:r w:rsidRPr="0020762D">
        <w:rPr>
          <w:i/>
        </w:rPr>
        <w:t>preliminary settlement statement</w:t>
      </w:r>
      <w:r w:rsidRPr="0020762D">
        <w:t xml:space="preserve"> and </w:t>
      </w:r>
      <w:r w:rsidRPr="0020762D">
        <w:rPr>
          <w:i/>
        </w:rPr>
        <w:t>final settlement statement</w:t>
      </w:r>
      <w:r w:rsidRPr="0020762D">
        <w:t xml:space="preserve"> for the last </w:t>
      </w:r>
      <w:r w:rsidRPr="0020762D">
        <w:rPr>
          <w:i/>
        </w:rPr>
        <w:t>trading day</w:t>
      </w:r>
      <w:r w:rsidRPr="0020762D">
        <w:t xml:space="preserve"> of the month</w:t>
      </w:r>
      <w:r w:rsidRPr="0020762D">
        <w:rPr>
          <w:szCs w:val="22"/>
          <w:lang w:val="en-CA"/>
        </w:rPr>
        <w:t>.</w:t>
      </w:r>
    </w:p>
    <w:p w14:paraId="7DE8CDA9" w14:textId="7BAD22D3" w:rsidR="00CA25FD" w:rsidRDefault="00397AEE" w:rsidP="006E37DA">
      <w:pPr>
        <w:pStyle w:val="Heading3"/>
        <w:spacing w:after="0"/>
        <w:rPr>
          <w:lang w:val="en-CA"/>
        </w:rPr>
      </w:pPr>
      <w:bookmarkStart w:id="439" w:name="_Toc67560436"/>
      <w:bookmarkStart w:id="440" w:name="_Toc68157642"/>
      <w:bookmarkStart w:id="441" w:name="_Toc68157956"/>
      <w:bookmarkStart w:id="442" w:name="_Toc68162427"/>
      <w:bookmarkStart w:id="443" w:name="_Toc69904228"/>
      <w:bookmarkStart w:id="444" w:name="_Toc71535176"/>
      <w:bookmarkStart w:id="445" w:name="_Toc378329606"/>
      <w:bookmarkStart w:id="446" w:name="_Toc129493110"/>
      <w:bookmarkStart w:id="447" w:name="_Toc175383896"/>
      <w:bookmarkStart w:id="448" w:name="_Toc400369513"/>
      <w:bookmarkStart w:id="449" w:name="_Toc35796339"/>
      <w:bookmarkStart w:id="450" w:name="_Toc79657941"/>
      <w:bookmarkEnd w:id="439"/>
      <w:bookmarkEnd w:id="440"/>
      <w:bookmarkEnd w:id="441"/>
      <w:bookmarkEnd w:id="442"/>
      <w:bookmarkEnd w:id="443"/>
      <w:bookmarkEnd w:id="444"/>
      <w:bookmarkEnd w:id="445"/>
      <w:r w:rsidRPr="00397AEE">
        <w:rPr>
          <w:lang w:val="en-CA"/>
        </w:rPr>
        <w:t>Real-time Import Failure Charges and Export Failure Charges</w:t>
      </w:r>
      <w:bookmarkEnd w:id="446"/>
      <w:bookmarkEnd w:id="447"/>
      <w:bookmarkEnd w:id="448"/>
      <w:bookmarkEnd w:id="449"/>
      <w:bookmarkEnd w:id="450"/>
    </w:p>
    <w:p w14:paraId="6726B6B7" w14:textId="77777777" w:rsidR="00A7536D" w:rsidRDefault="00A74E78" w:rsidP="00A74E78">
      <w:pPr>
        <w:pStyle w:val="BodyText"/>
      </w:pPr>
      <w:r>
        <w:t xml:space="preserve">The </w:t>
      </w:r>
      <w:r w:rsidRPr="00A9589D">
        <w:rPr>
          <w:i/>
        </w:rPr>
        <w:t>market rules</w:t>
      </w:r>
      <w:r>
        <w:t xml:space="preserve"> no longer treat </w:t>
      </w:r>
      <w:r w:rsidR="00DA3379" w:rsidRPr="00DA3379">
        <w:rPr>
          <w:i/>
        </w:rPr>
        <w:t>intertie</w:t>
      </w:r>
      <w:r>
        <w:t xml:space="preserve"> transaction failures as </w:t>
      </w:r>
      <w:r w:rsidR="00BA2D62">
        <w:t xml:space="preserve">solely </w:t>
      </w:r>
      <w:r>
        <w:t xml:space="preserve">a compliance matter. </w:t>
      </w:r>
      <w:r w:rsidR="009C6690" w:rsidRPr="009C6690">
        <w:t>You will be</w:t>
      </w:r>
      <w:r w:rsidRPr="009C6690">
        <w:t xml:space="preserve"> </w:t>
      </w:r>
      <w:r>
        <w:t xml:space="preserve">assessed a </w:t>
      </w:r>
      <w:r w:rsidR="00DA3379" w:rsidRPr="00DA3379">
        <w:rPr>
          <w:i/>
        </w:rPr>
        <w:t>settlement</w:t>
      </w:r>
      <w:r w:rsidR="00BA2D62">
        <w:t xml:space="preserve"> </w:t>
      </w:r>
      <w:r>
        <w:t xml:space="preserve">charge for import and export failures to compensate the market for </w:t>
      </w:r>
      <w:r w:rsidR="00DA3379" w:rsidRPr="00DA3379">
        <w:rPr>
          <w:i/>
        </w:rPr>
        <w:t xml:space="preserve">intertie </w:t>
      </w:r>
      <w:r>
        <w:t xml:space="preserve">transaction failures that fail for reasons that are within </w:t>
      </w:r>
      <w:r w:rsidR="009C6690">
        <w:t xml:space="preserve">your </w:t>
      </w:r>
      <w:r>
        <w:t>control, i.e.</w:t>
      </w:r>
      <w:r w:rsidR="00432780">
        <w:t>,</w:t>
      </w:r>
      <w:r>
        <w:t xml:space="preserve"> not “bona fide and legitimate”. </w:t>
      </w:r>
      <w:r w:rsidR="00C4385C">
        <w:t>T</w:t>
      </w:r>
      <w:r>
        <w:t xml:space="preserve">he </w:t>
      </w:r>
      <w:r w:rsidRPr="008D2372">
        <w:rPr>
          <w:i/>
        </w:rPr>
        <w:t>market rules</w:t>
      </w:r>
      <w:r>
        <w:t xml:space="preserve"> allow for compliance actions which may include both imposing a financial penalty or recovering any </w:t>
      </w:r>
      <w:r w:rsidRPr="00A9589D">
        <w:rPr>
          <w:i/>
        </w:rPr>
        <w:t>settlement amounts</w:t>
      </w:r>
      <w:r>
        <w:t xml:space="preserve"> (such as </w:t>
      </w:r>
      <w:r w:rsidR="00DA3379" w:rsidRPr="00DA3379">
        <w:rPr>
          <w:i/>
        </w:rPr>
        <w:t>transmission rights</w:t>
      </w:r>
      <w:r>
        <w:t xml:space="preserve"> payments, congestion management </w:t>
      </w:r>
      <w:r w:rsidR="00DA3379" w:rsidRPr="00DA3379">
        <w:rPr>
          <w:i/>
        </w:rPr>
        <w:t>settlement</w:t>
      </w:r>
      <w:r>
        <w:t xml:space="preserve"> credits or other </w:t>
      </w:r>
      <w:r w:rsidRPr="00A9589D">
        <w:rPr>
          <w:i/>
        </w:rPr>
        <w:t>settlement amounts</w:t>
      </w:r>
      <w:r>
        <w:t xml:space="preserve">) that were inappropriately gained or avoided by a </w:t>
      </w:r>
      <w:r w:rsidRPr="00A9589D">
        <w:rPr>
          <w:i/>
        </w:rPr>
        <w:t>market participant</w:t>
      </w:r>
      <w:r>
        <w:rPr>
          <w:i/>
        </w:rPr>
        <w:t>.</w:t>
      </w:r>
      <w:r w:rsidR="00432780" w:rsidRPr="00432780">
        <w:t xml:space="preserve"> </w:t>
      </w:r>
      <w:r w:rsidR="00E15010">
        <w:t xml:space="preserve"> </w:t>
      </w:r>
      <w:r w:rsidR="00432780">
        <w:t xml:space="preserve">When </w:t>
      </w:r>
      <w:r w:rsidR="00DA3379" w:rsidRPr="00DA3379">
        <w:rPr>
          <w:i/>
        </w:rPr>
        <w:t>intertie</w:t>
      </w:r>
      <w:r w:rsidR="00432780">
        <w:t xml:space="preserve"> transaction failures are for bona fide and legitimate reasons, you are exempt from failure charges.</w:t>
      </w:r>
    </w:p>
    <w:p w14:paraId="533C8117" w14:textId="77777777" w:rsidR="004D02F0" w:rsidRDefault="00907C0A" w:rsidP="00FA3508">
      <w:pPr>
        <w:pStyle w:val="BodyText"/>
        <w:rPr>
          <w:lang w:val="en-CA"/>
        </w:rPr>
      </w:pPr>
      <w:r>
        <w:rPr>
          <w:lang w:val="en-CA"/>
        </w:rPr>
        <w:t>The Day-Ahead Commitment Process (DACP) includes a d</w:t>
      </w:r>
      <w:r w:rsidR="00FA3508">
        <w:rPr>
          <w:lang w:val="en-CA"/>
        </w:rPr>
        <w:t xml:space="preserve">ay-ahead </w:t>
      </w:r>
      <w:r>
        <w:rPr>
          <w:lang w:val="en-CA"/>
        </w:rPr>
        <w:t>import failure</w:t>
      </w:r>
      <w:r w:rsidR="00FA3508">
        <w:rPr>
          <w:lang w:val="en-CA"/>
        </w:rPr>
        <w:t xml:space="preserve"> </w:t>
      </w:r>
      <w:r w:rsidR="00DA3379" w:rsidRPr="00DA3379">
        <w:rPr>
          <w:i/>
          <w:lang w:val="en-CA"/>
        </w:rPr>
        <w:t xml:space="preserve">settlement </w:t>
      </w:r>
      <w:r w:rsidR="00BA2D62">
        <w:rPr>
          <w:lang w:val="en-CA"/>
        </w:rPr>
        <w:t>charge</w:t>
      </w:r>
      <w:r w:rsidR="0026472A">
        <w:rPr>
          <w:lang w:val="en-CA"/>
        </w:rPr>
        <w:t xml:space="preserve"> (DA-IFC), a day-ahead export failure charge (DA-EFC) and a day-ahead linked wheel failure charge (DA-LWFC)</w:t>
      </w:r>
      <w:r w:rsidR="009932CC">
        <w:rPr>
          <w:lang w:val="en-CA"/>
        </w:rPr>
        <w:t xml:space="preserve">. </w:t>
      </w:r>
      <w:r>
        <w:rPr>
          <w:lang w:val="en-CA"/>
        </w:rPr>
        <w:t xml:space="preserve">Refer to “Market Manual 9: </w:t>
      </w:r>
      <w:r w:rsidR="0026472A">
        <w:rPr>
          <w:lang w:val="en-CA"/>
        </w:rPr>
        <w:t xml:space="preserve">Part 9.5 </w:t>
      </w:r>
      <w:r>
        <w:rPr>
          <w:lang w:val="en-CA"/>
        </w:rPr>
        <w:t>Settlement</w:t>
      </w:r>
      <w:r w:rsidR="0026472A">
        <w:rPr>
          <w:lang w:val="en-CA"/>
        </w:rPr>
        <w:t xml:space="preserve"> of the DACP</w:t>
      </w:r>
      <w:r>
        <w:rPr>
          <w:lang w:val="en-CA"/>
        </w:rPr>
        <w:t>” for details on the DA-IFC</w:t>
      </w:r>
      <w:r w:rsidR="0026472A">
        <w:rPr>
          <w:lang w:val="en-CA"/>
        </w:rPr>
        <w:t>, DA-EFC and DA-LWFC</w:t>
      </w:r>
      <w:r w:rsidR="00BA2D62">
        <w:rPr>
          <w:lang w:val="en-CA"/>
        </w:rPr>
        <w:t>,</w:t>
      </w:r>
      <w:r w:rsidR="004D02F0">
        <w:rPr>
          <w:lang w:val="en-CA"/>
        </w:rPr>
        <w:t xml:space="preserve"> </w:t>
      </w:r>
      <w:r w:rsidR="00BA2D62">
        <w:rPr>
          <w:lang w:val="en-CA"/>
        </w:rPr>
        <w:t>and</w:t>
      </w:r>
      <w:r w:rsidR="004D02F0">
        <w:rPr>
          <w:lang w:val="en-CA"/>
        </w:rPr>
        <w:t xml:space="preserve"> Chapter 7, Section 7.5.8B and Chapter 9, Sections</w:t>
      </w:r>
      <w:r w:rsidR="0001726D">
        <w:rPr>
          <w:lang w:val="en-CA"/>
        </w:rPr>
        <w:t xml:space="preserve"> 3.8B</w:t>
      </w:r>
      <w:r w:rsidR="004D02F0">
        <w:rPr>
          <w:lang w:val="en-CA"/>
        </w:rPr>
        <w:t>, 3.9 and 4.8</w:t>
      </w:r>
      <w:r>
        <w:rPr>
          <w:lang w:val="en-CA"/>
        </w:rPr>
        <w:t xml:space="preserve"> of the </w:t>
      </w:r>
      <w:r w:rsidR="00752CC8" w:rsidRPr="00752CC8">
        <w:rPr>
          <w:i/>
          <w:lang w:val="en-CA"/>
        </w:rPr>
        <w:t>market rules</w:t>
      </w:r>
      <w:r>
        <w:rPr>
          <w:lang w:val="en-CA"/>
        </w:rPr>
        <w:t>.</w:t>
      </w:r>
    </w:p>
    <w:p w14:paraId="53313DCD" w14:textId="77777777" w:rsidR="00FA3508" w:rsidRDefault="00FA3508" w:rsidP="00133618">
      <w:pPr>
        <w:pStyle w:val="Heading4"/>
      </w:pPr>
      <w:bookmarkStart w:id="451" w:name="_Toc131574861"/>
      <w:r>
        <w:t>Intertie Transaction Reason Codes and Resultant Settlement Treatment</w:t>
      </w:r>
      <w:bookmarkEnd w:id="451"/>
    </w:p>
    <w:p w14:paraId="231CB146" w14:textId="77777777" w:rsidR="00907C0A" w:rsidRDefault="00D72D04" w:rsidP="00907C0A">
      <w:pPr>
        <w:pStyle w:val="BodyText"/>
      </w:pPr>
      <w:bookmarkStart w:id="452" w:name="_Toc131574888"/>
      <w:r>
        <w:t>When we manually alter an import or export schedule, we apply one of seven ‘reason codes’</w:t>
      </w:r>
      <w:r w:rsidR="00BA2D62">
        <w:t xml:space="preserve"> to apply the appropriate </w:t>
      </w:r>
      <w:r w:rsidR="00DA3379" w:rsidRPr="00DA3379">
        <w:rPr>
          <w:i/>
        </w:rPr>
        <w:t>settlement</w:t>
      </w:r>
      <w:r w:rsidR="00BA2D62">
        <w:t xml:space="preserve"> treatment</w:t>
      </w:r>
      <w:r w:rsidR="00907C0A">
        <w:t xml:space="preserve">. </w:t>
      </w:r>
      <w:r w:rsidR="00FE2184">
        <w:t xml:space="preserve"> </w:t>
      </w:r>
      <w:r w:rsidR="00907C0A">
        <w:t xml:space="preserve">These reason codes are defined in Table 3–5 of the </w:t>
      </w:r>
      <w:r w:rsidR="00907C0A" w:rsidRPr="00974A9D">
        <w:rPr>
          <w:i/>
        </w:rPr>
        <w:t>IESO</w:t>
      </w:r>
      <w:r w:rsidR="00907C0A">
        <w:t xml:space="preserve"> Technical Interface document “</w:t>
      </w:r>
      <w:r w:rsidR="00907C0A" w:rsidRPr="00974A9D">
        <w:t>Format Specifications for Settlement Statement Files and Data Files</w:t>
      </w:r>
      <w:r w:rsidR="00907C0A">
        <w:t xml:space="preserve">” (IMP_SPEC_0005). </w:t>
      </w:r>
      <w:r w:rsidR="00FE2184">
        <w:t xml:space="preserve"> </w:t>
      </w:r>
      <w:r w:rsidR="00907C0A">
        <w:t>Refer to “Market Manual 4: Market Operations, Part 4.3: Real-time Scheduling of the Physical Markets” for more information regarding the application of reason codes to import and export schedules.</w:t>
      </w:r>
    </w:p>
    <w:p w14:paraId="1EC98F11" w14:textId="77777777" w:rsidR="00907C0A" w:rsidRDefault="002A0E28" w:rsidP="00907C0A">
      <w:pPr>
        <w:pStyle w:val="BodyText"/>
      </w:pPr>
      <w:r>
        <w:t>Table 1–</w:t>
      </w:r>
      <w:r w:rsidR="00A9021B">
        <w:t xml:space="preserve">3 </w:t>
      </w:r>
      <w:r w:rsidR="00907C0A">
        <w:t>contains the reason codes and the resulting treatment of CMSC</w:t>
      </w:r>
      <w:r w:rsidR="00A9021B">
        <w:t>,</w:t>
      </w:r>
      <w:r w:rsidR="00907C0A">
        <w:t xml:space="preserve"> the day-ahead and real-time failure charges</w:t>
      </w:r>
      <w:r w:rsidR="00A9021B">
        <w:t xml:space="preserve"> and day-ahead IOG</w:t>
      </w:r>
      <w:r w:rsidR="00907C0A">
        <w:t>.</w:t>
      </w:r>
    </w:p>
    <w:p w14:paraId="35824157" w14:textId="77777777" w:rsidR="00907C0A" w:rsidRDefault="00907C0A" w:rsidP="00907C0A">
      <w:pPr>
        <w:pStyle w:val="BodyText"/>
      </w:pPr>
      <w:r>
        <w:t xml:space="preserve">For </w:t>
      </w:r>
      <w:r w:rsidR="00BA2D62">
        <w:t>failed</w:t>
      </w:r>
      <w:r>
        <w:t xml:space="preserve"> </w:t>
      </w:r>
      <w:r w:rsidR="00BA2D62">
        <w:t xml:space="preserve">imports and </w:t>
      </w:r>
      <w:r w:rsidR="00770492">
        <w:t>exports</w:t>
      </w:r>
      <w:r>
        <w:t>:</w:t>
      </w:r>
    </w:p>
    <w:p w14:paraId="611168FE" w14:textId="77777777" w:rsidR="00274BEB" w:rsidRDefault="00907C0A">
      <w:pPr>
        <w:pStyle w:val="Bullet"/>
        <w:spacing w:before="120"/>
      </w:pPr>
      <w:r>
        <w:t>“Yes” indicates a failure meeting the criteria of a</w:t>
      </w:r>
      <w:r w:rsidRPr="007E543D">
        <w:t xml:space="preserve"> </w:t>
      </w:r>
      <w:r>
        <w:t xml:space="preserve">bona fide and legitimate reason </w:t>
      </w:r>
      <w:r w:rsidR="00F705FD">
        <w:t xml:space="preserve">for failure as described in Chapter 7, </w:t>
      </w:r>
      <w:r w:rsidR="00BA2D62">
        <w:t>S</w:t>
      </w:r>
      <w:r w:rsidR="00F705FD">
        <w:t>ection 7.5</w:t>
      </w:r>
      <w:r w:rsidR="002E0547">
        <w:t>.8B</w:t>
      </w:r>
      <w:r w:rsidR="000B0ABB">
        <w:t xml:space="preserve"> in the </w:t>
      </w:r>
      <w:r w:rsidR="00752CC8" w:rsidRPr="00752CC8">
        <w:rPr>
          <w:i/>
        </w:rPr>
        <w:t>market rules</w:t>
      </w:r>
      <w:r>
        <w:t xml:space="preserve"> allowing the transaction to be exempt from the failure charge</w:t>
      </w:r>
      <w:r w:rsidR="008D2B24">
        <w:t>; and</w:t>
      </w:r>
    </w:p>
    <w:p w14:paraId="73F5AF90" w14:textId="77777777" w:rsidR="00CA25FD" w:rsidRDefault="00907C0A">
      <w:pPr>
        <w:pStyle w:val="Bullet"/>
        <w:spacing w:before="120"/>
      </w:pPr>
      <w:r>
        <w:t>“No” indicates a failure not meeting the criteria of a</w:t>
      </w:r>
      <w:r w:rsidRPr="007E543D">
        <w:t xml:space="preserve"> </w:t>
      </w:r>
      <w:r>
        <w:t xml:space="preserve">bona fide and legitimate reason as described in the </w:t>
      </w:r>
      <w:r w:rsidRPr="007E543D">
        <w:rPr>
          <w:i/>
        </w:rPr>
        <w:t xml:space="preserve">IESO </w:t>
      </w:r>
      <w:r w:rsidR="00752CC8" w:rsidRPr="00752CC8">
        <w:rPr>
          <w:i/>
        </w:rPr>
        <w:t>market rules</w:t>
      </w:r>
      <w:r>
        <w:t>, exposing the transaction to the failure charge.</w:t>
      </w:r>
    </w:p>
    <w:p w14:paraId="335D189B" w14:textId="77777777" w:rsidR="006E37DA" w:rsidRDefault="006E37DA">
      <w:pPr>
        <w:spacing w:after="0"/>
        <w:rPr>
          <w:b/>
          <w:lang w:eastAsia="en-US"/>
        </w:rPr>
      </w:pPr>
      <w:bookmarkStart w:id="453" w:name="_Toc173213641"/>
      <w:bookmarkStart w:id="454" w:name="_Toc400369593"/>
      <w:r>
        <w:br w:type="page"/>
      </w:r>
    </w:p>
    <w:p w14:paraId="1585BE5D" w14:textId="265AA0F0" w:rsidR="00FA3508" w:rsidRDefault="002A0E28" w:rsidP="00FA3508">
      <w:pPr>
        <w:pStyle w:val="TableCaption"/>
      </w:pPr>
      <w:bookmarkStart w:id="455" w:name="_Toc35796427"/>
      <w:bookmarkStart w:id="456" w:name="_Toc79657834"/>
      <w:r>
        <w:t>Table 1–</w:t>
      </w:r>
      <w:r w:rsidR="00E71FF2">
        <w:t>3</w:t>
      </w:r>
      <w:r w:rsidR="00FA3508">
        <w:t xml:space="preserve">: </w:t>
      </w:r>
      <w:r w:rsidR="00395FFD">
        <w:t xml:space="preserve"> </w:t>
      </w:r>
      <w:r w:rsidR="00FA3508">
        <w:t>Failure Reason Codes and Settlement Treatment</w:t>
      </w:r>
      <w:bookmarkEnd w:id="452"/>
      <w:bookmarkEnd w:id="453"/>
      <w:bookmarkEnd w:id="454"/>
      <w:bookmarkEnd w:id="455"/>
      <w:bookmarkEnd w:id="456"/>
    </w:p>
    <w:tbl>
      <w:tblPr>
        <w:tblStyle w:val="TableGrid"/>
        <w:tblW w:w="10908" w:type="dxa"/>
        <w:tblInd w:w="-792" w:type="dxa"/>
        <w:tblLayout w:type="fixed"/>
        <w:tblLook w:val="04A0" w:firstRow="1" w:lastRow="0" w:firstColumn="1" w:lastColumn="0" w:noHBand="0" w:noVBand="1"/>
        <w:tblDescription w:val="Table for the Failure Reason Codes and Settlement Treatment"/>
      </w:tblPr>
      <w:tblGrid>
        <w:gridCol w:w="1098"/>
        <w:gridCol w:w="2052"/>
        <w:gridCol w:w="1422"/>
        <w:gridCol w:w="1080"/>
        <w:gridCol w:w="990"/>
        <w:gridCol w:w="990"/>
        <w:gridCol w:w="1080"/>
        <w:gridCol w:w="1098"/>
        <w:gridCol w:w="1098"/>
      </w:tblGrid>
      <w:tr w:rsidR="00C56BA5" w:rsidRPr="003A601B" w14:paraId="33FB3992" w14:textId="77777777" w:rsidTr="001E65B5">
        <w:trPr>
          <w:tblHeader/>
        </w:trPr>
        <w:tc>
          <w:tcPr>
            <w:tcW w:w="1098" w:type="dxa"/>
            <w:shd w:val="pct20" w:color="auto" w:fill="auto"/>
            <w:vAlign w:val="center"/>
          </w:tcPr>
          <w:p w14:paraId="46E4B746" w14:textId="77777777" w:rsidR="00C56BA5" w:rsidRPr="00F92804" w:rsidRDefault="00C56BA5" w:rsidP="005B3663">
            <w:pPr>
              <w:pStyle w:val="Default"/>
              <w:spacing w:before="120" w:after="120"/>
              <w:jc w:val="center"/>
              <w:rPr>
                <w:b/>
                <w:sz w:val="20"/>
                <w:szCs w:val="20"/>
              </w:rPr>
            </w:pPr>
            <w:r w:rsidRPr="00F92804">
              <w:rPr>
                <w:b/>
                <w:sz w:val="20"/>
                <w:szCs w:val="20"/>
              </w:rPr>
              <w:t>Code Entered</w:t>
            </w:r>
          </w:p>
        </w:tc>
        <w:tc>
          <w:tcPr>
            <w:tcW w:w="2052" w:type="dxa"/>
            <w:shd w:val="pct20" w:color="auto" w:fill="auto"/>
            <w:vAlign w:val="center"/>
          </w:tcPr>
          <w:p w14:paraId="4F57C8D4" w14:textId="77777777" w:rsidR="00C56BA5" w:rsidRPr="00F92804" w:rsidRDefault="00C56BA5" w:rsidP="005B3663">
            <w:pPr>
              <w:pStyle w:val="Default"/>
              <w:spacing w:before="120" w:after="120"/>
              <w:jc w:val="center"/>
              <w:rPr>
                <w:b/>
                <w:sz w:val="20"/>
                <w:szCs w:val="20"/>
              </w:rPr>
            </w:pPr>
            <w:r w:rsidRPr="00F92804">
              <w:rPr>
                <w:b/>
                <w:sz w:val="20"/>
                <w:szCs w:val="20"/>
              </w:rPr>
              <w:t>DSO</w:t>
            </w:r>
            <w:r>
              <w:rPr>
                <w:rStyle w:val="FootnoteReference"/>
                <w:b/>
                <w:sz w:val="20"/>
                <w:szCs w:val="20"/>
              </w:rPr>
              <w:footnoteReference w:id="30"/>
            </w:r>
            <w:r w:rsidRPr="00F92804">
              <w:rPr>
                <w:b/>
                <w:sz w:val="20"/>
                <w:szCs w:val="20"/>
              </w:rPr>
              <w:t xml:space="preserve"> Treatment</w:t>
            </w:r>
          </w:p>
        </w:tc>
        <w:tc>
          <w:tcPr>
            <w:tcW w:w="1422" w:type="dxa"/>
            <w:shd w:val="pct20" w:color="auto" w:fill="auto"/>
            <w:vAlign w:val="center"/>
          </w:tcPr>
          <w:p w14:paraId="75C04308" w14:textId="77777777" w:rsidR="00C56BA5" w:rsidRPr="00F92804" w:rsidRDefault="00C56BA5" w:rsidP="005B3663">
            <w:pPr>
              <w:pStyle w:val="Default"/>
              <w:spacing w:before="120" w:after="120"/>
              <w:jc w:val="center"/>
              <w:rPr>
                <w:b/>
                <w:sz w:val="20"/>
                <w:szCs w:val="20"/>
              </w:rPr>
            </w:pPr>
            <w:r w:rsidRPr="00F92804">
              <w:rPr>
                <w:b/>
                <w:sz w:val="20"/>
                <w:szCs w:val="20"/>
              </w:rPr>
              <w:t>CMSC Treatment</w:t>
            </w:r>
          </w:p>
        </w:tc>
        <w:tc>
          <w:tcPr>
            <w:tcW w:w="1080" w:type="dxa"/>
            <w:shd w:val="pct20" w:color="auto" w:fill="auto"/>
            <w:vAlign w:val="center"/>
          </w:tcPr>
          <w:p w14:paraId="6BD877D3" w14:textId="77777777" w:rsidR="00C56BA5" w:rsidRPr="00F92804" w:rsidRDefault="00C56BA5" w:rsidP="005B3663">
            <w:pPr>
              <w:pStyle w:val="Default"/>
              <w:spacing w:before="120" w:after="120"/>
              <w:jc w:val="center"/>
              <w:rPr>
                <w:b/>
                <w:sz w:val="20"/>
                <w:szCs w:val="20"/>
              </w:rPr>
            </w:pPr>
            <w:r w:rsidRPr="00F92804">
              <w:rPr>
                <w:b/>
                <w:sz w:val="20"/>
                <w:szCs w:val="20"/>
              </w:rPr>
              <w:t>DA IFC Exempt (Import)</w:t>
            </w:r>
          </w:p>
        </w:tc>
        <w:tc>
          <w:tcPr>
            <w:tcW w:w="990" w:type="dxa"/>
            <w:shd w:val="pct20" w:color="auto" w:fill="auto"/>
            <w:vAlign w:val="center"/>
          </w:tcPr>
          <w:p w14:paraId="6A79C579" w14:textId="77777777" w:rsidR="00C56BA5" w:rsidRPr="00F92804" w:rsidRDefault="00C56BA5" w:rsidP="005B3663">
            <w:pPr>
              <w:pStyle w:val="Default"/>
              <w:spacing w:before="120" w:after="120"/>
              <w:jc w:val="center"/>
              <w:rPr>
                <w:b/>
                <w:sz w:val="20"/>
                <w:szCs w:val="20"/>
              </w:rPr>
            </w:pPr>
            <w:r w:rsidRPr="00F92804">
              <w:rPr>
                <w:b/>
                <w:sz w:val="20"/>
                <w:szCs w:val="20"/>
              </w:rPr>
              <w:t>DA EFC Exempt (Export)</w:t>
            </w:r>
          </w:p>
        </w:tc>
        <w:tc>
          <w:tcPr>
            <w:tcW w:w="990" w:type="dxa"/>
            <w:shd w:val="pct20" w:color="auto" w:fill="auto"/>
            <w:vAlign w:val="center"/>
          </w:tcPr>
          <w:p w14:paraId="5C999B7B" w14:textId="77777777" w:rsidR="00C56BA5" w:rsidRPr="00F92804" w:rsidRDefault="00C56BA5" w:rsidP="005B3663">
            <w:pPr>
              <w:pStyle w:val="Default"/>
              <w:spacing w:before="120" w:after="120"/>
              <w:jc w:val="center"/>
              <w:rPr>
                <w:b/>
                <w:sz w:val="20"/>
                <w:szCs w:val="20"/>
              </w:rPr>
            </w:pPr>
            <w:r w:rsidRPr="00F92804">
              <w:rPr>
                <w:b/>
                <w:sz w:val="20"/>
                <w:szCs w:val="20"/>
              </w:rPr>
              <w:t>DA LWFC Exempt</w:t>
            </w:r>
          </w:p>
        </w:tc>
        <w:tc>
          <w:tcPr>
            <w:tcW w:w="1080" w:type="dxa"/>
            <w:shd w:val="pct20" w:color="auto" w:fill="auto"/>
            <w:vAlign w:val="center"/>
          </w:tcPr>
          <w:p w14:paraId="0BEEA670" w14:textId="77777777" w:rsidR="00C56BA5" w:rsidRPr="00F92804" w:rsidRDefault="00C56BA5" w:rsidP="005B3663">
            <w:pPr>
              <w:pStyle w:val="Default"/>
              <w:spacing w:before="120" w:after="120"/>
              <w:jc w:val="center"/>
              <w:rPr>
                <w:b/>
                <w:sz w:val="20"/>
                <w:szCs w:val="20"/>
              </w:rPr>
            </w:pPr>
            <w:r w:rsidRPr="00F92804">
              <w:rPr>
                <w:b/>
                <w:sz w:val="20"/>
                <w:szCs w:val="20"/>
              </w:rPr>
              <w:t>RT IFC Exempt (Import)</w:t>
            </w:r>
          </w:p>
        </w:tc>
        <w:tc>
          <w:tcPr>
            <w:tcW w:w="1098" w:type="dxa"/>
            <w:shd w:val="pct20" w:color="auto" w:fill="auto"/>
            <w:vAlign w:val="center"/>
          </w:tcPr>
          <w:p w14:paraId="5D73C79D" w14:textId="77777777" w:rsidR="00C56BA5" w:rsidRPr="00F92804" w:rsidRDefault="00C56BA5" w:rsidP="005B3663">
            <w:pPr>
              <w:pStyle w:val="Default"/>
              <w:spacing w:before="120" w:after="120"/>
              <w:jc w:val="center"/>
              <w:rPr>
                <w:b/>
                <w:sz w:val="20"/>
                <w:szCs w:val="20"/>
              </w:rPr>
            </w:pPr>
            <w:r w:rsidRPr="00F92804">
              <w:rPr>
                <w:b/>
                <w:sz w:val="20"/>
                <w:szCs w:val="20"/>
              </w:rPr>
              <w:t>RT EFC Exempt (Export)</w:t>
            </w:r>
          </w:p>
        </w:tc>
        <w:tc>
          <w:tcPr>
            <w:tcW w:w="1098" w:type="dxa"/>
            <w:shd w:val="pct20" w:color="auto" w:fill="auto"/>
          </w:tcPr>
          <w:p w14:paraId="3DBDC354" w14:textId="77777777" w:rsidR="00C56BA5" w:rsidRPr="00F92804" w:rsidRDefault="00C56BA5" w:rsidP="005B3663">
            <w:pPr>
              <w:pStyle w:val="Default"/>
              <w:spacing w:before="120" w:after="120"/>
              <w:jc w:val="center"/>
              <w:rPr>
                <w:b/>
                <w:sz w:val="20"/>
                <w:szCs w:val="20"/>
              </w:rPr>
            </w:pPr>
            <w:r>
              <w:rPr>
                <w:b/>
                <w:sz w:val="20"/>
                <w:szCs w:val="20"/>
              </w:rPr>
              <w:t>DA-IOG Component #2</w:t>
            </w:r>
          </w:p>
        </w:tc>
      </w:tr>
      <w:tr w:rsidR="00C56BA5" w14:paraId="7191D6F9" w14:textId="77777777" w:rsidTr="00C45824">
        <w:tc>
          <w:tcPr>
            <w:tcW w:w="1098" w:type="dxa"/>
          </w:tcPr>
          <w:p w14:paraId="47DC5787" w14:textId="77777777" w:rsidR="00C56BA5" w:rsidRPr="00F92804" w:rsidRDefault="00C56BA5" w:rsidP="005B3663">
            <w:pPr>
              <w:pStyle w:val="Default"/>
              <w:spacing w:after="117"/>
              <w:rPr>
                <w:b/>
                <w:sz w:val="20"/>
                <w:szCs w:val="20"/>
              </w:rPr>
            </w:pPr>
            <w:r w:rsidRPr="00F92804">
              <w:rPr>
                <w:b/>
                <w:sz w:val="20"/>
                <w:szCs w:val="20"/>
              </w:rPr>
              <w:t>OTH</w:t>
            </w:r>
          </w:p>
        </w:tc>
        <w:tc>
          <w:tcPr>
            <w:tcW w:w="2052" w:type="dxa"/>
          </w:tcPr>
          <w:p w14:paraId="6B16A670" w14:textId="77777777" w:rsidR="00C56BA5" w:rsidRPr="00F92804" w:rsidRDefault="00C56BA5" w:rsidP="005B3663">
            <w:pPr>
              <w:pStyle w:val="Default"/>
              <w:spacing w:after="117"/>
              <w:rPr>
                <w:sz w:val="20"/>
                <w:szCs w:val="20"/>
              </w:rPr>
            </w:pPr>
            <w:r w:rsidRPr="00F92804">
              <w:rPr>
                <w:sz w:val="20"/>
                <w:szCs w:val="20"/>
              </w:rPr>
              <w:t>Constrained Schedule equal to Market Schedule</w:t>
            </w:r>
          </w:p>
        </w:tc>
        <w:tc>
          <w:tcPr>
            <w:tcW w:w="1422" w:type="dxa"/>
          </w:tcPr>
          <w:p w14:paraId="5EFC1311" w14:textId="77777777" w:rsidR="00C56BA5" w:rsidRPr="00F92804" w:rsidRDefault="00C56BA5" w:rsidP="005B3663">
            <w:pPr>
              <w:pStyle w:val="Default"/>
              <w:spacing w:after="117"/>
              <w:rPr>
                <w:sz w:val="20"/>
                <w:szCs w:val="20"/>
              </w:rPr>
            </w:pPr>
            <w:r w:rsidRPr="00F92804">
              <w:rPr>
                <w:sz w:val="20"/>
                <w:szCs w:val="20"/>
              </w:rPr>
              <w:t>No</w:t>
            </w:r>
          </w:p>
        </w:tc>
        <w:tc>
          <w:tcPr>
            <w:tcW w:w="1080" w:type="dxa"/>
          </w:tcPr>
          <w:p w14:paraId="07746119" w14:textId="77777777" w:rsidR="00C56BA5" w:rsidRPr="00F92804" w:rsidRDefault="00C56BA5" w:rsidP="005B3663">
            <w:pPr>
              <w:pStyle w:val="Default"/>
              <w:spacing w:after="117"/>
              <w:rPr>
                <w:sz w:val="20"/>
                <w:szCs w:val="20"/>
              </w:rPr>
            </w:pPr>
            <w:r w:rsidRPr="00F92804">
              <w:rPr>
                <w:sz w:val="20"/>
                <w:szCs w:val="20"/>
              </w:rPr>
              <w:t>No</w:t>
            </w:r>
          </w:p>
        </w:tc>
        <w:tc>
          <w:tcPr>
            <w:tcW w:w="990" w:type="dxa"/>
          </w:tcPr>
          <w:p w14:paraId="16BDC178" w14:textId="77777777" w:rsidR="00C56BA5" w:rsidRPr="00F92804" w:rsidRDefault="00C56BA5" w:rsidP="005B3663">
            <w:pPr>
              <w:pStyle w:val="Default"/>
              <w:spacing w:after="117"/>
              <w:rPr>
                <w:sz w:val="20"/>
                <w:szCs w:val="20"/>
              </w:rPr>
            </w:pPr>
            <w:r w:rsidRPr="00F92804">
              <w:rPr>
                <w:sz w:val="20"/>
                <w:szCs w:val="20"/>
              </w:rPr>
              <w:t>No</w:t>
            </w:r>
          </w:p>
        </w:tc>
        <w:tc>
          <w:tcPr>
            <w:tcW w:w="990" w:type="dxa"/>
          </w:tcPr>
          <w:p w14:paraId="08B3D3B7" w14:textId="77777777" w:rsidR="00C56BA5" w:rsidRPr="00F92804" w:rsidRDefault="00C56BA5" w:rsidP="005B3663">
            <w:pPr>
              <w:pStyle w:val="Default"/>
              <w:spacing w:after="117"/>
              <w:rPr>
                <w:sz w:val="20"/>
                <w:szCs w:val="20"/>
              </w:rPr>
            </w:pPr>
            <w:r w:rsidRPr="00F92804">
              <w:rPr>
                <w:sz w:val="20"/>
                <w:szCs w:val="20"/>
              </w:rPr>
              <w:t>No</w:t>
            </w:r>
          </w:p>
        </w:tc>
        <w:tc>
          <w:tcPr>
            <w:tcW w:w="1080" w:type="dxa"/>
          </w:tcPr>
          <w:p w14:paraId="75CDD304" w14:textId="77777777" w:rsidR="00C56BA5" w:rsidRPr="00F92804" w:rsidRDefault="00C56BA5" w:rsidP="005B3663">
            <w:pPr>
              <w:pStyle w:val="Default"/>
              <w:spacing w:after="117"/>
              <w:rPr>
                <w:sz w:val="20"/>
                <w:szCs w:val="20"/>
              </w:rPr>
            </w:pPr>
            <w:r w:rsidRPr="00F92804">
              <w:rPr>
                <w:sz w:val="20"/>
                <w:szCs w:val="20"/>
              </w:rPr>
              <w:t>No</w:t>
            </w:r>
          </w:p>
        </w:tc>
        <w:tc>
          <w:tcPr>
            <w:tcW w:w="1098" w:type="dxa"/>
          </w:tcPr>
          <w:p w14:paraId="742541DA" w14:textId="77777777" w:rsidR="00C56BA5" w:rsidRPr="00F92804" w:rsidRDefault="00C56BA5" w:rsidP="005B3663">
            <w:pPr>
              <w:pStyle w:val="Default"/>
              <w:spacing w:after="117"/>
              <w:rPr>
                <w:sz w:val="20"/>
                <w:szCs w:val="20"/>
              </w:rPr>
            </w:pPr>
            <w:r w:rsidRPr="00F92804">
              <w:rPr>
                <w:sz w:val="20"/>
                <w:szCs w:val="20"/>
              </w:rPr>
              <w:t>No</w:t>
            </w:r>
          </w:p>
        </w:tc>
        <w:tc>
          <w:tcPr>
            <w:tcW w:w="1098" w:type="dxa"/>
          </w:tcPr>
          <w:p w14:paraId="545C3CB5" w14:textId="77777777" w:rsidR="00C56BA5" w:rsidRPr="00F92804" w:rsidRDefault="00C56BA5" w:rsidP="005B3663">
            <w:pPr>
              <w:pStyle w:val="Default"/>
              <w:spacing w:after="117"/>
              <w:rPr>
                <w:sz w:val="20"/>
                <w:szCs w:val="20"/>
              </w:rPr>
            </w:pPr>
            <w:r>
              <w:rPr>
                <w:sz w:val="20"/>
                <w:szCs w:val="20"/>
              </w:rPr>
              <w:t>No</w:t>
            </w:r>
          </w:p>
        </w:tc>
      </w:tr>
      <w:tr w:rsidR="00C56BA5" w14:paraId="167642C7" w14:textId="77777777" w:rsidTr="00C45824">
        <w:tc>
          <w:tcPr>
            <w:tcW w:w="1098" w:type="dxa"/>
          </w:tcPr>
          <w:p w14:paraId="02F10BE4" w14:textId="77777777" w:rsidR="00C56BA5" w:rsidRPr="00F92804" w:rsidRDefault="00C56BA5" w:rsidP="005B3663">
            <w:pPr>
              <w:pStyle w:val="Default"/>
              <w:spacing w:after="117"/>
              <w:rPr>
                <w:b/>
                <w:sz w:val="20"/>
                <w:szCs w:val="20"/>
              </w:rPr>
            </w:pPr>
            <w:r w:rsidRPr="00F92804">
              <w:rPr>
                <w:b/>
                <w:sz w:val="20"/>
                <w:szCs w:val="20"/>
              </w:rPr>
              <w:t>TLRe</w:t>
            </w:r>
          </w:p>
        </w:tc>
        <w:tc>
          <w:tcPr>
            <w:tcW w:w="2052" w:type="dxa"/>
          </w:tcPr>
          <w:p w14:paraId="7461E000" w14:textId="77777777" w:rsidR="00C56BA5" w:rsidRPr="00F92804" w:rsidRDefault="00C56BA5" w:rsidP="005B3663">
            <w:pPr>
              <w:pStyle w:val="Default"/>
              <w:spacing w:after="117"/>
              <w:rPr>
                <w:sz w:val="20"/>
                <w:szCs w:val="20"/>
              </w:rPr>
            </w:pPr>
            <w:r w:rsidRPr="00F92804">
              <w:rPr>
                <w:sz w:val="20"/>
                <w:szCs w:val="20"/>
              </w:rPr>
              <w:t>Constrained Schedule equal to Market Schedule</w:t>
            </w:r>
          </w:p>
        </w:tc>
        <w:tc>
          <w:tcPr>
            <w:tcW w:w="1422" w:type="dxa"/>
          </w:tcPr>
          <w:p w14:paraId="69DB465A" w14:textId="77777777" w:rsidR="00C56BA5" w:rsidRPr="00F92804" w:rsidRDefault="00C56BA5" w:rsidP="005B3663">
            <w:pPr>
              <w:pStyle w:val="Default"/>
              <w:spacing w:after="117"/>
              <w:rPr>
                <w:sz w:val="20"/>
                <w:szCs w:val="20"/>
              </w:rPr>
            </w:pPr>
            <w:r w:rsidRPr="00F92804">
              <w:rPr>
                <w:sz w:val="20"/>
                <w:szCs w:val="20"/>
              </w:rPr>
              <w:t>No</w:t>
            </w:r>
          </w:p>
        </w:tc>
        <w:tc>
          <w:tcPr>
            <w:tcW w:w="1080" w:type="dxa"/>
          </w:tcPr>
          <w:p w14:paraId="1C26E043" w14:textId="77777777" w:rsidR="00C56BA5" w:rsidRPr="00F92804" w:rsidRDefault="00C56BA5" w:rsidP="005B3663">
            <w:pPr>
              <w:pStyle w:val="Default"/>
              <w:spacing w:after="117"/>
              <w:rPr>
                <w:sz w:val="20"/>
                <w:szCs w:val="20"/>
              </w:rPr>
            </w:pPr>
            <w:r w:rsidRPr="00F92804">
              <w:rPr>
                <w:sz w:val="20"/>
                <w:szCs w:val="20"/>
              </w:rPr>
              <w:t>Yes</w:t>
            </w:r>
          </w:p>
        </w:tc>
        <w:tc>
          <w:tcPr>
            <w:tcW w:w="990" w:type="dxa"/>
          </w:tcPr>
          <w:p w14:paraId="1A761D98" w14:textId="77777777" w:rsidR="00C56BA5" w:rsidRPr="00F92804" w:rsidRDefault="00C56BA5" w:rsidP="005B3663">
            <w:pPr>
              <w:pStyle w:val="Default"/>
              <w:spacing w:after="117"/>
              <w:rPr>
                <w:sz w:val="20"/>
                <w:szCs w:val="20"/>
              </w:rPr>
            </w:pPr>
            <w:r w:rsidRPr="00F92804">
              <w:rPr>
                <w:sz w:val="20"/>
                <w:szCs w:val="20"/>
              </w:rPr>
              <w:t>Yes</w:t>
            </w:r>
          </w:p>
        </w:tc>
        <w:tc>
          <w:tcPr>
            <w:tcW w:w="990" w:type="dxa"/>
          </w:tcPr>
          <w:p w14:paraId="405A0CFC" w14:textId="77777777" w:rsidR="00C56BA5" w:rsidRPr="00F92804" w:rsidRDefault="00C56BA5" w:rsidP="005B3663">
            <w:pPr>
              <w:pStyle w:val="Default"/>
              <w:spacing w:after="117"/>
              <w:rPr>
                <w:sz w:val="20"/>
                <w:szCs w:val="20"/>
              </w:rPr>
            </w:pPr>
            <w:r w:rsidRPr="00F92804">
              <w:rPr>
                <w:sz w:val="20"/>
                <w:szCs w:val="20"/>
              </w:rPr>
              <w:t>Yes</w:t>
            </w:r>
          </w:p>
        </w:tc>
        <w:tc>
          <w:tcPr>
            <w:tcW w:w="1080" w:type="dxa"/>
          </w:tcPr>
          <w:p w14:paraId="59B1054C" w14:textId="77777777" w:rsidR="00C56BA5" w:rsidRPr="00F92804" w:rsidRDefault="00C56BA5" w:rsidP="005B3663">
            <w:pPr>
              <w:pStyle w:val="Default"/>
              <w:spacing w:after="117"/>
              <w:rPr>
                <w:sz w:val="20"/>
                <w:szCs w:val="20"/>
              </w:rPr>
            </w:pPr>
            <w:r w:rsidRPr="00F92804">
              <w:rPr>
                <w:sz w:val="20"/>
                <w:szCs w:val="20"/>
              </w:rPr>
              <w:t>Yes</w:t>
            </w:r>
          </w:p>
        </w:tc>
        <w:tc>
          <w:tcPr>
            <w:tcW w:w="1098" w:type="dxa"/>
          </w:tcPr>
          <w:p w14:paraId="77252812" w14:textId="77777777" w:rsidR="00C56BA5" w:rsidRPr="00F92804" w:rsidRDefault="00C56BA5" w:rsidP="005B3663">
            <w:pPr>
              <w:pStyle w:val="Default"/>
              <w:spacing w:after="117"/>
              <w:rPr>
                <w:sz w:val="20"/>
                <w:szCs w:val="20"/>
              </w:rPr>
            </w:pPr>
            <w:r w:rsidRPr="00F92804">
              <w:rPr>
                <w:sz w:val="20"/>
                <w:szCs w:val="20"/>
              </w:rPr>
              <w:t>Yes</w:t>
            </w:r>
          </w:p>
        </w:tc>
        <w:tc>
          <w:tcPr>
            <w:tcW w:w="1098" w:type="dxa"/>
          </w:tcPr>
          <w:p w14:paraId="677F3738" w14:textId="77777777" w:rsidR="00C56BA5" w:rsidRPr="00F92804" w:rsidRDefault="00C56BA5" w:rsidP="005B3663">
            <w:pPr>
              <w:pStyle w:val="Default"/>
              <w:spacing w:after="117"/>
              <w:rPr>
                <w:sz w:val="20"/>
                <w:szCs w:val="20"/>
              </w:rPr>
            </w:pPr>
            <w:r>
              <w:rPr>
                <w:sz w:val="20"/>
                <w:szCs w:val="20"/>
              </w:rPr>
              <w:t>No</w:t>
            </w:r>
          </w:p>
        </w:tc>
      </w:tr>
      <w:tr w:rsidR="00C56BA5" w14:paraId="028ADBEB" w14:textId="77777777" w:rsidTr="00C45824">
        <w:tc>
          <w:tcPr>
            <w:tcW w:w="1098" w:type="dxa"/>
          </w:tcPr>
          <w:p w14:paraId="51EC8131" w14:textId="77777777" w:rsidR="00C56BA5" w:rsidRPr="00F92804" w:rsidRDefault="00C56BA5" w:rsidP="005B3663">
            <w:pPr>
              <w:pStyle w:val="Default"/>
              <w:spacing w:after="117"/>
              <w:rPr>
                <w:b/>
                <w:sz w:val="20"/>
                <w:szCs w:val="20"/>
              </w:rPr>
            </w:pPr>
            <w:r w:rsidRPr="00F92804">
              <w:rPr>
                <w:b/>
                <w:sz w:val="20"/>
                <w:szCs w:val="20"/>
              </w:rPr>
              <w:t>TLRi</w:t>
            </w:r>
          </w:p>
        </w:tc>
        <w:tc>
          <w:tcPr>
            <w:tcW w:w="2052" w:type="dxa"/>
          </w:tcPr>
          <w:p w14:paraId="792517C7" w14:textId="77777777" w:rsidR="00C56BA5" w:rsidRPr="00F92804" w:rsidRDefault="00C56BA5" w:rsidP="005B3663">
            <w:pPr>
              <w:pStyle w:val="Default"/>
              <w:spacing w:after="117"/>
              <w:rPr>
                <w:sz w:val="20"/>
                <w:szCs w:val="20"/>
              </w:rPr>
            </w:pPr>
            <w:r w:rsidRPr="00F92804">
              <w:rPr>
                <w:sz w:val="20"/>
                <w:szCs w:val="20"/>
              </w:rPr>
              <w:t>Constrained Schedule not necessarily equal to Market Schedule</w:t>
            </w:r>
          </w:p>
        </w:tc>
        <w:tc>
          <w:tcPr>
            <w:tcW w:w="1422" w:type="dxa"/>
          </w:tcPr>
          <w:p w14:paraId="1F0E2B79" w14:textId="77777777" w:rsidR="00C56BA5" w:rsidRPr="00F92804" w:rsidRDefault="00C56BA5" w:rsidP="005B3663">
            <w:pPr>
              <w:pStyle w:val="Default"/>
              <w:spacing w:after="117"/>
              <w:rPr>
                <w:sz w:val="20"/>
                <w:szCs w:val="20"/>
              </w:rPr>
            </w:pPr>
            <w:r w:rsidRPr="00F92804">
              <w:rPr>
                <w:sz w:val="20"/>
                <w:szCs w:val="20"/>
              </w:rPr>
              <w:t>Yes or No based on DSO schedule</w:t>
            </w:r>
            <w:r>
              <w:rPr>
                <w:sz w:val="20"/>
                <w:szCs w:val="20"/>
              </w:rPr>
              <w:t>s</w:t>
            </w:r>
          </w:p>
        </w:tc>
        <w:tc>
          <w:tcPr>
            <w:tcW w:w="1080" w:type="dxa"/>
          </w:tcPr>
          <w:p w14:paraId="7DA6964C" w14:textId="77777777" w:rsidR="00C56BA5" w:rsidRPr="00F92804" w:rsidRDefault="00C56BA5" w:rsidP="005B3663">
            <w:pPr>
              <w:pStyle w:val="Default"/>
              <w:spacing w:after="117"/>
              <w:rPr>
                <w:sz w:val="20"/>
                <w:szCs w:val="20"/>
              </w:rPr>
            </w:pPr>
            <w:r w:rsidRPr="00F92804">
              <w:rPr>
                <w:sz w:val="20"/>
                <w:szCs w:val="20"/>
              </w:rPr>
              <w:t>Yes</w:t>
            </w:r>
          </w:p>
        </w:tc>
        <w:tc>
          <w:tcPr>
            <w:tcW w:w="990" w:type="dxa"/>
          </w:tcPr>
          <w:p w14:paraId="7AE0DD8A" w14:textId="77777777" w:rsidR="00C56BA5" w:rsidRPr="00F92804" w:rsidRDefault="00C56BA5" w:rsidP="005B3663">
            <w:pPr>
              <w:pStyle w:val="Default"/>
              <w:spacing w:after="117"/>
              <w:rPr>
                <w:sz w:val="20"/>
                <w:szCs w:val="20"/>
              </w:rPr>
            </w:pPr>
            <w:r w:rsidRPr="00F92804">
              <w:rPr>
                <w:sz w:val="20"/>
                <w:szCs w:val="20"/>
              </w:rPr>
              <w:t>Yes</w:t>
            </w:r>
          </w:p>
        </w:tc>
        <w:tc>
          <w:tcPr>
            <w:tcW w:w="990" w:type="dxa"/>
          </w:tcPr>
          <w:p w14:paraId="1F9FE1C2" w14:textId="77777777" w:rsidR="00C56BA5" w:rsidRPr="00F92804" w:rsidRDefault="00C56BA5" w:rsidP="005B3663">
            <w:pPr>
              <w:pStyle w:val="Default"/>
              <w:spacing w:after="117"/>
              <w:rPr>
                <w:sz w:val="20"/>
                <w:szCs w:val="20"/>
              </w:rPr>
            </w:pPr>
            <w:r>
              <w:rPr>
                <w:sz w:val="20"/>
                <w:szCs w:val="20"/>
              </w:rPr>
              <w:t>N/A</w:t>
            </w:r>
          </w:p>
        </w:tc>
        <w:tc>
          <w:tcPr>
            <w:tcW w:w="1080" w:type="dxa"/>
          </w:tcPr>
          <w:p w14:paraId="53A4953C" w14:textId="77777777" w:rsidR="00C56BA5" w:rsidRPr="00F92804" w:rsidRDefault="00C56BA5" w:rsidP="005B3663">
            <w:pPr>
              <w:pStyle w:val="Default"/>
              <w:spacing w:after="117"/>
              <w:rPr>
                <w:sz w:val="20"/>
                <w:szCs w:val="20"/>
              </w:rPr>
            </w:pPr>
            <w:r w:rsidRPr="00F92804">
              <w:rPr>
                <w:sz w:val="20"/>
                <w:szCs w:val="20"/>
              </w:rPr>
              <w:t>Yes</w:t>
            </w:r>
          </w:p>
        </w:tc>
        <w:tc>
          <w:tcPr>
            <w:tcW w:w="1098" w:type="dxa"/>
          </w:tcPr>
          <w:p w14:paraId="6BFDFCC1" w14:textId="77777777" w:rsidR="00C56BA5" w:rsidRPr="00F92804" w:rsidRDefault="00C56BA5" w:rsidP="005B3663">
            <w:pPr>
              <w:pStyle w:val="Default"/>
              <w:spacing w:after="117"/>
              <w:rPr>
                <w:sz w:val="20"/>
                <w:szCs w:val="20"/>
              </w:rPr>
            </w:pPr>
            <w:r w:rsidRPr="00F92804">
              <w:rPr>
                <w:sz w:val="20"/>
                <w:szCs w:val="20"/>
              </w:rPr>
              <w:t>Yes</w:t>
            </w:r>
          </w:p>
        </w:tc>
        <w:tc>
          <w:tcPr>
            <w:tcW w:w="1098" w:type="dxa"/>
          </w:tcPr>
          <w:p w14:paraId="09D66FC7" w14:textId="77777777" w:rsidR="00C56BA5" w:rsidRPr="00F92804" w:rsidRDefault="00C56BA5" w:rsidP="005B3663">
            <w:pPr>
              <w:pStyle w:val="Default"/>
              <w:spacing w:after="117"/>
              <w:rPr>
                <w:sz w:val="20"/>
                <w:szCs w:val="20"/>
              </w:rPr>
            </w:pPr>
            <w:r>
              <w:rPr>
                <w:sz w:val="20"/>
                <w:szCs w:val="20"/>
              </w:rPr>
              <w:t>Yes</w:t>
            </w:r>
          </w:p>
        </w:tc>
      </w:tr>
      <w:tr w:rsidR="00C56BA5" w14:paraId="002C6892" w14:textId="77777777" w:rsidTr="00C45824">
        <w:tc>
          <w:tcPr>
            <w:tcW w:w="1098" w:type="dxa"/>
          </w:tcPr>
          <w:p w14:paraId="242389CF" w14:textId="77777777" w:rsidR="00C56BA5" w:rsidRPr="00F92804" w:rsidRDefault="00C56BA5" w:rsidP="005B3663">
            <w:pPr>
              <w:pStyle w:val="Default"/>
              <w:spacing w:after="117"/>
              <w:rPr>
                <w:b/>
                <w:sz w:val="20"/>
                <w:szCs w:val="20"/>
              </w:rPr>
            </w:pPr>
            <w:r w:rsidRPr="00F92804">
              <w:rPr>
                <w:b/>
                <w:sz w:val="20"/>
                <w:szCs w:val="20"/>
              </w:rPr>
              <w:t>ORA</w:t>
            </w:r>
          </w:p>
        </w:tc>
        <w:tc>
          <w:tcPr>
            <w:tcW w:w="2052" w:type="dxa"/>
          </w:tcPr>
          <w:p w14:paraId="77582D12" w14:textId="77777777" w:rsidR="0019189F" w:rsidRDefault="00C56BA5" w:rsidP="005B3663">
            <w:pPr>
              <w:pStyle w:val="Default"/>
              <w:spacing w:after="117"/>
              <w:rPr>
                <w:sz w:val="20"/>
                <w:szCs w:val="20"/>
              </w:rPr>
            </w:pPr>
            <w:r w:rsidRPr="00F92804">
              <w:rPr>
                <w:sz w:val="20"/>
                <w:szCs w:val="20"/>
              </w:rPr>
              <w:t xml:space="preserve">Constrained Schedule not necessarily equal </w:t>
            </w:r>
          </w:p>
          <w:p w14:paraId="026A8FF7" w14:textId="6738566B" w:rsidR="00C56BA5" w:rsidRPr="00F92804" w:rsidRDefault="00C56BA5" w:rsidP="005B3663">
            <w:pPr>
              <w:pStyle w:val="Default"/>
              <w:spacing w:after="117"/>
              <w:rPr>
                <w:sz w:val="20"/>
                <w:szCs w:val="20"/>
              </w:rPr>
            </w:pPr>
            <w:r w:rsidRPr="00F92804">
              <w:rPr>
                <w:sz w:val="20"/>
                <w:szCs w:val="20"/>
              </w:rPr>
              <w:t>to Market Schedule</w:t>
            </w:r>
          </w:p>
        </w:tc>
        <w:tc>
          <w:tcPr>
            <w:tcW w:w="1422" w:type="dxa"/>
          </w:tcPr>
          <w:p w14:paraId="4D219EF7" w14:textId="77777777" w:rsidR="00C56BA5" w:rsidRPr="00F92804" w:rsidRDefault="00C56BA5" w:rsidP="005B3663">
            <w:pPr>
              <w:pStyle w:val="Default"/>
              <w:spacing w:after="117"/>
              <w:rPr>
                <w:sz w:val="20"/>
                <w:szCs w:val="20"/>
              </w:rPr>
            </w:pPr>
            <w:r w:rsidRPr="00F92804">
              <w:rPr>
                <w:sz w:val="20"/>
                <w:szCs w:val="20"/>
              </w:rPr>
              <w:t>Yes or No based on DSO schedule</w:t>
            </w:r>
            <w:r>
              <w:rPr>
                <w:sz w:val="20"/>
                <w:szCs w:val="20"/>
              </w:rPr>
              <w:t>s</w:t>
            </w:r>
          </w:p>
        </w:tc>
        <w:tc>
          <w:tcPr>
            <w:tcW w:w="1080" w:type="dxa"/>
          </w:tcPr>
          <w:p w14:paraId="1DDC5854" w14:textId="77777777" w:rsidR="00C56BA5" w:rsidRPr="00F92804" w:rsidRDefault="00C56BA5" w:rsidP="005B3663">
            <w:pPr>
              <w:pStyle w:val="Default"/>
              <w:spacing w:after="117"/>
              <w:rPr>
                <w:sz w:val="20"/>
                <w:szCs w:val="20"/>
              </w:rPr>
            </w:pPr>
            <w:r>
              <w:rPr>
                <w:sz w:val="20"/>
                <w:szCs w:val="20"/>
              </w:rPr>
              <w:t>Yes or No based on RT Offer Price Test</w:t>
            </w:r>
            <w:r w:rsidRPr="00F92804">
              <w:rPr>
                <w:sz w:val="20"/>
                <w:szCs w:val="20"/>
              </w:rPr>
              <w:t xml:space="preserve"> (1)</w:t>
            </w:r>
          </w:p>
        </w:tc>
        <w:tc>
          <w:tcPr>
            <w:tcW w:w="990" w:type="dxa"/>
          </w:tcPr>
          <w:p w14:paraId="29355CE4" w14:textId="77777777" w:rsidR="00C56BA5" w:rsidRPr="00F92804" w:rsidRDefault="00C56BA5" w:rsidP="005B3663">
            <w:pPr>
              <w:pStyle w:val="Default"/>
              <w:spacing w:after="117"/>
              <w:rPr>
                <w:sz w:val="20"/>
                <w:szCs w:val="20"/>
              </w:rPr>
            </w:pPr>
            <w:r>
              <w:rPr>
                <w:sz w:val="20"/>
                <w:szCs w:val="20"/>
              </w:rPr>
              <w:t>Yes or No based on RT Offer Price Test(1)</w:t>
            </w:r>
          </w:p>
        </w:tc>
        <w:tc>
          <w:tcPr>
            <w:tcW w:w="990" w:type="dxa"/>
          </w:tcPr>
          <w:p w14:paraId="7F397084" w14:textId="77777777" w:rsidR="00C56BA5" w:rsidRPr="00F92804" w:rsidRDefault="00C56BA5" w:rsidP="005B3663">
            <w:pPr>
              <w:pStyle w:val="Default"/>
              <w:spacing w:after="117"/>
              <w:rPr>
                <w:sz w:val="20"/>
                <w:szCs w:val="20"/>
              </w:rPr>
            </w:pPr>
            <w:r>
              <w:rPr>
                <w:sz w:val="20"/>
                <w:szCs w:val="20"/>
              </w:rPr>
              <w:t>N/A</w:t>
            </w:r>
          </w:p>
        </w:tc>
        <w:tc>
          <w:tcPr>
            <w:tcW w:w="1080" w:type="dxa"/>
          </w:tcPr>
          <w:p w14:paraId="599E620D" w14:textId="77777777" w:rsidR="00C56BA5" w:rsidRPr="00F92804" w:rsidRDefault="00C56BA5" w:rsidP="005B3663">
            <w:pPr>
              <w:pStyle w:val="Default"/>
              <w:spacing w:after="117"/>
              <w:rPr>
                <w:sz w:val="20"/>
                <w:szCs w:val="20"/>
              </w:rPr>
            </w:pPr>
            <w:r>
              <w:rPr>
                <w:sz w:val="20"/>
                <w:szCs w:val="20"/>
              </w:rPr>
              <w:t>N/A</w:t>
            </w:r>
          </w:p>
        </w:tc>
        <w:tc>
          <w:tcPr>
            <w:tcW w:w="1098" w:type="dxa"/>
          </w:tcPr>
          <w:p w14:paraId="2C246E5B" w14:textId="77777777" w:rsidR="00C56BA5" w:rsidRPr="00F92804" w:rsidRDefault="00C56BA5" w:rsidP="005B3663">
            <w:pPr>
              <w:pStyle w:val="Default"/>
              <w:spacing w:after="117"/>
              <w:rPr>
                <w:sz w:val="20"/>
                <w:szCs w:val="20"/>
              </w:rPr>
            </w:pPr>
            <w:r w:rsidRPr="00F92804">
              <w:rPr>
                <w:sz w:val="20"/>
                <w:szCs w:val="20"/>
              </w:rPr>
              <w:t>Yes</w:t>
            </w:r>
          </w:p>
        </w:tc>
        <w:tc>
          <w:tcPr>
            <w:tcW w:w="1098" w:type="dxa"/>
          </w:tcPr>
          <w:p w14:paraId="0CAA668A" w14:textId="77777777" w:rsidR="00C56BA5" w:rsidRPr="00F92804" w:rsidRDefault="00C56BA5" w:rsidP="005B3663">
            <w:pPr>
              <w:pStyle w:val="Default"/>
              <w:spacing w:after="117"/>
              <w:rPr>
                <w:sz w:val="20"/>
                <w:szCs w:val="20"/>
              </w:rPr>
            </w:pPr>
            <w:r>
              <w:rPr>
                <w:sz w:val="20"/>
                <w:szCs w:val="20"/>
              </w:rPr>
              <w:t>Yes</w:t>
            </w:r>
          </w:p>
        </w:tc>
      </w:tr>
      <w:tr w:rsidR="00C56BA5" w14:paraId="4C55287B" w14:textId="77777777" w:rsidTr="00C45824">
        <w:tc>
          <w:tcPr>
            <w:tcW w:w="1098" w:type="dxa"/>
          </w:tcPr>
          <w:p w14:paraId="42B45180" w14:textId="77777777" w:rsidR="00C56BA5" w:rsidRPr="00F92804" w:rsidRDefault="00C56BA5" w:rsidP="005B3663">
            <w:pPr>
              <w:pStyle w:val="Default"/>
              <w:spacing w:after="117"/>
              <w:rPr>
                <w:b/>
                <w:sz w:val="20"/>
                <w:szCs w:val="20"/>
              </w:rPr>
            </w:pPr>
            <w:r w:rsidRPr="00F92804">
              <w:rPr>
                <w:b/>
                <w:sz w:val="20"/>
                <w:szCs w:val="20"/>
              </w:rPr>
              <w:t>MrNh</w:t>
            </w:r>
          </w:p>
        </w:tc>
        <w:tc>
          <w:tcPr>
            <w:tcW w:w="2052" w:type="dxa"/>
          </w:tcPr>
          <w:p w14:paraId="1AA778A4" w14:textId="77777777" w:rsidR="00C56BA5" w:rsidRPr="00F92804" w:rsidRDefault="00C56BA5" w:rsidP="005B3663">
            <w:pPr>
              <w:pStyle w:val="Default"/>
              <w:spacing w:after="117"/>
              <w:rPr>
                <w:sz w:val="20"/>
                <w:szCs w:val="20"/>
              </w:rPr>
            </w:pPr>
            <w:r w:rsidRPr="00F92804">
              <w:rPr>
                <w:sz w:val="20"/>
                <w:szCs w:val="20"/>
              </w:rPr>
              <w:t>Constrained Schedule equal to Market Schedule</w:t>
            </w:r>
          </w:p>
        </w:tc>
        <w:tc>
          <w:tcPr>
            <w:tcW w:w="1422" w:type="dxa"/>
          </w:tcPr>
          <w:p w14:paraId="25CBE4FA" w14:textId="77777777" w:rsidR="00C56BA5" w:rsidRPr="00F92804" w:rsidRDefault="00C56BA5" w:rsidP="005B3663">
            <w:pPr>
              <w:pStyle w:val="Default"/>
              <w:spacing w:after="117"/>
              <w:rPr>
                <w:sz w:val="20"/>
                <w:szCs w:val="20"/>
              </w:rPr>
            </w:pPr>
            <w:r w:rsidRPr="00F92804">
              <w:rPr>
                <w:sz w:val="20"/>
                <w:szCs w:val="20"/>
              </w:rPr>
              <w:t>No</w:t>
            </w:r>
          </w:p>
        </w:tc>
        <w:tc>
          <w:tcPr>
            <w:tcW w:w="1080" w:type="dxa"/>
          </w:tcPr>
          <w:p w14:paraId="1A1C038B" w14:textId="77777777" w:rsidR="00C56BA5" w:rsidRPr="00F92804" w:rsidRDefault="00C56BA5" w:rsidP="005B3663">
            <w:pPr>
              <w:pStyle w:val="Default"/>
              <w:spacing w:after="117"/>
              <w:rPr>
                <w:sz w:val="20"/>
                <w:szCs w:val="20"/>
              </w:rPr>
            </w:pPr>
            <w:r w:rsidRPr="00F92804">
              <w:rPr>
                <w:sz w:val="20"/>
                <w:szCs w:val="20"/>
              </w:rPr>
              <w:t>No</w:t>
            </w:r>
          </w:p>
        </w:tc>
        <w:tc>
          <w:tcPr>
            <w:tcW w:w="990" w:type="dxa"/>
          </w:tcPr>
          <w:p w14:paraId="3FC0B23B" w14:textId="77777777" w:rsidR="00C56BA5" w:rsidRPr="00F92804" w:rsidRDefault="00C56BA5" w:rsidP="005B3663">
            <w:pPr>
              <w:pStyle w:val="Default"/>
              <w:spacing w:after="117"/>
              <w:rPr>
                <w:sz w:val="20"/>
                <w:szCs w:val="20"/>
              </w:rPr>
            </w:pPr>
            <w:r w:rsidRPr="00F92804">
              <w:rPr>
                <w:sz w:val="20"/>
                <w:szCs w:val="20"/>
              </w:rPr>
              <w:t>No</w:t>
            </w:r>
          </w:p>
        </w:tc>
        <w:tc>
          <w:tcPr>
            <w:tcW w:w="990" w:type="dxa"/>
          </w:tcPr>
          <w:p w14:paraId="5E8246E4" w14:textId="77777777" w:rsidR="00C56BA5" w:rsidRPr="00F92804" w:rsidRDefault="00C56BA5" w:rsidP="005B3663">
            <w:pPr>
              <w:pStyle w:val="Default"/>
              <w:spacing w:after="117"/>
              <w:rPr>
                <w:sz w:val="20"/>
                <w:szCs w:val="20"/>
              </w:rPr>
            </w:pPr>
            <w:r>
              <w:rPr>
                <w:sz w:val="20"/>
                <w:szCs w:val="20"/>
              </w:rPr>
              <w:t>N/A</w:t>
            </w:r>
          </w:p>
        </w:tc>
        <w:tc>
          <w:tcPr>
            <w:tcW w:w="1080" w:type="dxa"/>
          </w:tcPr>
          <w:p w14:paraId="46E68147" w14:textId="77777777" w:rsidR="00C56BA5" w:rsidRPr="00F92804" w:rsidRDefault="00C56BA5" w:rsidP="005B3663">
            <w:pPr>
              <w:pStyle w:val="Default"/>
              <w:spacing w:after="117"/>
              <w:rPr>
                <w:sz w:val="20"/>
                <w:szCs w:val="20"/>
              </w:rPr>
            </w:pPr>
            <w:r w:rsidRPr="00F92804">
              <w:rPr>
                <w:sz w:val="20"/>
                <w:szCs w:val="20"/>
              </w:rPr>
              <w:t>Yes</w:t>
            </w:r>
          </w:p>
        </w:tc>
        <w:tc>
          <w:tcPr>
            <w:tcW w:w="1098" w:type="dxa"/>
          </w:tcPr>
          <w:p w14:paraId="13FA6294" w14:textId="77777777" w:rsidR="00C56BA5" w:rsidRPr="00F92804" w:rsidRDefault="00C56BA5" w:rsidP="005B3663">
            <w:pPr>
              <w:pStyle w:val="Default"/>
              <w:spacing w:after="117"/>
              <w:rPr>
                <w:sz w:val="20"/>
                <w:szCs w:val="20"/>
              </w:rPr>
            </w:pPr>
            <w:r w:rsidRPr="00F92804">
              <w:rPr>
                <w:sz w:val="20"/>
                <w:szCs w:val="20"/>
              </w:rPr>
              <w:t>Yes</w:t>
            </w:r>
          </w:p>
        </w:tc>
        <w:tc>
          <w:tcPr>
            <w:tcW w:w="1098" w:type="dxa"/>
          </w:tcPr>
          <w:p w14:paraId="07A47CD2" w14:textId="77777777" w:rsidR="00C56BA5" w:rsidRPr="00F92804" w:rsidRDefault="00C56BA5" w:rsidP="005B3663">
            <w:pPr>
              <w:pStyle w:val="Default"/>
              <w:spacing w:after="117"/>
              <w:rPr>
                <w:sz w:val="20"/>
                <w:szCs w:val="20"/>
              </w:rPr>
            </w:pPr>
            <w:r>
              <w:rPr>
                <w:sz w:val="20"/>
                <w:szCs w:val="20"/>
              </w:rPr>
              <w:t>No</w:t>
            </w:r>
          </w:p>
        </w:tc>
      </w:tr>
      <w:tr w:rsidR="00C56BA5" w14:paraId="44515FCA" w14:textId="77777777" w:rsidTr="00C45824">
        <w:tc>
          <w:tcPr>
            <w:tcW w:w="1098" w:type="dxa"/>
          </w:tcPr>
          <w:p w14:paraId="79FEC641" w14:textId="77777777" w:rsidR="00C56BA5" w:rsidRPr="00F92804" w:rsidRDefault="00C56BA5" w:rsidP="005B3663">
            <w:pPr>
              <w:pStyle w:val="Default"/>
              <w:spacing w:after="117"/>
              <w:rPr>
                <w:b/>
                <w:sz w:val="20"/>
                <w:szCs w:val="20"/>
              </w:rPr>
            </w:pPr>
            <w:r w:rsidRPr="00F92804">
              <w:rPr>
                <w:b/>
                <w:sz w:val="20"/>
                <w:szCs w:val="20"/>
              </w:rPr>
              <w:t>ADQH</w:t>
            </w:r>
          </w:p>
        </w:tc>
        <w:tc>
          <w:tcPr>
            <w:tcW w:w="2052" w:type="dxa"/>
          </w:tcPr>
          <w:p w14:paraId="3E08A812" w14:textId="77777777" w:rsidR="00C56BA5" w:rsidRPr="00F92804" w:rsidRDefault="00C56BA5" w:rsidP="005B3663">
            <w:pPr>
              <w:pStyle w:val="Default"/>
              <w:spacing w:after="117"/>
              <w:rPr>
                <w:sz w:val="20"/>
                <w:szCs w:val="20"/>
              </w:rPr>
            </w:pPr>
            <w:r w:rsidRPr="00F92804">
              <w:rPr>
                <w:sz w:val="20"/>
                <w:szCs w:val="20"/>
              </w:rPr>
              <w:t>Constrained Schedule equal to Market Schedule</w:t>
            </w:r>
          </w:p>
        </w:tc>
        <w:tc>
          <w:tcPr>
            <w:tcW w:w="1422" w:type="dxa"/>
          </w:tcPr>
          <w:p w14:paraId="6D248923" w14:textId="77777777" w:rsidR="00C56BA5" w:rsidRPr="00F92804" w:rsidRDefault="00C56BA5" w:rsidP="005B3663">
            <w:pPr>
              <w:pStyle w:val="Default"/>
              <w:spacing w:after="117"/>
              <w:rPr>
                <w:sz w:val="20"/>
                <w:szCs w:val="20"/>
              </w:rPr>
            </w:pPr>
            <w:r w:rsidRPr="00F92804">
              <w:rPr>
                <w:sz w:val="20"/>
                <w:szCs w:val="20"/>
              </w:rPr>
              <w:t>No</w:t>
            </w:r>
          </w:p>
        </w:tc>
        <w:tc>
          <w:tcPr>
            <w:tcW w:w="1080" w:type="dxa"/>
          </w:tcPr>
          <w:p w14:paraId="2DADF24F" w14:textId="77777777" w:rsidR="00C56BA5" w:rsidRPr="00F92804" w:rsidRDefault="00C56BA5" w:rsidP="005B3663">
            <w:pPr>
              <w:pStyle w:val="Default"/>
              <w:spacing w:after="117"/>
              <w:rPr>
                <w:sz w:val="20"/>
                <w:szCs w:val="20"/>
              </w:rPr>
            </w:pPr>
            <w:r>
              <w:rPr>
                <w:sz w:val="20"/>
                <w:szCs w:val="20"/>
              </w:rPr>
              <w:t>Yes or No based on RT Offer Price Test</w:t>
            </w:r>
            <w:r w:rsidRPr="00F92804">
              <w:rPr>
                <w:sz w:val="20"/>
                <w:szCs w:val="20"/>
              </w:rPr>
              <w:t>(1)</w:t>
            </w:r>
          </w:p>
        </w:tc>
        <w:tc>
          <w:tcPr>
            <w:tcW w:w="990" w:type="dxa"/>
          </w:tcPr>
          <w:p w14:paraId="05359E70" w14:textId="77777777" w:rsidR="00C56BA5" w:rsidRPr="00F92804" w:rsidRDefault="00C56BA5" w:rsidP="005B3663">
            <w:pPr>
              <w:pStyle w:val="Default"/>
              <w:spacing w:after="117"/>
              <w:rPr>
                <w:sz w:val="20"/>
                <w:szCs w:val="20"/>
              </w:rPr>
            </w:pPr>
            <w:r>
              <w:rPr>
                <w:sz w:val="20"/>
                <w:szCs w:val="20"/>
              </w:rPr>
              <w:t>Yes or No based on RT Offer Price Test</w:t>
            </w:r>
            <w:r w:rsidRPr="00F92804">
              <w:rPr>
                <w:sz w:val="20"/>
                <w:szCs w:val="20"/>
              </w:rPr>
              <w:t xml:space="preserve"> (1)</w:t>
            </w:r>
          </w:p>
        </w:tc>
        <w:tc>
          <w:tcPr>
            <w:tcW w:w="990" w:type="dxa"/>
          </w:tcPr>
          <w:p w14:paraId="750BEB14" w14:textId="77777777" w:rsidR="00C56BA5" w:rsidRPr="00F92804" w:rsidRDefault="00C56BA5" w:rsidP="005B3663">
            <w:pPr>
              <w:pStyle w:val="Default"/>
              <w:spacing w:after="117"/>
              <w:rPr>
                <w:sz w:val="20"/>
                <w:szCs w:val="20"/>
              </w:rPr>
            </w:pPr>
            <w:r>
              <w:rPr>
                <w:sz w:val="20"/>
                <w:szCs w:val="20"/>
              </w:rPr>
              <w:t>N/A</w:t>
            </w:r>
          </w:p>
        </w:tc>
        <w:tc>
          <w:tcPr>
            <w:tcW w:w="1080" w:type="dxa"/>
          </w:tcPr>
          <w:p w14:paraId="6546478A" w14:textId="77777777" w:rsidR="00C56BA5" w:rsidRPr="00F92804" w:rsidRDefault="00C56BA5" w:rsidP="005B3663">
            <w:pPr>
              <w:pStyle w:val="Default"/>
              <w:spacing w:after="117"/>
              <w:rPr>
                <w:sz w:val="20"/>
                <w:szCs w:val="20"/>
              </w:rPr>
            </w:pPr>
            <w:r w:rsidRPr="00F92804">
              <w:rPr>
                <w:sz w:val="20"/>
                <w:szCs w:val="20"/>
              </w:rPr>
              <w:t>Yes</w:t>
            </w:r>
          </w:p>
        </w:tc>
        <w:tc>
          <w:tcPr>
            <w:tcW w:w="1098" w:type="dxa"/>
          </w:tcPr>
          <w:p w14:paraId="54335AEA" w14:textId="77777777" w:rsidR="00C56BA5" w:rsidRPr="00F92804" w:rsidRDefault="00C56BA5" w:rsidP="005B3663">
            <w:pPr>
              <w:pStyle w:val="Default"/>
              <w:spacing w:after="117"/>
              <w:rPr>
                <w:sz w:val="20"/>
                <w:szCs w:val="20"/>
              </w:rPr>
            </w:pPr>
            <w:r w:rsidRPr="00F92804">
              <w:rPr>
                <w:sz w:val="20"/>
                <w:szCs w:val="20"/>
              </w:rPr>
              <w:t>Yes</w:t>
            </w:r>
          </w:p>
        </w:tc>
        <w:tc>
          <w:tcPr>
            <w:tcW w:w="1098" w:type="dxa"/>
          </w:tcPr>
          <w:p w14:paraId="51339E6B" w14:textId="77777777" w:rsidR="00C56BA5" w:rsidRPr="00F92804" w:rsidRDefault="00C56BA5" w:rsidP="005B3663">
            <w:pPr>
              <w:pStyle w:val="Default"/>
              <w:spacing w:after="117"/>
              <w:rPr>
                <w:sz w:val="20"/>
                <w:szCs w:val="20"/>
              </w:rPr>
            </w:pPr>
            <w:r>
              <w:rPr>
                <w:sz w:val="20"/>
                <w:szCs w:val="20"/>
              </w:rPr>
              <w:t>Yes</w:t>
            </w:r>
          </w:p>
        </w:tc>
      </w:tr>
      <w:tr w:rsidR="00C56BA5" w14:paraId="04518D2B" w14:textId="77777777" w:rsidTr="00C45824">
        <w:tc>
          <w:tcPr>
            <w:tcW w:w="1098" w:type="dxa"/>
          </w:tcPr>
          <w:p w14:paraId="00D497F6" w14:textId="77777777" w:rsidR="00C56BA5" w:rsidRPr="00F92804" w:rsidRDefault="00C56BA5" w:rsidP="005B3663">
            <w:pPr>
              <w:pStyle w:val="Default"/>
              <w:spacing w:after="117"/>
              <w:rPr>
                <w:b/>
                <w:sz w:val="20"/>
                <w:szCs w:val="20"/>
              </w:rPr>
            </w:pPr>
            <w:r w:rsidRPr="00F92804">
              <w:rPr>
                <w:b/>
                <w:sz w:val="20"/>
                <w:szCs w:val="20"/>
              </w:rPr>
              <w:t>NY90</w:t>
            </w:r>
          </w:p>
        </w:tc>
        <w:tc>
          <w:tcPr>
            <w:tcW w:w="2052" w:type="dxa"/>
          </w:tcPr>
          <w:p w14:paraId="76D66818" w14:textId="77777777" w:rsidR="00C56BA5" w:rsidRPr="00F92804" w:rsidRDefault="00C56BA5" w:rsidP="005B3663">
            <w:pPr>
              <w:pStyle w:val="Default"/>
              <w:spacing w:after="117"/>
              <w:rPr>
                <w:sz w:val="20"/>
                <w:szCs w:val="20"/>
              </w:rPr>
            </w:pPr>
            <w:r w:rsidRPr="00F92804">
              <w:rPr>
                <w:sz w:val="20"/>
                <w:szCs w:val="20"/>
              </w:rPr>
              <w:t>Constrained Schedule not necessarily equal to Market Schedule</w:t>
            </w:r>
          </w:p>
        </w:tc>
        <w:tc>
          <w:tcPr>
            <w:tcW w:w="1422" w:type="dxa"/>
          </w:tcPr>
          <w:p w14:paraId="1A64559C" w14:textId="77777777" w:rsidR="00C56BA5" w:rsidRPr="00F92804" w:rsidRDefault="00C56BA5" w:rsidP="005B3663">
            <w:pPr>
              <w:pStyle w:val="Default"/>
              <w:spacing w:after="117"/>
              <w:rPr>
                <w:sz w:val="20"/>
                <w:szCs w:val="20"/>
              </w:rPr>
            </w:pPr>
            <w:r w:rsidRPr="00F92804">
              <w:rPr>
                <w:sz w:val="20"/>
                <w:szCs w:val="20"/>
              </w:rPr>
              <w:t>Yes or No based on DSO schedule</w:t>
            </w:r>
          </w:p>
        </w:tc>
        <w:tc>
          <w:tcPr>
            <w:tcW w:w="1080" w:type="dxa"/>
          </w:tcPr>
          <w:p w14:paraId="16350E7A" w14:textId="77777777" w:rsidR="00C56BA5" w:rsidRPr="00F92804" w:rsidRDefault="00C56BA5" w:rsidP="005B3663">
            <w:pPr>
              <w:pStyle w:val="Default"/>
              <w:spacing w:after="117"/>
              <w:rPr>
                <w:sz w:val="20"/>
                <w:szCs w:val="20"/>
              </w:rPr>
            </w:pPr>
            <w:r>
              <w:rPr>
                <w:sz w:val="20"/>
                <w:szCs w:val="20"/>
              </w:rPr>
              <w:t xml:space="preserve">Yes or No based on RT Offer Price Test </w:t>
            </w:r>
            <w:r w:rsidRPr="00F92804">
              <w:rPr>
                <w:sz w:val="20"/>
                <w:szCs w:val="20"/>
              </w:rPr>
              <w:t>(1)</w:t>
            </w:r>
          </w:p>
        </w:tc>
        <w:tc>
          <w:tcPr>
            <w:tcW w:w="990" w:type="dxa"/>
          </w:tcPr>
          <w:p w14:paraId="0C7918C5" w14:textId="77777777" w:rsidR="00C56BA5" w:rsidRPr="00F92804" w:rsidRDefault="00C56BA5" w:rsidP="005B3663">
            <w:pPr>
              <w:pStyle w:val="Default"/>
              <w:spacing w:after="117"/>
              <w:rPr>
                <w:sz w:val="20"/>
                <w:szCs w:val="20"/>
              </w:rPr>
            </w:pPr>
            <w:r>
              <w:rPr>
                <w:sz w:val="20"/>
                <w:szCs w:val="20"/>
              </w:rPr>
              <w:t>Yes or No based on RT Offer Price Test</w:t>
            </w:r>
            <w:r w:rsidRPr="00F92804">
              <w:rPr>
                <w:sz w:val="20"/>
                <w:szCs w:val="20"/>
              </w:rPr>
              <w:t xml:space="preserve"> (1)</w:t>
            </w:r>
          </w:p>
        </w:tc>
        <w:tc>
          <w:tcPr>
            <w:tcW w:w="990" w:type="dxa"/>
          </w:tcPr>
          <w:p w14:paraId="1CB7E4C2" w14:textId="77777777" w:rsidR="00C56BA5" w:rsidRPr="00F92804" w:rsidRDefault="00C56BA5" w:rsidP="005B3663">
            <w:pPr>
              <w:pStyle w:val="Default"/>
              <w:spacing w:after="117"/>
              <w:rPr>
                <w:sz w:val="20"/>
                <w:szCs w:val="20"/>
              </w:rPr>
            </w:pPr>
            <w:r>
              <w:rPr>
                <w:sz w:val="20"/>
                <w:szCs w:val="20"/>
              </w:rPr>
              <w:t>N/A</w:t>
            </w:r>
          </w:p>
        </w:tc>
        <w:tc>
          <w:tcPr>
            <w:tcW w:w="1080" w:type="dxa"/>
          </w:tcPr>
          <w:p w14:paraId="55CF99E0" w14:textId="77777777" w:rsidR="00C56BA5" w:rsidRPr="00F92804" w:rsidRDefault="00C56BA5" w:rsidP="005B3663">
            <w:pPr>
              <w:pStyle w:val="Default"/>
              <w:spacing w:after="117"/>
              <w:rPr>
                <w:sz w:val="20"/>
                <w:szCs w:val="20"/>
              </w:rPr>
            </w:pPr>
            <w:r>
              <w:rPr>
                <w:sz w:val="20"/>
                <w:szCs w:val="20"/>
              </w:rPr>
              <w:t>N/A</w:t>
            </w:r>
          </w:p>
        </w:tc>
        <w:tc>
          <w:tcPr>
            <w:tcW w:w="1098" w:type="dxa"/>
          </w:tcPr>
          <w:p w14:paraId="184F1772" w14:textId="77777777" w:rsidR="00C56BA5" w:rsidRPr="00F92804" w:rsidRDefault="00C56BA5" w:rsidP="005B3663">
            <w:pPr>
              <w:pStyle w:val="Default"/>
              <w:spacing w:after="117"/>
              <w:rPr>
                <w:sz w:val="20"/>
                <w:szCs w:val="20"/>
              </w:rPr>
            </w:pPr>
            <w:r>
              <w:rPr>
                <w:sz w:val="20"/>
                <w:szCs w:val="20"/>
              </w:rPr>
              <w:t>N/A</w:t>
            </w:r>
          </w:p>
        </w:tc>
        <w:tc>
          <w:tcPr>
            <w:tcW w:w="1098" w:type="dxa"/>
          </w:tcPr>
          <w:p w14:paraId="2D432790" w14:textId="77777777" w:rsidR="00C56BA5" w:rsidRDefault="00C56BA5" w:rsidP="005B3663">
            <w:pPr>
              <w:pStyle w:val="Default"/>
              <w:spacing w:after="117"/>
              <w:rPr>
                <w:sz w:val="20"/>
                <w:szCs w:val="20"/>
              </w:rPr>
            </w:pPr>
            <w:r>
              <w:rPr>
                <w:sz w:val="20"/>
                <w:szCs w:val="20"/>
              </w:rPr>
              <w:t>Yes</w:t>
            </w:r>
          </w:p>
        </w:tc>
      </w:tr>
      <w:tr w:rsidR="00C56BA5" w14:paraId="668B7FD9" w14:textId="77777777" w:rsidTr="00C45824">
        <w:tc>
          <w:tcPr>
            <w:tcW w:w="1098" w:type="dxa"/>
          </w:tcPr>
          <w:p w14:paraId="47A15388" w14:textId="77777777" w:rsidR="00C56BA5" w:rsidRPr="00F92804" w:rsidRDefault="00C56BA5" w:rsidP="005B3663">
            <w:pPr>
              <w:pStyle w:val="Default"/>
              <w:spacing w:after="117"/>
              <w:rPr>
                <w:b/>
                <w:sz w:val="20"/>
                <w:szCs w:val="20"/>
              </w:rPr>
            </w:pPr>
            <w:r w:rsidRPr="00F92804">
              <w:rPr>
                <w:b/>
                <w:sz w:val="20"/>
                <w:szCs w:val="20"/>
              </w:rPr>
              <w:t>AUTO</w:t>
            </w:r>
          </w:p>
        </w:tc>
        <w:tc>
          <w:tcPr>
            <w:tcW w:w="2052" w:type="dxa"/>
          </w:tcPr>
          <w:p w14:paraId="130E68FE" w14:textId="77777777" w:rsidR="00C56BA5" w:rsidRPr="00F92804" w:rsidRDefault="00C56BA5" w:rsidP="005B3663">
            <w:pPr>
              <w:pStyle w:val="Default"/>
              <w:spacing w:after="117"/>
              <w:rPr>
                <w:sz w:val="20"/>
                <w:szCs w:val="20"/>
              </w:rPr>
            </w:pPr>
            <w:r w:rsidRPr="00F92804">
              <w:rPr>
                <w:sz w:val="20"/>
                <w:szCs w:val="20"/>
              </w:rPr>
              <w:t>Constrained Schedule not necessarily equal to Market Schedule</w:t>
            </w:r>
          </w:p>
        </w:tc>
        <w:tc>
          <w:tcPr>
            <w:tcW w:w="1422" w:type="dxa"/>
          </w:tcPr>
          <w:p w14:paraId="2ADE90EC" w14:textId="77777777" w:rsidR="00C56BA5" w:rsidRPr="00F92804" w:rsidRDefault="00C56BA5" w:rsidP="005B3663">
            <w:pPr>
              <w:pStyle w:val="Default"/>
              <w:spacing w:after="117"/>
              <w:rPr>
                <w:sz w:val="20"/>
                <w:szCs w:val="20"/>
              </w:rPr>
            </w:pPr>
            <w:r w:rsidRPr="00F92804">
              <w:rPr>
                <w:sz w:val="20"/>
                <w:szCs w:val="20"/>
              </w:rPr>
              <w:t>Yes or No based on DSO schedule</w:t>
            </w:r>
          </w:p>
        </w:tc>
        <w:tc>
          <w:tcPr>
            <w:tcW w:w="1080" w:type="dxa"/>
          </w:tcPr>
          <w:p w14:paraId="376A6D80" w14:textId="77777777" w:rsidR="00C56BA5" w:rsidRPr="00F92804" w:rsidRDefault="00C56BA5" w:rsidP="005B3663">
            <w:pPr>
              <w:pStyle w:val="Default"/>
              <w:spacing w:after="117"/>
              <w:rPr>
                <w:sz w:val="20"/>
                <w:szCs w:val="20"/>
              </w:rPr>
            </w:pPr>
            <w:r>
              <w:rPr>
                <w:sz w:val="20"/>
                <w:szCs w:val="20"/>
              </w:rPr>
              <w:t xml:space="preserve">Yes or No based on RT Offer Price Test </w:t>
            </w:r>
            <w:r w:rsidRPr="00F92804">
              <w:rPr>
                <w:sz w:val="20"/>
                <w:szCs w:val="20"/>
              </w:rPr>
              <w:t>(1)</w:t>
            </w:r>
          </w:p>
        </w:tc>
        <w:tc>
          <w:tcPr>
            <w:tcW w:w="990" w:type="dxa"/>
          </w:tcPr>
          <w:p w14:paraId="08F79115" w14:textId="77777777" w:rsidR="00C56BA5" w:rsidRPr="00F92804" w:rsidRDefault="00C56BA5" w:rsidP="005B3663">
            <w:pPr>
              <w:pStyle w:val="Default"/>
              <w:spacing w:after="117"/>
              <w:rPr>
                <w:sz w:val="20"/>
                <w:szCs w:val="20"/>
              </w:rPr>
            </w:pPr>
            <w:r>
              <w:rPr>
                <w:sz w:val="20"/>
                <w:szCs w:val="20"/>
              </w:rPr>
              <w:t>Yes or No based on RT Offer Price Test</w:t>
            </w:r>
            <w:r w:rsidRPr="00F92804">
              <w:rPr>
                <w:sz w:val="20"/>
                <w:szCs w:val="20"/>
              </w:rPr>
              <w:t xml:space="preserve"> (1)</w:t>
            </w:r>
          </w:p>
        </w:tc>
        <w:tc>
          <w:tcPr>
            <w:tcW w:w="990" w:type="dxa"/>
          </w:tcPr>
          <w:p w14:paraId="1C859458" w14:textId="77777777" w:rsidR="00C56BA5" w:rsidRPr="00F92804" w:rsidRDefault="00C56BA5" w:rsidP="005B3663">
            <w:pPr>
              <w:pStyle w:val="Default"/>
              <w:spacing w:after="117"/>
              <w:rPr>
                <w:sz w:val="20"/>
                <w:szCs w:val="20"/>
              </w:rPr>
            </w:pPr>
            <w:r>
              <w:rPr>
                <w:sz w:val="20"/>
                <w:szCs w:val="20"/>
              </w:rPr>
              <w:t>Yes or No based on RT Offer Price Test</w:t>
            </w:r>
            <w:r w:rsidRPr="00F92804">
              <w:rPr>
                <w:sz w:val="20"/>
                <w:szCs w:val="20"/>
              </w:rPr>
              <w:t xml:space="preserve"> (1)</w:t>
            </w:r>
          </w:p>
        </w:tc>
        <w:tc>
          <w:tcPr>
            <w:tcW w:w="1080" w:type="dxa"/>
          </w:tcPr>
          <w:p w14:paraId="4B98B2E8" w14:textId="77777777" w:rsidR="00C56BA5" w:rsidRPr="00F92804" w:rsidRDefault="00C56BA5" w:rsidP="005B3663">
            <w:pPr>
              <w:pStyle w:val="Default"/>
              <w:spacing w:after="117"/>
              <w:rPr>
                <w:sz w:val="20"/>
                <w:szCs w:val="20"/>
              </w:rPr>
            </w:pPr>
            <w:r>
              <w:rPr>
                <w:sz w:val="20"/>
                <w:szCs w:val="20"/>
              </w:rPr>
              <w:t>N/A</w:t>
            </w:r>
          </w:p>
        </w:tc>
        <w:tc>
          <w:tcPr>
            <w:tcW w:w="1098" w:type="dxa"/>
          </w:tcPr>
          <w:p w14:paraId="3C145E4D" w14:textId="77777777" w:rsidR="00C56BA5" w:rsidRPr="00F92804" w:rsidRDefault="00C56BA5" w:rsidP="005B3663">
            <w:pPr>
              <w:pStyle w:val="Default"/>
              <w:spacing w:after="117"/>
              <w:rPr>
                <w:sz w:val="20"/>
                <w:szCs w:val="20"/>
              </w:rPr>
            </w:pPr>
            <w:r>
              <w:rPr>
                <w:sz w:val="20"/>
                <w:szCs w:val="20"/>
              </w:rPr>
              <w:t>N/A</w:t>
            </w:r>
          </w:p>
        </w:tc>
        <w:tc>
          <w:tcPr>
            <w:tcW w:w="1098" w:type="dxa"/>
          </w:tcPr>
          <w:p w14:paraId="747278A6" w14:textId="77777777" w:rsidR="00C56BA5" w:rsidRDefault="00C56BA5" w:rsidP="005B3663">
            <w:pPr>
              <w:pStyle w:val="Default"/>
              <w:spacing w:after="117"/>
              <w:rPr>
                <w:sz w:val="20"/>
                <w:szCs w:val="20"/>
              </w:rPr>
            </w:pPr>
            <w:r>
              <w:rPr>
                <w:sz w:val="20"/>
                <w:szCs w:val="20"/>
              </w:rPr>
              <w:t>Yes</w:t>
            </w:r>
          </w:p>
        </w:tc>
      </w:tr>
    </w:tbl>
    <w:p w14:paraId="10B4984D" w14:textId="77777777" w:rsidR="00C56BA5" w:rsidRDefault="00C56BA5" w:rsidP="001332FE">
      <w:pPr>
        <w:jc w:val="center"/>
        <w:rPr>
          <w:lang w:eastAsia="en-US"/>
        </w:rPr>
      </w:pPr>
    </w:p>
    <w:p w14:paraId="7B438E19" w14:textId="77777777" w:rsidR="00C56BA5" w:rsidRDefault="00C56BA5" w:rsidP="007B3371">
      <w:pPr>
        <w:pStyle w:val="Default"/>
        <w:numPr>
          <w:ilvl w:val="0"/>
          <w:numId w:val="112"/>
        </w:numPr>
        <w:spacing w:before="120" w:after="240"/>
        <w:rPr>
          <w:sz w:val="22"/>
          <w:szCs w:val="22"/>
        </w:rPr>
      </w:pPr>
      <w:r>
        <w:rPr>
          <w:sz w:val="22"/>
          <w:szCs w:val="22"/>
        </w:rPr>
        <w:t>RT Offer Price Test: IF DA Import Scheduled quantity is offered in RT at –MMCP then DA-IFC, DA-EFC is exempt.</w:t>
      </w:r>
    </w:p>
    <w:p w14:paraId="69AF43E6" w14:textId="77777777" w:rsidR="00A74E78" w:rsidRDefault="006D5BB2" w:rsidP="00A25DC0">
      <w:pPr>
        <w:pStyle w:val="BodyText"/>
      </w:pPr>
      <w:r>
        <w:t>Characteristics of the</w:t>
      </w:r>
      <w:r w:rsidR="00A74E78">
        <w:t xml:space="preserve"> real-time import and </w:t>
      </w:r>
      <w:r w:rsidR="00161C7C" w:rsidRPr="00161C7C">
        <w:rPr>
          <w:i/>
        </w:rPr>
        <w:t xml:space="preserve">real-time export </w:t>
      </w:r>
      <w:r w:rsidR="00A74E78">
        <w:t>failure charges include</w:t>
      </w:r>
      <w:r w:rsidR="008D2B24">
        <w:t xml:space="preserve"> the following.</w:t>
      </w:r>
    </w:p>
    <w:p w14:paraId="03CCC146" w14:textId="77777777" w:rsidR="00274BEB" w:rsidRDefault="00A74E78" w:rsidP="003853C6">
      <w:pPr>
        <w:pStyle w:val="Bullet"/>
        <w:numPr>
          <w:ilvl w:val="0"/>
          <w:numId w:val="29"/>
        </w:numPr>
      </w:pPr>
      <w:r>
        <w:t xml:space="preserve">RT import failure charges and RT export failure charges apply to all import/export transactions on all </w:t>
      </w:r>
      <w:r w:rsidR="00DA3379" w:rsidRPr="00DA3379">
        <w:rPr>
          <w:i/>
        </w:rPr>
        <w:t>IESO</w:t>
      </w:r>
      <w:r>
        <w:t xml:space="preserve"> interfaces that fail between hour-ahead pre-</w:t>
      </w:r>
      <w:r w:rsidR="0039308B" w:rsidRPr="0039308B">
        <w:rPr>
          <w:i/>
        </w:rPr>
        <w:t>dispatch</w:t>
      </w:r>
      <w:r>
        <w:t xml:space="preserve"> and real</w:t>
      </w:r>
      <w:r w:rsidR="00432780">
        <w:t>-</w:t>
      </w:r>
      <w:r>
        <w:t xml:space="preserve">time. </w:t>
      </w:r>
      <w:r w:rsidR="005068A5">
        <w:t xml:space="preserve"> </w:t>
      </w:r>
      <w:r>
        <w:t xml:space="preserve">The intertie failure charge is limited, in the case of imports, to the Ontario real-time </w:t>
      </w:r>
      <w:r w:rsidR="00DA3379" w:rsidRPr="00DA3379">
        <w:rPr>
          <w:i/>
        </w:rPr>
        <w:t>energy</w:t>
      </w:r>
      <w:r>
        <w:t xml:space="preserve"> </w:t>
      </w:r>
      <w:r w:rsidRPr="00CB152D">
        <w:rPr>
          <w:i/>
        </w:rPr>
        <w:t>market price</w:t>
      </w:r>
      <w:r>
        <w:t>, and in the case of exports, to the pre-</w:t>
      </w:r>
      <w:r w:rsidR="0039308B" w:rsidRPr="0039308B">
        <w:rPr>
          <w:i/>
        </w:rPr>
        <w:t>dispatch</w:t>
      </w:r>
      <w:r>
        <w:t xml:space="preserve"> Ontario price. </w:t>
      </w:r>
      <w:r w:rsidR="005068A5">
        <w:t xml:space="preserve"> </w:t>
      </w:r>
      <w:r>
        <w:t>The import failure charge is the mirror image of the export failure charge.</w:t>
      </w:r>
    </w:p>
    <w:p w14:paraId="611F516D" w14:textId="77777777" w:rsidR="00274BEB" w:rsidRDefault="00B62F28" w:rsidP="003853C6">
      <w:pPr>
        <w:pStyle w:val="Bullet"/>
        <w:numPr>
          <w:ilvl w:val="0"/>
          <w:numId w:val="29"/>
        </w:numPr>
      </w:pPr>
      <w:r>
        <w:t xml:space="preserve">The import transaction may be exempted from these failure charges if </w:t>
      </w:r>
      <w:r w:rsidR="009C6690">
        <w:t>we</w:t>
      </w:r>
      <w:r>
        <w:t xml:space="preserve"> determine or </w:t>
      </w:r>
      <w:r w:rsidR="009C6690">
        <w:t xml:space="preserve">you </w:t>
      </w:r>
      <w:r>
        <w:t xml:space="preserve">demonstrate </w:t>
      </w:r>
      <w:r w:rsidR="009C6690">
        <w:t xml:space="preserve">that </w:t>
      </w:r>
      <w:r>
        <w:t>the failure of the day-ahead import transaction to flow in real-time is caused by bona fide and legitimate reasons.</w:t>
      </w:r>
      <w:r w:rsidRPr="00824095">
        <w:t xml:space="preserve"> </w:t>
      </w:r>
      <w:r w:rsidR="001C6E25">
        <w:t xml:space="preserve"> </w:t>
      </w:r>
      <w:r>
        <w:t xml:space="preserve">Generally, these reasons for import failure are beyond </w:t>
      </w:r>
      <w:r w:rsidR="009C6690">
        <w:t>your</w:t>
      </w:r>
      <w:r>
        <w:t xml:space="preserve"> control or due to </w:t>
      </w:r>
      <w:r w:rsidR="009C6690">
        <w:t xml:space="preserve">our </w:t>
      </w:r>
      <w:r>
        <w:t xml:space="preserve">errors or actions </w:t>
      </w:r>
      <w:r w:rsidR="009C6690">
        <w:t>or those of</w:t>
      </w:r>
      <w:r>
        <w:t xml:space="preserve"> an external system operator</w:t>
      </w:r>
      <w:r w:rsidR="006D5BB2">
        <w:t>.</w:t>
      </w:r>
      <w:r>
        <w:t xml:space="preserve"> </w:t>
      </w:r>
      <w:r w:rsidR="001C6E25">
        <w:t xml:space="preserve"> </w:t>
      </w:r>
      <w:r>
        <w:t xml:space="preserve">These reasons may be determined by </w:t>
      </w:r>
      <w:r w:rsidR="009C6690" w:rsidRPr="009C6690">
        <w:t>our</w:t>
      </w:r>
      <w:r w:rsidR="009C6690">
        <w:t xml:space="preserve"> </w:t>
      </w:r>
      <w:r>
        <w:t>operations</w:t>
      </w:r>
      <w:r w:rsidR="00640862">
        <w:t>,</w:t>
      </w:r>
      <w:r>
        <w:t xml:space="preserve"> or </w:t>
      </w:r>
      <w:r w:rsidR="00432780">
        <w:t xml:space="preserve">you </w:t>
      </w:r>
      <w:r>
        <w:t>can submit</w:t>
      </w:r>
      <w:r w:rsidR="00432780">
        <w:t xml:space="preserve"> them</w:t>
      </w:r>
      <w:r>
        <w:t xml:space="preserve"> to </w:t>
      </w:r>
      <w:r w:rsidR="009C6690">
        <w:t>us</w:t>
      </w:r>
      <w:r>
        <w:t xml:space="preserve"> for assessment through the </w:t>
      </w:r>
      <w:r w:rsidRPr="00533A53">
        <w:rPr>
          <w:i/>
        </w:rPr>
        <w:t xml:space="preserve">notice of disagreement </w:t>
      </w:r>
      <w:r w:rsidR="00CD5AF5">
        <w:t xml:space="preserve">(NOD) process. </w:t>
      </w:r>
      <w:r w:rsidR="002429B5">
        <w:t xml:space="preserve"> </w:t>
      </w:r>
      <w:r w:rsidR="00CD5AF5">
        <w:t>Refer to Section 1.5.</w:t>
      </w:r>
    </w:p>
    <w:p w14:paraId="0983A8E1" w14:textId="77777777" w:rsidR="00274BEB" w:rsidRDefault="009C6690" w:rsidP="003853C6">
      <w:pPr>
        <w:pStyle w:val="Bullet"/>
        <w:numPr>
          <w:ilvl w:val="0"/>
          <w:numId w:val="29"/>
        </w:numPr>
      </w:pPr>
      <w:r>
        <w:t>We</w:t>
      </w:r>
      <w:r w:rsidR="00A74E78">
        <w:t xml:space="preserve"> calculate the real-time import failure charge to a maximum import charge capped at </w:t>
      </w:r>
      <w:r w:rsidR="00571445">
        <w:t xml:space="preserve">a value proportional to </w:t>
      </w:r>
      <w:r w:rsidR="00A74E78">
        <w:t xml:space="preserve">the Ontario Market Clearing price for the interval. </w:t>
      </w:r>
      <w:r w:rsidR="001C6E25">
        <w:t xml:space="preserve"> </w:t>
      </w:r>
      <w:r w:rsidR="00A74E78">
        <w:t>It is triggered when the adjusted real-time price is greater that the pre-</w:t>
      </w:r>
      <w:r w:rsidR="0039308B" w:rsidRPr="0039308B">
        <w:rPr>
          <w:i/>
        </w:rPr>
        <w:t>dispatch</w:t>
      </w:r>
      <w:r w:rsidR="00A74E78">
        <w:t xml:space="preserve"> price during the hour of failure.</w:t>
      </w:r>
    </w:p>
    <w:p w14:paraId="1AF270E5" w14:textId="77777777" w:rsidR="00274BEB" w:rsidRDefault="009C6690" w:rsidP="003853C6">
      <w:pPr>
        <w:pStyle w:val="Bullet"/>
        <w:numPr>
          <w:ilvl w:val="0"/>
          <w:numId w:val="29"/>
        </w:numPr>
      </w:pPr>
      <w:r>
        <w:t>We</w:t>
      </w:r>
      <w:r w:rsidR="00A74E78">
        <w:t xml:space="preserve"> calculate the real-time export failure charge to a maximum export charge capped at </w:t>
      </w:r>
      <w:r w:rsidR="006D5BB2">
        <w:t>a value</w:t>
      </w:r>
      <w:r w:rsidR="00571445">
        <w:t xml:space="preserve"> proportional to </w:t>
      </w:r>
      <w:r w:rsidR="00A74E78">
        <w:t xml:space="preserve">the </w:t>
      </w:r>
      <w:r w:rsidR="00571445">
        <w:t>p</w:t>
      </w:r>
      <w:r w:rsidR="00A74E78">
        <w:t>re-</w:t>
      </w:r>
      <w:r w:rsidR="0039308B" w:rsidRPr="0039308B">
        <w:rPr>
          <w:i/>
        </w:rPr>
        <w:t>dispatch</w:t>
      </w:r>
      <w:r w:rsidR="00A74E78">
        <w:t xml:space="preserve"> Ontario price for the hour. </w:t>
      </w:r>
      <w:r w:rsidR="00ED1791">
        <w:t xml:space="preserve"> </w:t>
      </w:r>
      <w:r w:rsidR="00A74E78">
        <w:t>It is triggered when the adjusted real-time price is less than the pre-</w:t>
      </w:r>
      <w:r w:rsidR="0039308B" w:rsidRPr="0039308B">
        <w:rPr>
          <w:i/>
        </w:rPr>
        <w:t>dispatch</w:t>
      </w:r>
      <w:r w:rsidR="00A74E78">
        <w:t xml:space="preserve"> price during the hour of failure.</w:t>
      </w:r>
    </w:p>
    <w:p w14:paraId="61E1BAA9" w14:textId="77777777" w:rsidR="00274BEB" w:rsidRDefault="009C6690" w:rsidP="003853C6">
      <w:pPr>
        <w:pStyle w:val="Bullet"/>
        <w:numPr>
          <w:ilvl w:val="0"/>
          <w:numId w:val="29"/>
        </w:numPr>
      </w:pPr>
      <w:r>
        <w:t>We</w:t>
      </w:r>
      <w:r w:rsidR="00A74E78">
        <w:t xml:space="preserve"> calculate an hourly applicable price bias adjustment factor used in both the real-time import and export failure charges. </w:t>
      </w:r>
      <w:r w:rsidR="001C6E25">
        <w:t xml:space="preserve"> </w:t>
      </w:r>
      <w:r w:rsidR="00A74E78">
        <w:t>The price bias adjustment factor compensates for systematic differences between the pre-</w:t>
      </w:r>
      <w:r w:rsidR="0039308B" w:rsidRPr="0039308B">
        <w:rPr>
          <w:i/>
        </w:rPr>
        <w:t>dispatch</w:t>
      </w:r>
      <w:r w:rsidR="00A74E78">
        <w:t xml:space="preserve"> and real-time price. </w:t>
      </w:r>
      <w:r w:rsidR="00432780">
        <w:t xml:space="preserve">For </w:t>
      </w:r>
      <w:r w:rsidR="00B82664">
        <w:t>example</w:t>
      </w:r>
      <w:r w:rsidR="00432780">
        <w:t>, there are</w:t>
      </w:r>
      <w:r w:rsidR="00A74E78">
        <w:t xml:space="preserve"> systematic differences between the </w:t>
      </w:r>
      <w:r w:rsidR="00432780">
        <w:t>pre-</w:t>
      </w:r>
      <w:r w:rsidR="0039308B" w:rsidRPr="0039308B">
        <w:rPr>
          <w:i/>
        </w:rPr>
        <w:t>dispatch</w:t>
      </w:r>
      <w:r w:rsidR="00432780">
        <w:t xml:space="preserve"> </w:t>
      </w:r>
      <w:r w:rsidR="00A74E78">
        <w:t xml:space="preserve">and </w:t>
      </w:r>
      <w:r w:rsidR="00432780">
        <w:t xml:space="preserve">real-time </w:t>
      </w:r>
      <w:r w:rsidR="00A74E78">
        <w:t xml:space="preserve">price </w:t>
      </w:r>
      <w:r w:rsidR="00432780">
        <w:t xml:space="preserve">as </w:t>
      </w:r>
      <w:r w:rsidR="00A74E78">
        <w:t xml:space="preserve">a result of using Ontario </w:t>
      </w:r>
      <w:r w:rsidR="00DA3379" w:rsidRPr="00DA3379">
        <w:rPr>
          <w:i/>
        </w:rPr>
        <w:t>demand</w:t>
      </w:r>
      <w:r w:rsidR="00A74E78">
        <w:t xml:space="preserve"> forecast peak in PD versus the average in real-time price calculations. </w:t>
      </w:r>
      <w:r w:rsidR="001C6E25">
        <w:t xml:space="preserve"> </w:t>
      </w:r>
      <w:r w:rsidR="0011229E">
        <w:t>See Appendix D for a description of the methodology we use to calculate the bias adjustment factor.</w:t>
      </w:r>
    </w:p>
    <w:p w14:paraId="2BC2CB73" w14:textId="77777777" w:rsidR="00DA3379" w:rsidRDefault="00DA3379" w:rsidP="00DA3379">
      <w:pPr>
        <w:pStyle w:val="Bullet"/>
        <w:numPr>
          <w:ilvl w:val="0"/>
          <w:numId w:val="0"/>
        </w:numPr>
        <w:ind w:left="504"/>
      </w:pPr>
    </w:p>
    <w:p w14:paraId="6B03BD63" w14:textId="77777777" w:rsidR="00A74E78" w:rsidRPr="001F3EA0" w:rsidRDefault="00A74E78" w:rsidP="00A74E78">
      <w:pPr>
        <w:pStyle w:val="Bullet"/>
        <w:numPr>
          <w:ilvl w:val="0"/>
          <w:numId w:val="0"/>
        </w:numPr>
        <w:ind w:left="504"/>
        <w:rPr>
          <w:b/>
        </w:rPr>
      </w:pPr>
      <w:r w:rsidRPr="001F3EA0">
        <w:rPr>
          <w:b/>
        </w:rPr>
        <w:t>For example:</w:t>
      </w:r>
    </w:p>
    <w:p w14:paraId="09856B2A" w14:textId="77777777" w:rsidR="00A74E78" w:rsidRDefault="00A74E78" w:rsidP="00A74E78">
      <w:pPr>
        <w:pStyle w:val="Bullet"/>
        <w:numPr>
          <w:ilvl w:val="0"/>
          <w:numId w:val="0"/>
        </w:numPr>
        <w:ind w:left="504"/>
      </w:pPr>
      <w:r>
        <w:t xml:space="preserve">Real-time Import Failure Charge: = </w:t>
      </w:r>
      <w:r w:rsidR="00CA1718">
        <w:t>Min [</w:t>
      </w:r>
      <w:r>
        <w:t>Max[0, ((RT Ont MCP + Import Bias Adjustment factor) – PD Ont MCP) * MWh deviation], Max (0, RT Ont MCP) * MWh deviation]</w:t>
      </w:r>
    </w:p>
    <w:p w14:paraId="5E6CE8D2" w14:textId="77777777" w:rsidR="00A74E78" w:rsidRDefault="00A74E78" w:rsidP="004249DC">
      <w:pPr>
        <w:pStyle w:val="Bullet"/>
        <w:numPr>
          <w:ilvl w:val="0"/>
          <w:numId w:val="0"/>
        </w:numPr>
        <w:spacing w:after="120"/>
        <w:ind w:left="504"/>
      </w:pPr>
      <w:r>
        <w:t xml:space="preserve">Real-time Export Failure Charge: = Min[Max[0, ((PD Ont MCP – RT Ont MCP – Export Bias Adjustment factor) * MWh deviation], Max (0, </w:t>
      </w:r>
      <w:r w:rsidR="0026657D">
        <w:t xml:space="preserve">PD </w:t>
      </w:r>
      <w:r>
        <w:t>Ont MCP) * MWh deviation]</w:t>
      </w:r>
    </w:p>
    <w:p w14:paraId="132CB3D5" w14:textId="77777777" w:rsidR="00274BEB" w:rsidRDefault="00A74E78">
      <w:pPr>
        <w:pStyle w:val="Bullet"/>
        <w:numPr>
          <w:ilvl w:val="0"/>
          <w:numId w:val="0"/>
        </w:numPr>
        <w:spacing w:before="120"/>
        <w:ind w:left="504"/>
      </w:pPr>
      <w:r w:rsidRPr="001F3EA0">
        <w:rPr>
          <w:b/>
        </w:rPr>
        <w:t>Example 1:</w:t>
      </w:r>
      <w:r>
        <w:rPr>
          <w:b/>
        </w:rPr>
        <w:tab/>
      </w:r>
      <w:r>
        <w:t>PD price = $100</w:t>
      </w:r>
    </w:p>
    <w:p w14:paraId="34FBA94D" w14:textId="77777777" w:rsidR="00A74E78" w:rsidRDefault="00A74E78" w:rsidP="00A74E78">
      <w:pPr>
        <w:pStyle w:val="Bullet"/>
        <w:numPr>
          <w:ilvl w:val="0"/>
          <w:numId w:val="0"/>
        </w:numPr>
        <w:ind w:left="2160"/>
      </w:pPr>
      <w:r>
        <w:t>RT price = $120</w:t>
      </w:r>
    </w:p>
    <w:p w14:paraId="359ACE48" w14:textId="77777777" w:rsidR="00A74E78" w:rsidRDefault="00A74E78" w:rsidP="00A74E78">
      <w:pPr>
        <w:pStyle w:val="Bullet"/>
        <w:numPr>
          <w:ilvl w:val="0"/>
          <w:numId w:val="0"/>
        </w:numPr>
        <w:ind w:left="2160"/>
      </w:pPr>
      <w:r>
        <w:t>Adjustment factor = $5</w:t>
      </w:r>
    </w:p>
    <w:p w14:paraId="0EE87BCC" w14:textId="77777777" w:rsidR="00A74E78" w:rsidRDefault="00A74E78" w:rsidP="00A74E78">
      <w:pPr>
        <w:pStyle w:val="Bullet"/>
        <w:numPr>
          <w:ilvl w:val="0"/>
          <w:numId w:val="0"/>
        </w:numPr>
        <w:ind w:left="2160"/>
      </w:pPr>
      <w:r>
        <w:t>Volume failed = 100 MW</w:t>
      </w:r>
    </w:p>
    <w:p w14:paraId="07E1FA35" w14:textId="77777777" w:rsidR="00A74E78" w:rsidRDefault="00A74E78" w:rsidP="00A74E78">
      <w:pPr>
        <w:pStyle w:val="Bullet"/>
        <w:numPr>
          <w:ilvl w:val="0"/>
          <w:numId w:val="0"/>
        </w:numPr>
        <w:ind w:left="504"/>
      </w:pPr>
      <w:r w:rsidRPr="00B04913">
        <w:rPr>
          <w:b/>
        </w:rPr>
        <w:t>RT Import Failure Charge</w:t>
      </w:r>
      <w:r>
        <w:t xml:space="preserve"> </w:t>
      </w:r>
      <w:r>
        <w:tab/>
        <w:t>= minimum of [$120+$5-$100]*100 MW or ($25*100 MW)</w:t>
      </w:r>
    </w:p>
    <w:p w14:paraId="03488678" w14:textId="77777777" w:rsidR="0050452D" w:rsidRDefault="00A74E78">
      <w:pPr>
        <w:pStyle w:val="Bullet"/>
        <w:numPr>
          <w:ilvl w:val="0"/>
          <w:numId w:val="0"/>
        </w:numPr>
        <w:tabs>
          <w:tab w:val="left" w:pos="3600"/>
        </w:tabs>
        <w:spacing w:after="200"/>
        <w:ind w:left="504"/>
      </w:pPr>
      <w:r>
        <w:tab/>
        <w:t>= $2500</w:t>
      </w:r>
    </w:p>
    <w:p w14:paraId="105B5A73" w14:textId="77777777" w:rsidR="00A74E78" w:rsidRDefault="00A74E78" w:rsidP="00A74E78">
      <w:pPr>
        <w:pStyle w:val="Bullet"/>
        <w:numPr>
          <w:ilvl w:val="0"/>
          <w:numId w:val="0"/>
        </w:numPr>
        <w:ind w:left="504"/>
      </w:pPr>
      <w:r w:rsidRPr="001F3EA0">
        <w:rPr>
          <w:b/>
        </w:rPr>
        <w:t>Example 2:</w:t>
      </w:r>
      <w:r>
        <w:tab/>
        <w:t>PD price = $100</w:t>
      </w:r>
    </w:p>
    <w:p w14:paraId="1BA9B1BE" w14:textId="77777777" w:rsidR="00A74E78" w:rsidRDefault="00A74E78" w:rsidP="00A74E78">
      <w:pPr>
        <w:pStyle w:val="Bullet"/>
        <w:numPr>
          <w:ilvl w:val="0"/>
          <w:numId w:val="0"/>
        </w:numPr>
        <w:ind w:left="2160"/>
      </w:pPr>
      <w:r>
        <w:t>RT price = $80</w:t>
      </w:r>
    </w:p>
    <w:p w14:paraId="581486D6" w14:textId="77777777" w:rsidR="00A74E78" w:rsidRDefault="00A74E78" w:rsidP="00A74E78">
      <w:pPr>
        <w:pStyle w:val="Bullet"/>
        <w:numPr>
          <w:ilvl w:val="0"/>
          <w:numId w:val="0"/>
        </w:numPr>
        <w:ind w:left="2160"/>
      </w:pPr>
      <w:r>
        <w:t>Adjustment factor = $5</w:t>
      </w:r>
    </w:p>
    <w:p w14:paraId="26859E27" w14:textId="77777777" w:rsidR="00A74E78" w:rsidRDefault="00A74E78" w:rsidP="00A74E78">
      <w:pPr>
        <w:pStyle w:val="Bullet"/>
        <w:numPr>
          <w:ilvl w:val="0"/>
          <w:numId w:val="0"/>
        </w:numPr>
        <w:ind w:left="2160"/>
      </w:pPr>
      <w:r>
        <w:t>Volume failed = 100 MW</w:t>
      </w:r>
    </w:p>
    <w:p w14:paraId="6F1112E9" w14:textId="77777777" w:rsidR="00A74E78" w:rsidRDefault="00A74E78" w:rsidP="00A74E78">
      <w:pPr>
        <w:pStyle w:val="Bullet"/>
        <w:numPr>
          <w:ilvl w:val="0"/>
          <w:numId w:val="0"/>
        </w:numPr>
        <w:ind w:left="504"/>
      </w:pPr>
      <w:r w:rsidRPr="00B04913">
        <w:rPr>
          <w:b/>
        </w:rPr>
        <w:t>RT</w:t>
      </w:r>
      <w:r>
        <w:rPr>
          <w:b/>
        </w:rPr>
        <w:t xml:space="preserve"> Ex</w:t>
      </w:r>
      <w:r w:rsidRPr="00B04913">
        <w:rPr>
          <w:b/>
        </w:rPr>
        <w:t>port Failure Charge</w:t>
      </w:r>
      <w:r>
        <w:t xml:space="preserve"> </w:t>
      </w:r>
      <w:r>
        <w:tab/>
        <w:t>= minimum of [$100–$80–$5]*100 MW or ($100*100 MW)</w:t>
      </w:r>
    </w:p>
    <w:p w14:paraId="7D0F5F30" w14:textId="77777777" w:rsidR="00A25DC0" w:rsidRDefault="00A74E78" w:rsidP="001A4861">
      <w:pPr>
        <w:pStyle w:val="Bullet"/>
        <w:numPr>
          <w:ilvl w:val="0"/>
          <w:numId w:val="0"/>
        </w:numPr>
        <w:tabs>
          <w:tab w:val="left" w:pos="3600"/>
        </w:tabs>
        <w:ind w:left="504"/>
      </w:pPr>
      <w:r>
        <w:tab/>
        <w:t>= $1500</w:t>
      </w:r>
    </w:p>
    <w:p w14:paraId="51C3C007" w14:textId="77777777" w:rsidR="00C53981" w:rsidRDefault="00C53981" w:rsidP="00B97C8B">
      <w:pPr>
        <w:pStyle w:val="Bullet"/>
        <w:numPr>
          <w:ilvl w:val="0"/>
          <w:numId w:val="0"/>
        </w:numPr>
        <w:ind w:left="504"/>
      </w:pPr>
    </w:p>
    <w:p w14:paraId="5DAAB5AA" w14:textId="77777777" w:rsidR="00274BEB" w:rsidRDefault="00A74E78" w:rsidP="003853C6">
      <w:pPr>
        <w:pStyle w:val="Bullet"/>
        <w:numPr>
          <w:ilvl w:val="0"/>
          <w:numId w:val="29"/>
        </w:numPr>
        <w:spacing w:before="120" w:after="120"/>
      </w:pPr>
      <w:r>
        <w:t xml:space="preserve">The </w:t>
      </w:r>
      <w:r w:rsidRPr="0055309B">
        <w:rPr>
          <w:i/>
        </w:rPr>
        <w:t>settlement amount</w:t>
      </w:r>
      <w:r>
        <w:t xml:space="preserve"> is only payable from </w:t>
      </w:r>
      <w:r w:rsidR="009C6690">
        <w:t>you</w:t>
      </w:r>
      <w:r>
        <w:t xml:space="preserve"> to the </w:t>
      </w:r>
      <w:r w:rsidRPr="002B0D57">
        <w:rPr>
          <w:i/>
        </w:rPr>
        <w:t>IESO-administered markets</w:t>
      </w:r>
      <w:r w:rsidRPr="00FC23DD">
        <w:t xml:space="preserve">. </w:t>
      </w:r>
      <w:r w:rsidR="00ED1791">
        <w:t xml:space="preserve"> </w:t>
      </w:r>
      <w:r>
        <w:t xml:space="preserve">Payments of these </w:t>
      </w:r>
      <w:r w:rsidRPr="002B0D57">
        <w:rPr>
          <w:i/>
        </w:rPr>
        <w:t>settlement amounts</w:t>
      </w:r>
      <w:r>
        <w:t xml:space="preserve"> to </w:t>
      </w:r>
      <w:r w:rsidR="009C6690" w:rsidRPr="009C6690">
        <w:t>you</w:t>
      </w:r>
      <w:r>
        <w:t xml:space="preserve"> under any other circumstances are not allowed.</w:t>
      </w:r>
      <w:r w:rsidR="009932CC">
        <w:t xml:space="preserve"> </w:t>
      </w:r>
      <w:r w:rsidR="00ED1791">
        <w:t xml:space="preserve"> </w:t>
      </w:r>
      <w:r w:rsidR="009932CC">
        <w:t xml:space="preserve">These </w:t>
      </w:r>
      <w:r w:rsidR="009932CC" w:rsidRPr="009932CC">
        <w:rPr>
          <w:i/>
        </w:rPr>
        <w:t>settlement amounts</w:t>
      </w:r>
      <w:r w:rsidR="009932CC">
        <w:t xml:space="preserve"> </w:t>
      </w:r>
      <w:r w:rsidR="00432780">
        <w:t>are</w:t>
      </w:r>
      <w:r w:rsidR="009932CC">
        <w:t xml:space="preserve"> administered under </w:t>
      </w:r>
      <w:r w:rsidR="009932CC" w:rsidRPr="009932CC">
        <w:rPr>
          <w:i/>
        </w:rPr>
        <w:t xml:space="preserve">charge types </w:t>
      </w:r>
      <w:r w:rsidR="009932CC">
        <w:t>135 “Real-time Import Failure Charge” and 136 “Real-time Export Failure Charge”.</w:t>
      </w:r>
    </w:p>
    <w:p w14:paraId="790834E3" w14:textId="77777777" w:rsidR="00274BEB" w:rsidRDefault="009C6690" w:rsidP="003853C6">
      <w:pPr>
        <w:pStyle w:val="Bullet"/>
        <w:numPr>
          <w:ilvl w:val="0"/>
          <w:numId w:val="29"/>
        </w:numPr>
        <w:spacing w:before="120" w:after="120"/>
      </w:pPr>
      <w:r>
        <w:t>We</w:t>
      </w:r>
      <w:r w:rsidR="00A74E78" w:rsidRPr="00A25DC0">
        <w:rPr>
          <w:i/>
        </w:rPr>
        <w:t xml:space="preserve"> </w:t>
      </w:r>
      <w:r w:rsidR="00A74E78">
        <w:t xml:space="preserve">distribute </w:t>
      </w:r>
      <w:r w:rsidR="00A74E78" w:rsidRPr="00441705">
        <w:rPr>
          <w:i/>
        </w:rPr>
        <w:t>settlement amounts</w:t>
      </w:r>
      <w:r w:rsidR="00A74E78">
        <w:t xml:space="preserve"> collected under these charges on a pro-rata basis to </w:t>
      </w:r>
      <w:r w:rsidR="00A74E78" w:rsidRPr="00A25DC0">
        <w:rPr>
          <w:i/>
        </w:rPr>
        <w:t>market participants</w:t>
      </w:r>
      <w:r w:rsidR="00A74E78">
        <w:t xml:space="preserve"> with allocated quantities of </w:t>
      </w:r>
      <w:r w:rsidR="00A74E78" w:rsidRPr="00441705">
        <w:rPr>
          <w:i/>
        </w:rPr>
        <w:t>energy</w:t>
      </w:r>
      <w:r w:rsidR="00A74E78">
        <w:t xml:space="preserve"> withdrawn (AQEW, including export transactions) at the time for which the charge was assessed. </w:t>
      </w:r>
      <w:r w:rsidR="00B97C8B">
        <w:t xml:space="preserve"> </w:t>
      </w:r>
      <w:r w:rsidR="00A74E78">
        <w:t xml:space="preserve">This </w:t>
      </w:r>
      <w:r w:rsidR="00B37FE0">
        <w:t>is</w:t>
      </w:r>
      <w:r w:rsidR="00A74E78">
        <w:t xml:space="preserve"> distributed as a new component of </w:t>
      </w:r>
      <w:r w:rsidR="00A74E78" w:rsidRPr="00441705">
        <w:rPr>
          <w:i/>
        </w:rPr>
        <w:t>hourly uplift</w:t>
      </w:r>
      <w:r w:rsidR="00A74E78">
        <w:t xml:space="preserve"> in </w:t>
      </w:r>
      <w:r w:rsidR="00A74E78" w:rsidRPr="00AD6E06">
        <w:rPr>
          <w:i/>
        </w:rPr>
        <w:t>charge type</w:t>
      </w:r>
      <w:r w:rsidR="00A74E78">
        <w:t xml:space="preserve"> 186 </w:t>
      </w:r>
      <w:r w:rsidR="00AA3D99">
        <w:t>“</w:t>
      </w:r>
      <w:r w:rsidR="00A74E78">
        <w:t>Intertie Failure Charge Rebate</w:t>
      </w:r>
      <w:r w:rsidR="00AA3D99">
        <w:t>”</w:t>
      </w:r>
      <w:r w:rsidR="00A74E78">
        <w:t>.</w:t>
      </w:r>
      <w:r w:rsidR="001C02E3">
        <w:t xml:space="preserve"> Refer to Chapter 9, S</w:t>
      </w:r>
      <w:r w:rsidR="00397FA6">
        <w:t xml:space="preserve">ections 3.9 and 4.8 of the </w:t>
      </w:r>
      <w:r w:rsidR="00752CC8" w:rsidRPr="00752CC8">
        <w:rPr>
          <w:i/>
        </w:rPr>
        <w:t>market rules</w:t>
      </w:r>
      <w:r w:rsidR="00397FA6">
        <w:t>.</w:t>
      </w:r>
    </w:p>
    <w:p w14:paraId="4AE1EB84" w14:textId="77777777" w:rsidR="00274BEB" w:rsidRDefault="00A74E78" w:rsidP="003853C6">
      <w:pPr>
        <w:pStyle w:val="Bullet"/>
        <w:numPr>
          <w:ilvl w:val="0"/>
          <w:numId w:val="29"/>
        </w:numPr>
        <w:spacing w:before="120" w:after="120"/>
      </w:pPr>
      <w:r>
        <w:t xml:space="preserve">The </w:t>
      </w:r>
      <w:r w:rsidR="00DA3379" w:rsidRPr="00DA3379">
        <w:rPr>
          <w:i/>
        </w:rPr>
        <w:t>intertie</w:t>
      </w:r>
      <w:r>
        <w:t xml:space="preserve"> failure charge rebate is a new </w:t>
      </w:r>
      <w:r w:rsidRPr="002B0D57">
        <w:rPr>
          <w:i/>
        </w:rPr>
        <w:t>charge type</w:t>
      </w:r>
      <w:r>
        <w:t xml:space="preserve"> </w:t>
      </w:r>
      <w:r w:rsidR="00B37FE0">
        <w:t xml:space="preserve">that </w:t>
      </w:r>
      <w:r>
        <w:t xml:space="preserve">submits a new component of </w:t>
      </w:r>
      <w:r w:rsidRPr="00441705">
        <w:rPr>
          <w:i/>
        </w:rPr>
        <w:t>hourly uplift</w:t>
      </w:r>
      <w:r>
        <w:t xml:space="preserve"> for distribution to the market. </w:t>
      </w:r>
      <w:r w:rsidR="00ED1791">
        <w:t xml:space="preserve"> </w:t>
      </w:r>
      <w:r>
        <w:t xml:space="preserve">It distributes proceeds from the RT import </w:t>
      </w:r>
      <w:r w:rsidR="00770492">
        <w:t>f</w:t>
      </w:r>
      <w:r>
        <w:t>ailure charge (RT-IFC), the RT export failure charge (RT-EFC) and the DA import failure charge (DA-IFC)</w:t>
      </w:r>
      <w:r w:rsidR="00770492">
        <w:t xml:space="preserve"> (net of any reductions for the </w:t>
      </w:r>
      <w:r w:rsidR="00DA3379" w:rsidRPr="00DA3379">
        <w:rPr>
          <w:i/>
        </w:rPr>
        <w:t>intertie</w:t>
      </w:r>
      <w:r w:rsidR="00770492">
        <w:t xml:space="preserve"> failure charge reversal (IFC-REV))</w:t>
      </w:r>
      <w:r>
        <w:t>.</w:t>
      </w:r>
    </w:p>
    <w:p w14:paraId="5814F4F4" w14:textId="77777777" w:rsidR="00274BEB" w:rsidRDefault="00A74E78" w:rsidP="003853C6">
      <w:pPr>
        <w:pStyle w:val="Bullet"/>
        <w:numPr>
          <w:ilvl w:val="0"/>
          <w:numId w:val="29"/>
        </w:numPr>
        <w:spacing w:before="120" w:after="120"/>
      </w:pPr>
      <w:r>
        <w:t xml:space="preserve">This </w:t>
      </w:r>
      <w:r w:rsidRPr="00441705">
        <w:rPr>
          <w:i/>
        </w:rPr>
        <w:t>hourly uplift</w:t>
      </w:r>
      <w:r>
        <w:t xml:space="preserve"> can be transferred as part of a </w:t>
      </w:r>
      <w:r w:rsidRPr="002B0D57">
        <w:rPr>
          <w:i/>
        </w:rPr>
        <w:t>physical bilateral contract</w:t>
      </w:r>
      <w:r>
        <w:t xml:space="preserve">. </w:t>
      </w:r>
      <w:r w:rsidR="00B97C8B">
        <w:t xml:space="preserve"> </w:t>
      </w:r>
      <w:r>
        <w:t>Refer to “Market Manual 5, Settlements, Part 5.3: Submission of Physical Bilateral Contact Data”.</w:t>
      </w:r>
    </w:p>
    <w:p w14:paraId="370611DA" w14:textId="77777777" w:rsidR="0050452D" w:rsidRDefault="002F6B04">
      <w:pPr>
        <w:pStyle w:val="Heading3"/>
      </w:pPr>
      <w:bookmarkStart w:id="457" w:name="_Toc171840512"/>
      <w:bookmarkStart w:id="458" w:name="_Toc172434829"/>
      <w:bookmarkStart w:id="459" w:name="_Toc172434977"/>
      <w:bookmarkStart w:id="460" w:name="_Toc172431574"/>
      <w:bookmarkStart w:id="461" w:name="_Toc172431652"/>
      <w:bookmarkStart w:id="462" w:name="_Toc238613900"/>
      <w:bookmarkStart w:id="463" w:name="_Toc175383897"/>
      <w:bookmarkStart w:id="464" w:name="_Toc400369514"/>
      <w:bookmarkStart w:id="465" w:name="_Toc35796340"/>
      <w:bookmarkStart w:id="466" w:name="_Toc79657942"/>
      <w:bookmarkEnd w:id="457"/>
      <w:bookmarkEnd w:id="458"/>
      <w:bookmarkEnd w:id="459"/>
      <w:bookmarkEnd w:id="460"/>
      <w:bookmarkEnd w:id="461"/>
      <w:bookmarkEnd w:id="462"/>
      <w:r w:rsidRPr="002F65C1">
        <w:t>Standard Offer Program (SOP)</w:t>
      </w:r>
      <w:bookmarkEnd w:id="463"/>
      <w:bookmarkEnd w:id="464"/>
      <w:bookmarkEnd w:id="465"/>
      <w:bookmarkEnd w:id="466"/>
    </w:p>
    <w:p w14:paraId="7EE7B088" w14:textId="77777777" w:rsidR="002F65C1" w:rsidRPr="002F65C1" w:rsidRDefault="007F0938" w:rsidP="00133618">
      <w:pPr>
        <w:pStyle w:val="Heading4"/>
      </w:pPr>
      <w:r>
        <w:t xml:space="preserve">Renewable Energy </w:t>
      </w:r>
      <w:r w:rsidR="002F65C1" w:rsidRPr="002F65C1">
        <w:t>Standard Offer Program (</w:t>
      </w:r>
      <w:r w:rsidR="002B6192">
        <w:t>RE</w:t>
      </w:r>
      <w:r w:rsidR="002F65C1" w:rsidRPr="002F65C1">
        <w:t>SOP)</w:t>
      </w:r>
    </w:p>
    <w:p w14:paraId="196C5788" w14:textId="77777777" w:rsidR="00BE4221" w:rsidRDefault="002F65C1" w:rsidP="002F65C1">
      <w:pPr>
        <w:pStyle w:val="BodyText"/>
        <w:rPr>
          <w:szCs w:val="22"/>
        </w:rPr>
      </w:pPr>
      <w:r>
        <w:rPr>
          <w:szCs w:val="22"/>
        </w:rPr>
        <w:t>T</w:t>
      </w:r>
      <w:r w:rsidRPr="008705A2">
        <w:rPr>
          <w:szCs w:val="22"/>
        </w:rPr>
        <w:t xml:space="preserve">he </w:t>
      </w:r>
      <w:r w:rsidR="002B6192">
        <w:rPr>
          <w:szCs w:val="22"/>
        </w:rPr>
        <w:t xml:space="preserve">OPA, as predecessor to the </w:t>
      </w:r>
      <w:r w:rsidR="00065AD1">
        <w:rPr>
          <w:szCs w:val="22"/>
        </w:rPr>
        <w:t>IESO</w:t>
      </w:r>
      <w:r w:rsidR="002B6192">
        <w:rPr>
          <w:szCs w:val="22"/>
        </w:rPr>
        <w:t xml:space="preserve">, </w:t>
      </w:r>
      <w:r w:rsidRPr="008705A2">
        <w:rPr>
          <w:szCs w:val="22"/>
        </w:rPr>
        <w:t xml:space="preserve">and </w:t>
      </w:r>
      <w:r w:rsidRPr="00B41A84">
        <w:rPr>
          <w:i/>
          <w:szCs w:val="22"/>
        </w:rPr>
        <w:t>Ontario Energy Board</w:t>
      </w:r>
      <w:r w:rsidRPr="008705A2">
        <w:rPr>
          <w:szCs w:val="22"/>
        </w:rPr>
        <w:t xml:space="preserve"> (</w:t>
      </w:r>
      <w:r w:rsidRPr="00B41A84">
        <w:rPr>
          <w:i/>
          <w:szCs w:val="22"/>
        </w:rPr>
        <w:t>OEB</w:t>
      </w:r>
      <w:r w:rsidRPr="008705A2">
        <w:rPr>
          <w:szCs w:val="22"/>
        </w:rPr>
        <w:t xml:space="preserve">) developed a </w:t>
      </w:r>
      <w:r w:rsidR="00773130">
        <w:rPr>
          <w:szCs w:val="22"/>
        </w:rPr>
        <w:t xml:space="preserve">Renewable Energy </w:t>
      </w:r>
      <w:r w:rsidRPr="008705A2">
        <w:rPr>
          <w:szCs w:val="22"/>
        </w:rPr>
        <w:t xml:space="preserve">Standard Offer Program </w:t>
      </w:r>
      <w:r w:rsidR="000C3E2A">
        <w:rPr>
          <w:szCs w:val="22"/>
        </w:rPr>
        <w:t xml:space="preserve">(RESOP) </w:t>
      </w:r>
      <w:r w:rsidRPr="008705A2">
        <w:rPr>
          <w:szCs w:val="22"/>
        </w:rPr>
        <w:t xml:space="preserve">for small </w:t>
      </w:r>
      <w:r w:rsidRPr="00B41A84">
        <w:rPr>
          <w:i/>
          <w:szCs w:val="22"/>
        </w:rPr>
        <w:t>generators</w:t>
      </w:r>
      <w:r w:rsidRPr="008705A2">
        <w:rPr>
          <w:szCs w:val="22"/>
        </w:rPr>
        <w:t xml:space="preserve"> that use renewable resources.</w:t>
      </w:r>
      <w:r>
        <w:rPr>
          <w:szCs w:val="22"/>
        </w:rPr>
        <w:t xml:space="preserve"> </w:t>
      </w:r>
      <w:r w:rsidR="005068A5">
        <w:rPr>
          <w:szCs w:val="22"/>
        </w:rPr>
        <w:t xml:space="preserve"> </w:t>
      </w:r>
      <w:r w:rsidRPr="008705A2">
        <w:rPr>
          <w:szCs w:val="22"/>
        </w:rPr>
        <w:t xml:space="preserve">These </w:t>
      </w:r>
      <w:r w:rsidRPr="00B41A84">
        <w:rPr>
          <w:i/>
          <w:szCs w:val="22"/>
        </w:rPr>
        <w:t>generators</w:t>
      </w:r>
      <w:r w:rsidRPr="008705A2">
        <w:rPr>
          <w:szCs w:val="22"/>
        </w:rPr>
        <w:t xml:space="preserve"> </w:t>
      </w:r>
      <w:r w:rsidR="00DA3379" w:rsidRPr="00DA3379">
        <w:rPr>
          <w:i/>
          <w:szCs w:val="22"/>
        </w:rPr>
        <w:t>connect</w:t>
      </w:r>
      <w:r w:rsidRPr="008705A2">
        <w:rPr>
          <w:szCs w:val="22"/>
        </w:rPr>
        <w:t xml:space="preserve"> to electricity </w:t>
      </w:r>
      <w:r w:rsidRPr="00CB0C9B">
        <w:rPr>
          <w:i/>
          <w:szCs w:val="22"/>
        </w:rPr>
        <w:t>distribution systems</w:t>
      </w:r>
      <w:r>
        <w:rPr>
          <w:szCs w:val="22"/>
        </w:rPr>
        <w:t xml:space="preserve"> at </w:t>
      </w:r>
      <w:r w:rsidR="00DA3379" w:rsidRPr="00DA3379">
        <w:rPr>
          <w:i/>
          <w:szCs w:val="22"/>
        </w:rPr>
        <w:t>distribution</w:t>
      </w:r>
      <w:r>
        <w:rPr>
          <w:szCs w:val="22"/>
        </w:rPr>
        <w:t xml:space="preserve"> voltages</w:t>
      </w:r>
      <w:r w:rsidRPr="008705A2">
        <w:rPr>
          <w:szCs w:val="22"/>
        </w:rPr>
        <w:t xml:space="preserve"> (</w:t>
      </w:r>
      <w:r>
        <w:rPr>
          <w:szCs w:val="22"/>
        </w:rPr>
        <w:t>50kV</w:t>
      </w:r>
      <w:r w:rsidRPr="00D77E8B">
        <w:rPr>
          <w:szCs w:val="22"/>
        </w:rPr>
        <w:t xml:space="preserve"> </w:t>
      </w:r>
      <w:r>
        <w:rPr>
          <w:szCs w:val="22"/>
        </w:rPr>
        <w:t xml:space="preserve">or </w:t>
      </w:r>
      <w:r w:rsidRPr="008705A2">
        <w:rPr>
          <w:szCs w:val="22"/>
        </w:rPr>
        <w:t>less).</w:t>
      </w:r>
      <w:r w:rsidRPr="00A679B5">
        <w:rPr>
          <w:szCs w:val="22"/>
        </w:rPr>
        <w:t xml:space="preserve"> </w:t>
      </w:r>
      <w:r>
        <w:rPr>
          <w:szCs w:val="22"/>
        </w:rPr>
        <w:t xml:space="preserve"> S</w:t>
      </w:r>
      <w:r w:rsidRPr="008705A2">
        <w:rPr>
          <w:szCs w:val="22"/>
        </w:rPr>
        <w:t xml:space="preserve">tandard offer program </w:t>
      </w:r>
      <w:r>
        <w:rPr>
          <w:szCs w:val="22"/>
        </w:rPr>
        <w:t>projects</w:t>
      </w:r>
      <w:r w:rsidRPr="008705A2">
        <w:rPr>
          <w:szCs w:val="22"/>
        </w:rPr>
        <w:t xml:space="preserve"> </w:t>
      </w:r>
      <w:r>
        <w:rPr>
          <w:szCs w:val="22"/>
        </w:rPr>
        <w:t xml:space="preserve">have </w:t>
      </w:r>
      <w:r w:rsidRPr="008705A2">
        <w:rPr>
          <w:szCs w:val="22"/>
        </w:rPr>
        <w:t>a maximum</w:t>
      </w:r>
      <w:r w:rsidRPr="007C0381">
        <w:rPr>
          <w:szCs w:val="22"/>
        </w:rPr>
        <w:t xml:space="preserve"> </w:t>
      </w:r>
      <w:r w:rsidRPr="008705A2">
        <w:rPr>
          <w:szCs w:val="22"/>
        </w:rPr>
        <w:t xml:space="preserve">size </w:t>
      </w:r>
      <w:r>
        <w:rPr>
          <w:szCs w:val="22"/>
        </w:rPr>
        <w:t xml:space="preserve">of </w:t>
      </w:r>
      <w:r w:rsidRPr="008705A2">
        <w:rPr>
          <w:szCs w:val="22"/>
        </w:rPr>
        <w:t>10 megawatts (MW),</w:t>
      </w:r>
      <w:r>
        <w:rPr>
          <w:szCs w:val="22"/>
        </w:rPr>
        <w:t xml:space="preserve"> and may include any </w:t>
      </w:r>
      <w:r w:rsidRPr="008705A2">
        <w:rPr>
          <w:szCs w:val="22"/>
        </w:rPr>
        <w:t>renewable resource type that qualifies as a renewable resource in the Renewable Energy Supply II RFP including wind, small hydro-electric, solar, and some bio-mass</w:t>
      </w:r>
      <w:r>
        <w:rPr>
          <w:szCs w:val="22"/>
        </w:rPr>
        <w:t>.</w:t>
      </w:r>
      <w:r w:rsidRPr="008705A2">
        <w:rPr>
          <w:szCs w:val="22"/>
        </w:rPr>
        <w:t xml:space="preserve">  No minimum project size </w:t>
      </w:r>
      <w:r w:rsidR="004D60F0">
        <w:rPr>
          <w:szCs w:val="22"/>
        </w:rPr>
        <w:t>was</w:t>
      </w:r>
      <w:r w:rsidRPr="008705A2">
        <w:rPr>
          <w:szCs w:val="22"/>
        </w:rPr>
        <w:t xml:space="preserve"> proposed</w:t>
      </w:r>
      <w:r>
        <w:rPr>
          <w:szCs w:val="22"/>
        </w:rPr>
        <w:t>.</w:t>
      </w:r>
    </w:p>
    <w:p w14:paraId="6C66B546" w14:textId="77777777" w:rsidR="004D60F0" w:rsidRDefault="004D60F0" w:rsidP="002F65C1">
      <w:pPr>
        <w:pStyle w:val="BodyText"/>
        <w:rPr>
          <w:szCs w:val="22"/>
        </w:rPr>
      </w:pPr>
      <w:r w:rsidRPr="0074174A">
        <w:rPr>
          <w:szCs w:val="22"/>
        </w:rPr>
        <w:t xml:space="preserve">As of October 1, 2009, the </w:t>
      </w:r>
      <w:r w:rsidR="002B6192">
        <w:rPr>
          <w:szCs w:val="22"/>
        </w:rPr>
        <w:t xml:space="preserve">RESOP </w:t>
      </w:r>
      <w:r w:rsidRPr="0074174A">
        <w:rPr>
          <w:szCs w:val="22"/>
        </w:rPr>
        <w:t>was replaced by the Feed-in Tariff (FIT</w:t>
      </w:r>
      <w:r w:rsidR="002B6192">
        <w:rPr>
          <w:szCs w:val="22"/>
        </w:rPr>
        <w:t>)</w:t>
      </w:r>
      <w:r w:rsidRPr="0074174A">
        <w:rPr>
          <w:szCs w:val="22"/>
        </w:rPr>
        <w:t xml:space="preserve"> Program)</w:t>
      </w:r>
      <w:r>
        <w:rPr>
          <w:szCs w:val="22"/>
        </w:rPr>
        <w:t xml:space="preserve"> under the </w:t>
      </w:r>
      <w:r w:rsidR="006E6BF3">
        <w:rPr>
          <w:szCs w:val="22"/>
        </w:rPr>
        <w:t xml:space="preserve">Green </w:t>
      </w:r>
      <w:r>
        <w:rPr>
          <w:szCs w:val="22"/>
        </w:rPr>
        <w:t>Energy Act</w:t>
      </w:r>
      <w:r>
        <w:rPr>
          <w:rStyle w:val="FootnoteReference"/>
          <w:szCs w:val="22"/>
        </w:rPr>
        <w:footnoteReference w:id="31"/>
      </w:r>
      <w:r w:rsidRPr="0074174A">
        <w:rPr>
          <w:szCs w:val="22"/>
        </w:rPr>
        <w:t xml:space="preserve">.  New renewable </w:t>
      </w:r>
      <w:r w:rsidR="00DA3379" w:rsidRPr="00DA3379">
        <w:rPr>
          <w:i/>
          <w:szCs w:val="22"/>
        </w:rPr>
        <w:t>energy</w:t>
      </w:r>
      <w:r w:rsidRPr="0074174A">
        <w:rPr>
          <w:szCs w:val="22"/>
        </w:rPr>
        <w:t xml:space="preserve"> supply projects will come under the umbrella of the new FIT Program and the </w:t>
      </w:r>
      <w:r w:rsidR="00065AD1">
        <w:rPr>
          <w:i/>
          <w:szCs w:val="22"/>
        </w:rPr>
        <w:t>IESO</w:t>
      </w:r>
      <w:r w:rsidRPr="0074174A">
        <w:rPr>
          <w:szCs w:val="22"/>
        </w:rPr>
        <w:t xml:space="preserve"> will no longer accept new RESOP applications.  Projects that have already been approved under RESOP will continue according to their contracts.  The terms and conditions of executed contracts, including the rates, will be unaffected by the new FIT Program.</w:t>
      </w:r>
    </w:p>
    <w:p w14:paraId="3B453976" w14:textId="77777777" w:rsidR="00BE4221" w:rsidRDefault="00BE4221" w:rsidP="002F65C1">
      <w:pPr>
        <w:pStyle w:val="BodyText"/>
        <w:rPr>
          <w:szCs w:val="22"/>
        </w:rPr>
      </w:pPr>
      <w:r>
        <w:rPr>
          <w:szCs w:val="22"/>
        </w:rPr>
        <w:t xml:space="preserve">This section sets out how the </w:t>
      </w:r>
      <w:r w:rsidRPr="00BE4221">
        <w:rPr>
          <w:i/>
          <w:szCs w:val="22"/>
        </w:rPr>
        <w:t>IESO</w:t>
      </w:r>
      <w:r>
        <w:rPr>
          <w:szCs w:val="22"/>
        </w:rPr>
        <w:t xml:space="preserve"> settles the</w:t>
      </w:r>
      <w:r w:rsidR="002B6192">
        <w:rPr>
          <w:szCs w:val="22"/>
        </w:rPr>
        <w:t xml:space="preserve"> RESOP</w:t>
      </w:r>
      <w:r>
        <w:rPr>
          <w:szCs w:val="22"/>
        </w:rPr>
        <w:t xml:space="preserve">. </w:t>
      </w:r>
      <w:r w:rsidR="0056025F">
        <w:rPr>
          <w:szCs w:val="22"/>
        </w:rPr>
        <w:t xml:space="preserve"> </w:t>
      </w:r>
      <w:r>
        <w:rPr>
          <w:szCs w:val="22"/>
        </w:rPr>
        <w:t xml:space="preserve">To the extent of any inconsistency between the provisions of the </w:t>
      </w:r>
      <w:r w:rsidR="002B6192">
        <w:rPr>
          <w:szCs w:val="22"/>
        </w:rPr>
        <w:t xml:space="preserve">RESOP </w:t>
      </w:r>
      <w:r>
        <w:rPr>
          <w:szCs w:val="22"/>
        </w:rPr>
        <w:t xml:space="preserve">rules and this section, the </w:t>
      </w:r>
      <w:r w:rsidR="002B6192">
        <w:rPr>
          <w:szCs w:val="22"/>
        </w:rPr>
        <w:t xml:space="preserve">RESOP </w:t>
      </w:r>
      <w:r>
        <w:rPr>
          <w:szCs w:val="22"/>
        </w:rPr>
        <w:t>rules shall govern.</w:t>
      </w:r>
    </w:p>
    <w:p w14:paraId="69BA4798" w14:textId="77777777" w:rsidR="002F65C1" w:rsidRPr="008705A2" w:rsidRDefault="002F65C1" w:rsidP="002F65C1">
      <w:pPr>
        <w:pStyle w:val="BodyText"/>
        <w:rPr>
          <w:szCs w:val="22"/>
        </w:rPr>
      </w:pPr>
      <w:r>
        <w:rPr>
          <w:szCs w:val="22"/>
        </w:rPr>
        <w:t xml:space="preserve">The </w:t>
      </w:r>
      <w:r w:rsidR="004D60F0">
        <w:rPr>
          <w:szCs w:val="22"/>
        </w:rPr>
        <w:t>S</w:t>
      </w:r>
      <w:r>
        <w:rPr>
          <w:szCs w:val="22"/>
        </w:rPr>
        <w:t xml:space="preserve">tandard </w:t>
      </w:r>
      <w:r w:rsidR="004D60F0">
        <w:rPr>
          <w:szCs w:val="22"/>
        </w:rPr>
        <w:t>O</w:t>
      </w:r>
      <w:r>
        <w:rPr>
          <w:szCs w:val="22"/>
        </w:rPr>
        <w:t xml:space="preserve">ffer </w:t>
      </w:r>
      <w:r w:rsidR="004D60F0">
        <w:rPr>
          <w:szCs w:val="22"/>
        </w:rPr>
        <w:t>P</w:t>
      </w:r>
      <w:r w:rsidRPr="008705A2">
        <w:rPr>
          <w:szCs w:val="22"/>
        </w:rPr>
        <w:t>rogram provide</w:t>
      </w:r>
      <w:r w:rsidR="00B37FE0">
        <w:rPr>
          <w:szCs w:val="22"/>
        </w:rPr>
        <w:t>s</w:t>
      </w:r>
      <w:r w:rsidRPr="008705A2">
        <w:rPr>
          <w:szCs w:val="22"/>
        </w:rPr>
        <w:t xml:space="preserve"> a “standard price” which eligible </w:t>
      </w:r>
      <w:r w:rsidRPr="00B41A84">
        <w:rPr>
          <w:i/>
          <w:szCs w:val="22"/>
        </w:rPr>
        <w:t>generators</w:t>
      </w:r>
      <w:r w:rsidRPr="008705A2">
        <w:rPr>
          <w:szCs w:val="22"/>
        </w:rPr>
        <w:t xml:space="preserve"> receive by simply complying with the eligibility criteria.</w:t>
      </w:r>
      <w:r>
        <w:rPr>
          <w:szCs w:val="22"/>
        </w:rPr>
        <w:t xml:space="preserve"> </w:t>
      </w:r>
      <w:r w:rsidR="005068A5">
        <w:rPr>
          <w:szCs w:val="22"/>
        </w:rPr>
        <w:t xml:space="preserve"> </w:t>
      </w:r>
      <w:r w:rsidRPr="008705A2">
        <w:rPr>
          <w:szCs w:val="22"/>
        </w:rPr>
        <w:t xml:space="preserve">Contract terms </w:t>
      </w:r>
      <w:r w:rsidR="00490C90">
        <w:rPr>
          <w:szCs w:val="22"/>
        </w:rPr>
        <w:t>are</w:t>
      </w:r>
      <w:r w:rsidR="00490C90" w:rsidRPr="008705A2">
        <w:rPr>
          <w:szCs w:val="22"/>
        </w:rPr>
        <w:t xml:space="preserve"> </w:t>
      </w:r>
      <w:r w:rsidRPr="008705A2">
        <w:rPr>
          <w:szCs w:val="22"/>
        </w:rPr>
        <w:t>typically for 20 years</w:t>
      </w:r>
      <w:r>
        <w:rPr>
          <w:szCs w:val="22"/>
        </w:rPr>
        <w:t xml:space="preserve">.  </w:t>
      </w:r>
      <w:r w:rsidRPr="00D77E8B">
        <w:rPr>
          <w:szCs w:val="22"/>
        </w:rPr>
        <w:t xml:space="preserve">For the first year of commercial operation, all eligible renewable resource type projects (except solar </w:t>
      </w:r>
      <w:r w:rsidR="00B41A84" w:rsidRPr="00D77E8B">
        <w:rPr>
          <w:szCs w:val="22"/>
        </w:rPr>
        <w:t>photovoltaic</w:t>
      </w:r>
      <w:r w:rsidRPr="00D77E8B">
        <w:rPr>
          <w:szCs w:val="22"/>
        </w:rPr>
        <w:t>) will be paid a base rate of 11</w:t>
      </w:r>
      <w:r w:rsidR="004D60F0">
        <w:rPr>
          <w:szCs w:val="22"/>
        </w:rPr>
        <w:t>.13</w:t>
      </w:r>
      <w:r w:rsidRPr="00D77E8B">
        <w:rPr>
          <w:szCs w:val="22"/>
        </w:rPr>
        <w:t xml:space="preserve"> cents per kilowatt hour for all kilowatt hours delivered. </w:t>
      </w:r>
      <w:r>
        <w:rPr>
          <w:szCs w:val="22"/>
        </w:rPr>
        <w:t xml:space="preserve"> </w:t>
      </w:r>
      <w:r w:rsidRPr="00D77E8B">
        <w:rPr>
          <w:szCs w:val="22"/>
        </w:rPr>
        <w:t xml:space="preserve">Projects that can demonstrate </w:t>
      </w:r>
      <w:r w:rsidR="00DA3379" w:rsidRPr="00DA3379">
        <w:rPr>
          <w:i/>
          <w:szCs w:val="22"/>
        </w:rPr>
        <w:t>generation</w:t>
      </w:r>
      <w:r w:rsidRPr="00D77E8B">
        <w:rPr>
          <w:szCs w:val="22"/>
        </w:rPr>
        <w:t xml:space="preserve"> control </w:t>
      </w:r>
      <w:r w:rsidR="00490C90">
        <w:rPr>
          <w:szCs w:val="22"/>
        </w:rPr>
        <w:t>are</w:t>
      </w:r>
      <w:r w:rsidRPr="00D77E8B">
        <w:rPr>
          <w:szCs w:val="22"/>
        </w:rPr>
        <w:t xml:space="preserve"> eligible for an additional 3.52 cents per kilowatt hour for all electricity delivered during on-peak hours. </w:t>
      </w:r>
      <w:r>
        <w:rPr>
          <w:szCs w:val="22"/>
        </w:rPr>
        <w:t xml:space="preserve"> F</w:t>
      </w:r>
      <w:r w:rsidRPr="00D77E8B">
        <w:rPr>
          <w:szCs w:val="22"/>
        </w:rPr>
        <w:t>or solar photovoltaic projects</w:t>
      </w:r>
      <w:r>
        <w:rPr>
          <w:szCs w:val="22"/>
        </w:rPr>
        <w:t>,</w:t>
      </w:r>
      <w:r w:rsidRPr="00D77E8B">
        <w:rPr>
          <w:szCs w:val="22"/>
        </w:rPr>
        <w:t xml:space="preserve"> a price of 42 cents per kilowatt hour </w:t>
      </w:r>
      <w:r>
        <w:rPr>
          <w:szCs w:val="22"/>
        </w:rPr>
        <w:t xml:space="preserve">is established </w:t>
      </w:r>
      <w:r w:rsidRPr="00D77E8B">
        <w:rPr>
          <w:szCs w:val="22"/>
        </w:rPr>
        <w:t>to conduct price discovery on this technology.</w:t>
      </w:r>
    </w:p>
    <w:p w14:paraId="2A59895B" w14:textId="77777777" w:rsidR="002F65C1" w:rsidRDefault="002F65C1" w:rsidP="006A5CA1">
      <w:pPr>
        <w:pStyle w:val="BodyText"/>
        <w:pageBreakBefore/>
      </w:pPr>
      <w:r w:rsidRPr="008705A2">
        <w:rPr>
          <w:szCs w:val="22"/>
        </w:rPr>
        <w:t xml:space="preserve">Under the </w:t>
      </w:r>
      <w:r w:rsidR="002B6192">
        <w:rPr>
          <w:szCs w:val="22"/>
        </w:rPr>
        <w:t>S</w:t>
      </w:r>
      <w:r w:rsidRPr="008705A2">
        <w:rPr>
          <w:szCs w:val="22"/>
        </w:rPr>
        <w:t xml:space="preserve">tandard </w:t>
      </w:r>
      <w:r w:rsidR="002B6192">
        <w:rPr>
          <w:szCs w:val="22"/>
        </w:rPr>
        <w:t>O</w:t>
      </w:r>
      <w:r w:rsidR="002B6192" w:rsidRPr="008705A2">
        <w:rPr>
          <w:szCs w:val="22"/>
        </w:rPr>
        <w:t xml:space="preserve">ffer </w:t>
      </w:r>
      <w:r w:rsidR="002B6192">
        <w:rPr>
          <w:szCs w:val="22"/>
        </w:rPr>
        <w:t>P</w:t>
      </w:r>
      <w:r w:rsidR="002B6192" w:rsidRPr="008705A2">
        <w:rPr>
          <w:szCs w:val="22"/>
        </w:rPr>
        <w:t>rogram</w:t>
      </w:r>
      <w:r>
        <w:rPr>
          <w:szCs w:val="22"/>
        </w:rPr>
        <w:t>,</w:t>
      </w:r>
      <w:r w:rsidRPr="008705A2">
        <w:rPr>
          <w:szCs w:val="22"/>
        </w:rPr>
        <w:t xml:space="preserve"> </w:t>
      </w:r>
      <w:r w:rsidRPr="00B41A84">
        <w:rPr>
          <w:i/>
          <w:szCs w:val="22"/>
        </w:rPr>
        <w:t>generators</w:t>
      </w:r>
      <w:r w:rsidRPr="008705A2">
        <w:rPr>
          <w:szCs w:val="22"/>
        </w:rPr>
        <w:t xml:space="preserve"> </w:t>
      </w:r>
      <w:r w:rsidR="00490C90">
        <w:rPr>
          <w:szCs w:val="22"/>
        </w:rPr>
        <w:t>are</w:t>
      </w:r>
      <w:r w:rsidRPr="008705A2">
        <w:rPr>
          <w:szCs w:val="22"/>
        </w:rPr>
        <w:t xml:space="preserve"> paid directly for every kilowatt hour of electricity produced at the price set out in their standard offer contract. </w:t>
      </w:r>
      <w:r>
        <w:rPr>
          <w:szCs w:val="22"/>
        </w:rPr>
        <w:t xml:space="preserve"> </w:t>
      </w:r>
      <w:r>
        <w:rPr>
          <w:i/>
        </w:rPr>
        <w:t>Distributors</w:t>
      </w:r>
      <w:r>
        <w:t xml:space="preserve"> must calculate the difference between the contracted payments to standard offer program participants and the wholesale </w:t>
      </w:r>
      <w:r>
        <w:rPr>
          <w:i/>
        </w:rPr>
        <w:t>market price</w:t>
      </w:r>
      <w:r>
        <w:t xml:space="preserve"> for the same volume of electricity. </w:t>
      </w:r>
      <w:r w:rsidR="005068A5">
        <w:t xml:space="preserve"> </w:t>
      </w:r>
      <w:r w:rsidR="00DA3379" w:rsidRPr="00DA3379">
        <w:rPr>
          <w:i/>
        </w:rPr>
        <w:t>Distributors</w:t>
      </w:r>
      <w:r w:rsidR="00490C90">
        <w:t xml:space="preserve"> submit t</w:t>
      </w:r>
      <w:r w:rsidRPr="008035F5">
        <w:t xml:space="preserve">his difference to </w:t>
      </w:r>
      <w:r w:rsidR="00490C90">
        <w:t>us</w:t>
      </w:r>
      <w:r w:rsidRPr="008035F5">
        <w:t xml:space="preserve"> monthly </w:t>
      </w:r>
      <w:r w:rsidR="00E96993">
        <w:t xml:space="preserve">via the </w:t>
      </w:r>
      <w:r w:rsidR="00972031">
        <w:t xml:space="preserve">settlement </w:t>
      </w:r>
      <w:r w:rsidR="00972031">
        <w:rPr>
          <w:szCs w:val="22"/>
        </w:rPr>
        <w:t>form</w:t>
      </w:r>
      <w:r w:rsidR="00972031" w:rsidRPr="00972031">
        <w:rPr>
          <w:szCs w:val="22"/>
        </w:rPr>
        <w:t xml:space="preserve"> available </w:t>
      </w:r>
      <w:r w:rsidR="00972031">
        <w:rPr>
          <w:szCs w:val="22"/>
        </w:rPr>
        <w:t>within</w:t>
      </w:r>
      <w:r w:rsidR="00972031" w:rsidRPr="00972031">
        <w:rPr>
          <w:szCs w:val="22"/>
        </w:rPr>
        <w:t xml:space="preserve"> Online IESO</w:t>
      </w:r>
      <w:r w:rsidR="00972031" w:rsidRPr="00E96993" w:rsidDel="00972031">
        <w:rPr>
          <w:i/>
        </w:rPr>
        <w:t xml:space="preserve"> </w:t>
      </w:r>
      <w:r>
        <w:t xml:space="preserve">noting the amount of the claim for each category. </w:t>
      </w:r>
      <w:r w:rsidR="005068A5">
        <w:t xml:space="preserve"> </w:t>
      </w:r>
      <w:r w:rsidR="00E96993">
        <w:t>I</w:t>
      </w:r>
      <w:r>
        <w:t xml:space="preserve">nformation required from both the </w:t>
      </w:r>
      <w:r>
        <w:rPr>
          <w:i/>
        </w:rPr>
        <w:t>distributor</w:t>
      </w:r>
      <w:r>
        <w:t xml:space="preserve"> and embedded </w:t>
      </w:r>
      <w:r w:rsidR="00566201">
        <w:rPr>
          <w:i/>
        </w:rPr>
        <w:t>distributor</w:t>
      </w:r>
      <w:r w:rsidR="00566201">
        <w:t xml:space="preserve"> is</w:t>
      </w:r>
      <w:r w:rsidR="00E96993">
        <w:t xml:space="preserve"> submitted</w:t>
      </w:r>
      <w:r w:rsidR="000B46F4">
        <w:t xml:space="preserve"> via the </w:t>
      </w:r>
      <w:r w:rsidR="00972031">
        <w:t xml:space="preserve">settlement </w:t>
      </w:r>
      <w:r w:rsidR="00972031">
        <w:rPr>
          <w:szCs w:val="22"/>
        </w:rPr>
        <w:t>form</w:t>
      </w:r>
      <w:r w:rsidR="00972031" w:rsidRPr="00972031">
        <w:rPr>
          <w:szCs w:val="22"/>
        </w:rPr>
        <w:t xml:space="preserve"> available </w:t>
      </w:r>
      <w:r w:rsidR="00972031">
        <w:rPr>
          <w:szCs w:val="22"/>
        </w:rPr>
        <w:t>within</w:t>
      </w:r>
      <w:r w:rsidR="00972031" w:rsidRPr="00972031">
        <w:rPr>
          <w:szCs w:val="22"/>
        </w:rPr>
        <w:t xml:space="preserve"> Online IESO</w:t>
      </w:r>
      <w:r w:rsidR="003200CC">
        <w:t>.</w:t>
      </w:r>
    </w:p>
    <w:p w14:paraId="47F73A8E" w14:textId="77777777" w:rsidR="002F65C1" w:rsidRDefault="00490C90" w:rsidP="002F65C1">
      <w:pPr>
        <w:pStyle w:val="BodyText"/>
      </w:pPr>
      <w:r>
        <w:t>S</w:t>
      </w:r>
      <w:r w:rsidR="00773130">
        <w:t xml:space="preserve">ubmit </w:t>
      </w:r>
      <w:r w:rsidR="00E96993">
        <w:t xml:space="preserve">Standard Offer Program claims </w:t>
      </w:r>
      <w:r w:rsidR="002F65C1">
        <w:t xml:space="preserve">to </w:t>
      </w:r>
      <w:r w:rsidR="00773130">
        <w:t>us</w:t>
      </w:r>
      <w:r w:rsidR="002F65C1">
        <w:t xml:space="preserve"> </w:t>
      </w:r>
      <w:r>
        <w:t xml:space="preserve">monthly </w:t>
      </w:r>
      <w:r w:rsidR="002F65C1">
        <w:t xml:space="preserve">as soon as possible after the last </w:t>
      </w:r>
      <w:r w:rsidR="002F65C1">
        <w:rPr>
          <w:i/>
        </w:rPr>
        <w:t>trading day</w:t>
      </w:r>
      <w:r w:rsidR="002F65C1">
        <w:t xml:space="preserve"> of the month and no later than the fourth </w:t>
      </w:r>
      <w:r w:rsidR="002F65C1">
        <w:rPr>
          <w:i/>
        </w:rPr>
        <w:t>business day</w:t>
      </w:r>
      <w:r w:rsidR="002F65C1">
        <w:t xml:space="preserve"> after the last </w:t>
      </w:r>
      <w:r w:rsidR="002F65C1">
        <w:rPr>
          <w:i/>
        </w:rPr>
        <w:t>trading day</w:t>
      </w:r>
      <w:r w:rsidR="002F65C1">
        <w:t xml:space="preserve"> of the month</w:t>
      </w:r>
      <w:r w:rsidR="00640862">
        <w:t>.</w:t>
      </w:r>
      <w:r w:rsidR="002F65C1">
        <w:t xml:space="preserve">  </w:t>
      </w:r>
      <w:r w:rsidR="00AB5ADC">
        <w:t xml:space="preserve">This submission is made using the </w:t>
      </w:r>
      <w:r w:rsidR="00972031" w:rsidRPr="003D506E">
        <w:t>settlement</w:t>
      </w:r>
      <w:r w:rsidR="00AB5ADC" w:rsidRPr="003D506E">
        <w:t xml:space="preserve"> </w:t>
      </w:r>
      <w:r w:rsidR="00AB5ADC">
        <w:t xml:space="preserve">form “Renewable Energy Standard Offer Program” </w:t>
      </w:r>
      <w:r w:rsidR="00972031" w:rsidRPr="00972031">
        <w:t>available within Online IESO</w:t>
      </w:r>
      <w:r w:rsidR="00AB5ADC">
        <w:t xml:space="preserve">.  </w:t>
      </w:r>
      <w:r w:rsidR="00773130">
        <w:t>We process t</w:t>
      </w:r>
      <w:r w:rsidR="002F65C1">
        <w:t>his information as a manual line item s</w:t>
      </w:r>
      <w:r>
        <w:t>o</w:t>
      </w:r>
      <w:r w:rsidR="002F65C1">
        <w:t xml:space="preserve"> that the </w:t>
      </w:r>
      <w:r w:rsidR="002F65C1">
        <w:rPr>
          <w:i/>
        </w:rPr>
        <w:t>settlement statements</w:t>
      </w:r>
      <w:r w:rsidR="002F65C1">
        <w:t xml:space="preserve"> for the last </w:t>
      </w:r>
      <w:r w:rsidR="002F65C1">
        <w:rPr>
          <w:i/>
        </w:rPr>
        <w:t>trading day</w:t>
      </w:r>
      <w:r w:rsidR="002F65C1">
        <w:t xml:space="preserve"> of the month and monthly </w:t>
      </w:r>
      <w:r w:rsidR="002F65C1">
        <w:rPr>
          <w:i/>
        </w:rPr>
        <w:t>invoices</w:t>
      </w:r>
      <w:r w:rsidR="002F65C1">
        <w:t xml:space="preserve"> indicate</w:t>
      </w:r>
      <w:r>
        <w:t>s</w:t>
      </w:r>
      <w:r w:rsidR="002F65C1">
        <w:t xml:space="preserve"> a </w:t>
      </w:r>
      <w:r w:rsidR="002F65C1">
        <w:rPr>
          <w:i/>
        </w:rPr>
        <w:t>charge type</w:t>
      </w:r>
      <w:r w:rsidR="002F65C1">
        <w:t xml:space="preserve"> </w:t>
      </w:r>
      <w:r w:rsidR="002F65C1" w:rsidRPr="008035F5">
        <w:t>14</w:t>
      </w:r>
      <w:r w:rsidR="002F65C1">
        <w:t>1</w:t>
      </w:r>
      <w:r w:rsidR="002F65C1" w:rsidRPr="008035F5">
        <w:t>0 “</w:t>
      </w:r>
      <w:r w:rsidR="00773130">
        <w:t xml:space="preserve">Renewable Energy </w:t>
      </w:r>
      <w:r w:rsidR="002F65C1" w:rsidRPr="008705A2">
        <w:rPr>
          <w:szCs w:val="22"/>
        </w:rPr>
        <w:t xml:space="preserve">Standard Offer Program </w:t>
      </w:r>
      <w:r w:rsidR="002F65C1" w:rsidRPr="008035F5">
        <w:t>Settlement Amount”</w:t>
      </w:r>
      <w:r w:rsidR="002F65C1">
        <w:t xml:space="preserve"> with the category</w:t>
      </w:r>
      <w:r>
        <w:t xml:space="preserve"> noted in the </w:t>
      </w:r>
      <w:r w:rsidR="002B6192">
        <w:t>c</w:t>
      </w:r>
      <w:r>
        <w:t>omment field</w:t>
      </w:r>
      <w:r w:rsidR="002F65C1">
        <w:t>.</w:t>
      </w:r>
      <w:r w:rsidR="00FD46CD">
        <w:t xml:space="preserve"> </w:t>
      </w:r>
      <w:r w:rsidR="00FD46CD" w:rsidRPr="00E45DA3">
        <w:t xml:space="preserve">If any changes are required to the amounts submitted during the preliminary submission period, final adjustments can be submitted during the 11th to 14th </w:t>
      </w:r>
      <w:r w:rsidR="00FD46CD" w:rsidRPr="00E45DA3">
        <w:rPr>
          <w:i/>
        </w:rPr>
        <w:t>business day</w:t>
      </w:r>
      <w:r w:rsidR="00FD46CD" w:rsidRPr="00E45DA3">
        <w:t xml:space="preserve"> after the last </w:t>
      </w:r>
      <w:r w:rsidR="00FD46CD" w:rsidRPr="00E45DA3">
        <w:rPr>
          <w:i/>
        </w:rPr>
        <w:t>trading day</w:t>
      </w:r>
      <w:r w:rsidR="00FD46CD" w:rsidRPr="00E45DA3">
        <w:t xml:space="preserve"> of the month. The adjustments will be reflected on the </w:t>
      </w:r>
      <w:r w:rsidR="00FD46CD" w:rsidRPr="00E45DA3">
        <w:rPr>
          <w:i/>
        </w:rPr>
        <w:t xml:space="preserve">final settlement statement </w:t>
      </w:r>
      <w:r w:rsidR="00FD46CD" w:rsidRPr="00E45DA3">
        <w:t xml:space="preserve">for the last </w:t>
      </w:r>
      <w:r w:rsidR="00FD46CD" w:rsidRPr="00E45DA3">
        <w:rPr>
          <w:i/>
        </w:rPr>
        <w:t>trading day</w:t>
      </w:r>
      <w:r w:rsidR="00FD46CD" w:rsidRPr="00E45DA3">
        <w:t xml:space="preserve"> of the month. Furthermore, post final adjustments can be submitted through Online IESO for any previous settlement period. Any amount submitted as a post final adjustment will be settled on the </w:t>
      </w:r>
      <w:r w:rsidR="00FD46CD" w:rsidRPr="00E45DA3">
        <w:rPr>
          <w:i/>
        </w:rPr>
        <w:t>preliminary settlement statement</w:t>
      </w:r>
      <w:r w:rsidR="00FD46CD" w:rsidRPr="00E45DA3">
        <w:t xml:space="preserve"> for the last </w:t>
      </w:r>
      <w:r w:rsidR="00FD46CD" w:rsidRPr="00E45DA3">
        <w:rPr>
          <w:i/>
        </w:rPr>
        <w:t>trading day</w:t>
      </w:r>
      <w:r w:rsidR="00FD46CD" w:rsidRPr="00E45DA3">
        <w:t xml:space="preserve"> of the current settlement month.</w:t>
      </w:r>
    </w:p>
    <w:p w14:paraId="728E32E6" w14:textId="77777777" w:rsidR="002F65C1" w:rsidRPr="008705A2" w:rsidRDefault="002F65C1" w:rsidP="002F65C1">
      <w:pPr>
        <w:pStyle w:val="BodyText"/>
      </w:pPr>
      <w:r>
        <w:t xml:space="preserve">The corresponding setoff, </w:t>
      </w:r>
      <w:r>
        <w:rPr>
          <w:i/>
        </w:rPr>
        <w:t xml:space="preserve">charge </w:t>
      </w:r>
      <w:r w:rsidRPr="0091551D">
        <w:rPr>
          <w:i/>
        </w:rPr>
        <w:t>type</w:t>
      </w:r>
      <w:r>
        <w:t xml:space="preserve"> 146</w:t>
      </w:r>
      <w:r w:rsidRPr="0091551D">
        <w:t>0 “</w:t>
      </w:r>
      <w:r w:rsidR="00773130">
        <w:t xml:space="preserve">Renewable Energy </w:t>
      </w:r>
      <w:r w:rsidRPr="008705A2">
        <w:rPr>
          <w:szCs w:val="22"/>
        </w:rPr>
        <w:t xml:space="preserve">Standard Offer Program </w:t>
      </w:r>
      <w:r w:rsidRPr="0091551D">
        <w:t>Balancing Amount”, is entered as a manual line item on the</w:t>
      </w:r>
      <w:r w:rsidR="00C51A68">
        <w:t xml:space="preserve"> IESO’s</w:t>
      </w:r>
      <w:r w:rsidRPr="0091551D">
        <w:t xml:space="preserve"> </w:t>
      </w:r>
      <w:r w:rsidRPr="0091551D">
        <w:rPr>
          <w:i/>
        </w:rPr>
        <w:t>settlement statement</w:t>
      </w:r>
      <w:r>
        <w:rPr>
          <w:i/>
        </w:rPr>
        <w:t>s</w:t>
      </w:r>
      <w:r>
        <w:t xml:space="preserve"> for the last </w:t>
      </w:r>
      <w:r>
        <w:rPr>
          <w:i/>
        </w:rPr>
        <w:t>trading day</w:t>
      </w:r>
      <w:r>
        <w:t xml:space="preserve"> of the month to </w:t>
      </w:r>
      <w:r w:rsidR="00BA295D">
        <w:t>balance the market</w:t>
      </w:r>
      <w:r>
        <w:t>.</w:t>
      </w:r>
    </w:p>
    <w:p w14:paraId="54438F2D" w14:textId="77777777" w:rsidR="005F53EB" w:rsidRPr="002F65C1" w:rsidRDefault="008D70C3" w:rsidP="00133618">
      <w:pPr>
        <w:pStyle w:val="Heading4"/>
      </w:pPr>
      <w:bookmarkStart w:id="467" w:name="_Toc177815051"/>
      <w:bookmarkStart w:id="468" w:name="_Toc177815052"/>
      <w:bookmarkEnd w:id="467"/>
      <w:bookmarkEnd w:id="468"/>
      <w:r>
        <w:t>Feed-i</w:t>
      </w:r>
      <w:r w:rsidR="005F53EB">
        <w:t xml:space="preserve">n Tariff </w:t>
      </w:r>
      <w:r w:rsidR="005F53EB" w:rsidRPr="002F65C1">
        <w:t>Program (</w:t>
      </w:r>
      <w:r w:rsidR="005F53EB">
        <w:t>FIT</w:t>
      </w:r>
      <w:r w:rsidR="005F53EB" w:rsidRPr="002F65C1">
        <w:t>)</w:t>
      </w:r>
    </w:p>
    <w:p w14:paraId="3ED8814C" w14:textId="77777777" w:rsidR="00013D79" w:rsidRDefault="00081A5A">
      <w:pPr>
        <w:spacing w:before="120" w:after="120"/>
      </w:pPr>
      <w:r w:rsidRPr="00081A5A">
        <w:t xml:space="preserve">The </w:t>
      </w:r>
      <w:r w:rsidR="00065AD1">
        <w:t>IESO</w:t>
      </w:r>
      <w:r w:rsidRPr="00081A5A">
        <w:t xml:space="preserve"> has entered into procurement contracts under the Feed-in Tariff (FIT) Program with certain suppliers to encourage renewable </w:t>
      </w:r>
      <w:r w:rsidR="00DA3379" w:rsidRPr="00DA3379">
        <w:rPr>
          <w:i/>
        </w:rPr>
        <w:t>generation</w:t>
      </w:r>
      <w:r w:rsidRPr="00081A5A">
        <w:t xml:space="preserve"> to participate in a variety of technologies and their respective applications.  The </w:t>
      </w:r>
      <w:r w:rsidR="002B6192">
        <w:t>FIT</w:t>
      </w:r>
      <w:r w:rsidRPr="00081A5A">
        <w:t xml:space="preserve"> Program will support renewable </w:t>
      </w:r>
      <w:r w:rsidRPr="00081A5A">
        <w:rPr>
          <w:i/>
        </w:rPr>
        <w:t>energy</w:t>
      </w:r>
      <w:r w:rsidRPr="00081A5A">
        <w:t xml:space="preserve"> generating alternatives including wind, biomass, small hydro and solar photovoltaic.  For suppliers that are directly </w:t>
      </w:r>
      <w:r w:rsidR="00CC00BC" w:rsidRPr="00CC00BC">
        <w:rPr>
          <w:i/>
        </w:rPr>
        <w:t>connected</w:t>
      </w:r>
      <w:r w:rsidRPr="00081A5A">
        <w:t xml:space="preserve"> to the </w:t>
      </w:r>
      <w:r w:rsidRPr="00081A5A">
        <w:rPr>
          <w:i/>
        </w:rPr>
        <w:t>IESO-controlled grid</w:t>
      </w:r>
      <w:r w:rsidRPr="00081A5A">
        <w:t xml:space="preserve">, the </w:t>
      </w:r>
      <w:r w:rsidR="00065AD1">
        <w:rPr>
          <w:i/>
        </w:rPr>
        <w:t>IESO</w:t>
      </w:r>
      <w:r w:rsidRPr="00081A5A">
        <w:t xml:space="preserve"> will settle these contracts directly.  For suppliers (i.e., </w:t>
      </w:r>
      <w:r w:rsidRPr="00081A5A">
        <w:rPr>
          <w:i/>
        </w:rPr>
        <w:t>generators</w:t>
      </w:r>
      <w:r w:rsidRPr="00081A5A">
        <w:t xml:space="preserve">) embedded within a </w:t>
      </w:r>
      <w:r w:rsidRPr="00081A5A">
        <w:rPr>
          <w:i/>
        </w:rPr>
        <w:t>distribution system</w:t>
      </w:r>
      <w:r w:rsidRPr="00081A5A">
        <w:t xml:space="preserve">, the </w:t>
      </w:r>
      <w:r w:rsidRPr="00081A5A">
        <w:rPr>
          <w:i/>
        </w:rPr>
        <w:t>distributors</w:t>
      </w:r>
      <w:r w:rsidRPr="00081A5A">
        <w:t xml:space="preserve"> will settle these contracts with the </w:t>
      </w:r>
      <w:r w:rsidRPr="00081A5A">
        <w:rPr>
          <w:i/>
        </w:rPr>
        <w:t>embedded</w:t>
      </w:r>
      <w:r w:rsidRPr="00081A5A">
        <w:t xml:space="preserve"> </w:t>
      </w:r>
      <w:r w:rsidRPr="00081A5A">
        <w:rPr>
          <w:i/>
        </w:rPr>
        <w:t>generators</w:t>
      </w:r>
      <w:r w:rsidRPr="00081A5A">
        <w:t>.</w:t>
      </w:r>
    </w:p>
    <w:p w14:paraId="12E5132F" w14:textId="77777777" w:rsidR="00013D79" w:rsidRDefault="00081A5A">
      <w:pPr>
        <w:spacing w:before="120" w:after="120"/>
      </w:pPr>
      <w:r w:rsidRPr="00081A5A">
        <w:t xml:space="preserve">This section sets out how the </w:t>
      </w:r>
      <w:r w:rsidRPr="00081A5A">
        <w:rPr>
          <w:i/>
        </w:rPr>
        <w:t>IESO</w:t>
      </w:r>
      <w:r w:rsidRPr="00081A5A">
        <w:t xml:space="preserve"> settles the </w:t>
      </w:r>
      <w:r w:rsidR="002B6192">
        <w:t>FIT</w:t>
      </w:r>
      <w:r w:rsidRPr="00081A5A">
        <w:t xml:space="preserve"> Program.  To the extent of any inconsistency between the provisions of the </w:t>
      </w:r>
      <w:r w:rsidR="002B6192">
        <w:t>FIT</w:t>
      </w:r>
      <w:r w:rsidRPr="00081A5A">
        <w:t xml:space="preserve"> Program Rules and this section, the </w:t>
      </w:r>
      <w:r w:rsidR="002B6192">
        <w:t>FIT</w:t>
      </w:r>
      <w:r w:rsidRPr="00081A5A">
        <w:t xml:space="preserve"> Program Rules shall govern.</w:t>
      </w:r>
    </w:p>
    <w:p w14:paraId="791DABFE" w14:textId="77777777" w:rsidR="00013D79" w:rsidRDefault="00081A5A">
      <w:pPr>
        <w:spacing w:before="120" w:after="120"/>
      </w:pPr>
      <w:r w:rsidRPr="00081A5A">
        <w:rPr>
          <w:i/>
        </w:rPr>
        <w:t>Distributors</w:t>
      </w:r>
      <w:r w:rsidRPr="00081A5A">
        <w:t xml:space="preserve"> must calculate the difference between the amount paid to the supplier for electricity produced calculated at wholesale </w:t>
      </w:r>
      <w:r w:rsidR="00DA3379" w:rsidRPr="00DA3379">
        <w:rPr>
          <w:i/>
        </w:rPr>
        <w:t>market prices</w:t>
      </w:r>
      <w:r w:rsidRPr="00081A5A">
        <w:t xml:space="preserve">, and the amount calculated at the contract price.  </w:t>
      </w:r>
      <w:r w:rsidR="00AB5ADC">
        <w:t xml:space="preserve">The adjustment </w:t>
      </w:r>
      <w:r w:rsidRPr="00081A5A">
        <w:t xml:space="preserve">can be either positive or negative, charged or paid to the </w:t>
      </w:r>
      <w:r w:rsidRPr="00081A5A">
        <w:rPr>
          <w:i/>
        </w:rPr>
        <w:t>distributors</w:t>
      </w:r>
      <w:r w:rsidRPr="00081A5A">
        <w:t xml:space="preserve"> who will settle the contracts with the individual suppliers.  </w:t>
      </w:r>
      <w:r w:rsidRPr="00081A5A">
        <w:rPr>
          <w:i/>
        </w:rPr>
        <w:t>Distributors</w:t>
      </w:r>
      <w:r w:rsidRPr="00081A5A">
        <w:t xml:space="preserve"> submit this difference to us monthly via the </w:t>
      </w:r>
      <w:r w:rsidRPr="00BA0260">
        <w:t xml:space="preserve">settlement </w:t>
      </w:r>
      <w:r w:rsidRPr="00081A5A">
        <w:t>form “Feed-in Tariff Program</w:t>
      </w:r>
      <w:r w:rsidR="00005FA0">
        <w:t>”</w:t>
      </w:r>
      <w:r w:rsidR="002E556F">
        <w:t xml:space="preserve"> </w:t>
      </w:r>
      <w:r w:rsidR="002E556F" w:rsidRPr="00972031">
        <w:rPr>
          <w:szCs w:val="22"/>
        </w:rPr>
        <w:t xml:space="preserve">available </w:t>
      </w:r>
      <w:r w:rsidR="002E556F">
        <w:rPr>
          <w:szCs w:val="22"/>
        </w:rPr>
        <w:t>within</w:t>
      </w:r>
      <w:r w:rsidR="002E556F" w:rsidRPr="00972031">
        <w:rPr>
          <w:szCs w:val="22"/>
        </w:rPr>
        <w:t xml:space="preserve"> Online IESO</w:t>
      </w:r>
      <w:r w:rsidRPr="00081A5A">
        <w:t>.</w:t>
      </w:r>
    </w:p>
    <w:p w14:paraId="025C18C7" w14:textId="77777777" w:rsidR="00013D79" w:rsidRDefault="00081A5A">
      <w:pPr>
        <w:spacing w:before="120" w:after="120"/>
      </w:pPr>
      <w:r w:rsidRPr="00081A5A">
        <w:t xml:space="preserve">Submit </w:t>
      </w:r>
      <w:r w:rsidR="002B6192">
        <w:t>FIT</w:t>
      </w:r>
      <w:r w:rsidRPr="00081A5A">
        <w:t xml:space="preserve"> Program claims to us monthly as soon as possible after the last </w:t>
      </w:r>
      <w:r w:rsidRPr="00081A5A">
        <w:rPr>
          <w:i/>
        </w:rPr>
        <w:t>trading day</w:t>
      </w:r>
      <w:r w:rsidRPr="00081A5A">
        <w:t xml:space="preserve"> of the month and no later than the fourth </w:t>
      </w:r>
      <w:r w:rsidRPr="00081A5A">
        <w:rPr>
          <w:i/>
        </w:rPr>
        <w:t>business day</w:t>
      </w:r>
      <w:r w:rsidRPr="00081A5A">
        <w:t xml:space="preserve"> after the last </w:t>
      </w:r>
      <w:r w:rsidRPr="00081A5A">
        <w:rPr>
          <w:i/>
        </w:rPr>
        <w:t>trading day</w:t>
      </w:r>
      <w:r w:rsidRPr="00081A5A">
        <w:t xml:space="preserve"> of the month.  </w:t>
      </w:r>
      <w:r w:rsidR="00AB5ADC">
        <w:t xml:space="preserve">This submission is made using the </w:t>
      </w:r>
      <w:r w:rsidR="00005FA0">
        <w:t>settlement</w:t>
      </w:r>
      <w:r w:rsidR="00AB5ADC">
        <w:t xml:space="preserve"> form “Feed-in Tariff Program” accessible </w:t>
      </w:r>
      <w:r w:rsidR="00005FA0">
        <w:t>via Online IESO</w:t>
      </w:r>
      <w:r w:rsidR="00AB5ADC">
        <w:t xml:space="preserve">.  </w:t>
      </w:r>
      <w:r w:rsidRPr="00081A5A">
        <w:t xml:space="preserve">We process the information as a manual line item so that the </w:t>
      </w:r>
      <w:r w:rsidRPr="00081A5A">
        <w:rPr>
          <w:i/>
        </w:rPr>
        <w:t>settlement statements</w:t>
      </w:r>
      <w:r w:rsidRPr="00081A5A">
        <w:t xml:space="preserve"> for the last </w:t>
      </w:r>
      <w:r w:rsidRPr="00081A5A">
        <w:rPr>
          <w:i/>
        </w:rPr>
        <w:t>trading day</w:t>
      </w:r>
      <w:r w:rsidRPr="00081A5A">
        <w:t xml:space="preserve"> of the month and monthly </w:t>
      </w:r>
      <w:r w:rsidRPr="00081A5A">
        <w:rPr>
          <w:i/>
        </w:rPr>
        <w:t>invoices</w:t>
      </w:r>
      <w:r w:rsidRPr="00081A5A">
        <w:t xml:space="preserve"> indicates a </w:t>
      </w:r>
      <w:r w:rsidRPr="00081A5A">
        <w:rPr>
          <w:i/>
        </w:rPr>
        <w:t>charge type</w:t>
      </w:r>
      <w:r w:rsidRPr="00081A5A">
        <w:t xml:space="preserve"> 1412 “Feed-in Tariff Program Settlement Amount” with the category noted in the </w:t>
      </w:r>
      <w:r w:rsidR="002B6192">
        <w:t>c</w:t>
      </w:r>
      <w:r w:rsidRPr="00081A5A">
        <w:t>omment field.</w:t>
      </w:r>
      <w:r w:rsidR="00C13E4B">
        <w:t xml:space="preserve"> </w:t>
      </w:r>
      <w:r w:rsidR="00C13E4B" w:rsidRPr="00E45DA3">
        <w:t xml:space="preserve">If any changes are required to the amounts submitted during the preliminary submission period, final adjustments can be submitted during the 11th to 14th </w:t>
      </w:r>
      <w:r w:rsidR="00C13E4B" w:rsidRPr="00E45DA3">
        <w:rPr>
          <w:i/>
        </w:rPr>
        <w:t>business day</w:t>
      </w:r>
      <w:r w:rsidR="00C13E4B" w:rsidRPr="00E45DA3">
        <w:t xml:space="preserve"> after the last </w:t>
      </w:r>
      <w:r w:rsidR="00C13E4B" w:rsidRPr="00E45DA3">
        <w:rPr>
          <w:i/>
        </w:rPr>
        <w:t>trading day</w:t>
      </w:r>
      <w:r w:rsidR="00C13E4B" w:rsidRPr="00E45DA3">
        <w:t xml:space="preserve"> of the month. The adjustments will be reflected on the </w:t>
      </w:r>
      <w:r w:rsidR="00C13E4B" w:rsidRPr="00E45DA3">
        <w:rPr>
          <w:i/>
        </w:rPr>
        <w:t xml:space="preserve">final settlement statement </w:t>
      </w:r>
      <w:r w:rsidR="00C13E4B" w:rsidRPr="00E45DA3">
        <w:t xml:space="preserve">for the last </w:t>
      </w:r>
      <w:r w:rsidR="00C13E4B" w:rsidRPr="00E45DA3">
        <w:rPr>
          <w:i/>
        </w:rPr>
        <w:t>trading day</w:t>
      </w:r>
      <w:r w:rsidR="00C13E4B" w:rsidRPr="00E45DA3">
        <w:t xml:space="preserve"> of the month. Furthermore, post final adjustments can be submitted through Online IESO for any previous settlement period. Any amount submitted as a post final adjustment will be settled on the </w:t>
      </w:r>
      <w:r w:rsidR="00C13E4B" w:rsidRPr="00E45DA3">
        <w:rPr>
          <w:i/>
        </w:rPr>
        <w:t>preliminary settlement statement</w:t>
      </w:r>
      <w:r w:rsidR="00C13E4B" w:rsidRPr="00E45DA3">
        <w:t xml:space="preserve"> for the last </w:t>
      </w:r>
      <w:r w:rsidR="00C13E4B" w:rsidRPr="00E45DA3">
        <w:rPr>
          <w:i/>
        </w:rPr>
        <w:t>trading day</w:t>
      </w:r>
      <w:r w:rsidR="00C13E4B" w:rsidRPr="00E45DA3">
        <w:t xml:space="preserve"> of the current settlement month.</w:t>
      </w:r>
    </w:p>
    <w:p w14:paraId="222F342E" w14:textId="77777777" w:rsidR="002F19CC" w:rsidRDefault="00081A5A">
      <w:pPr>
        <w:spacing w:before="120" w:after="120"/>
      </w:pPr>
      <w:r w:rsidRPr="00081A5A">
        <w:t xml:space="preserve">The corresponding setoff, </w:t>
      </w:r>
      <w:r w:rsidRPr="00081A5A">
        <w:rPr>
          <w:i/>
        </w:rPr>
        <w:t>charge type</w:t>
      </w:r>
      <w:r w:rsidRPr="00081A5A">
        <w:t xml:space="preserve"> 1462 “Feed-in Tariff Program Balancing Amount”, is entered as a manual line item on the </w:t>
      </w:r>
      <w:r w:rsidR="00C51A68">
        <w:t xml:space="preserve">IESO’s </w:t>
      </w:r>
      <w:r w:rsidRPr="00081A5A">
        <w:rPr>
          <w:i/>
        </w:rPr>
        <w:t>settlement statements</w:t>
      </w:r>
      <w:r w:rsidRPr="00081A5A">
        <w:t xml:space="preserve"> for the last </w:t>
      </w:r>
      <w:r w:rsidRPr="00081A5A">
        <w:rPr>
          <w:i/>
        </w:rPr>
        <w:t>trading day</w:t>
      </w:r>
      <w:r w:rsidRPr="00081A5A">
        <w:t xml:space="preserve"> of the month to balance the market.</w:t>
      </w:r>
      <w:r w:rsidR="003500FF">
        <w:t xml:space="preserve"> </w:t>
      </w:r>
    </w:p>
    <w:p w14:paraId="07F190CC" w14:textId="77777777" w:rsidR="00611FAF" w:rsidRPr="002F65C1" w:rsidRDefault="00611FAF" w:rsidP="00133618">
      <w:pPr>
        <w:pStyle w:val="Heading4"/>
      </w:pPr>
      <w:r>
        <w:t>Hydroelectric Contract Initiative (HCI)</w:t>
      </w:r>
    </w:p>
    <w:p w14:paraId="594CA28C" w14:textId="77777777" w:rsidR="00013D79" w:rsidRDefault="00611FAF">
      <w:pPr>
        <w:spacing w:before="120" w:after="120"/>
      </w:pPr>
      <w:r w:rsidRPr="00081A5A">
        <w:t>The</w:t>
      </w:r>
      <w:r w:rsidR="002B6192">
        <w:t xml:space="preserve"> IESO</w:t>
      </w:r>
      <w:r w:rsidRPr="00081A5A">
        <w:t xml:space="preserve"> has entered into procurement contracts under the </w:t>
      </w:r>
      <w:r>
        <w:t>Hydroelectric Contract Initiative (HCI)</w:t>
      </w:r>
      <w:r w:rsidRPr="00081A5A">
        <w:t xml:space="preserve"> with </w:t>
      </w:r>
      <w:r w:rsidR="00925BE3">
        <w:t>qualified existing</w:t>
      </w:r>
      <w:r w:rsidRPr="00081A5A">
        <w:t xml:space="preserve"> </w:t>
      </w:r>
      <w:r w:rsidR="00925BE3">
        <w:t xml:space="preserve">hydroelectric </w:t>
      </w:r>
      <w:r w:rsidR="00BC35C1" w:rsidRPr="00BC35C1">
        <w:rPr>
          <w:i/>
        </w:rPr>
        <w:t>generation facilities</w:t>
      </w:r>
      <w:r w:rsidR="00925BE3">
        <w:t xml:space="preserve"> </w:t>
      </w:r>
      <w:r w:rsidRPr="00081A5A">
        <w:t xml:space="preserve">to </w:t>
      </w:r>
      <w:r>
        <w:t xml:space="preserve">increase Ontario’s supply of clean, </w:t>
      </w:r>
      <w:r w:rsidRPr="00081A5A">
        <w:t xml:space="preserve">renewable </w:t>
      </w:r>
      <w:r w:rsidR="00DA3379" w:rsidRPr="00DA3379">
        <w:rPr>
          <w:i/>
        </w:rPr>
        <w:t>generation</w:t>
      </w:r>
      <w:r>
        <w:t>.</w:t>
      </w:r>
      <w:r w:rsidRPr="00081A5A">
        <w:t xml:space="preserve">  The </w:t>
      </w:r>
      <w:r>
        <w:t>H</w:t>
      </w:r>
      <w:r w:rsidR="001430C7">
        <w:t>CI</w:t>
      </w:r>
      <w:r>
        <w:t xml:space="preserve"> </w:t>
      </w:r>
      <w:r w:rsidRPr="00081A5A">
        <w:t>support</w:t>
      </w:r>
      <w:r w:rsidR="005E314A">
        <w:t xml:space="preserve">s new contracts for hydroelectric </w:t>
      </w:r>
      <w:r w:rsidR="00BC35C1" w:rsidRPr="00BC35C1">
        <w:rPr>
          <w:i/>
        </w:rPr>
        <w:t>facilities</w:t>
      </w:r>
      <w:r w:rsidR="005E314A">
        <w:t xml:space="preserve"> that are </w:t>
      </w:r>
      <w:r w:rsidR="00CC00BC" w:rsidRPr="00CC00BC">
        <w:rPr>
          <w:i/>
        </w:rPr>
        <w:t>connected</w:t>
      </w:r>
      <w:r w:rsidR="005E314A">
        <w:t xml:space="preserve"> to the </w:t>
      </w:r>
      <w:r w:rsidR="00BC35C1" w:rsidRPr="00BC35C1">
        <w:rPr>
          <w:i/>
        </w:rPr>
        <w:t>IESO</w:t>
      </w:r>
      <w:r w:rsidR="005E314A">
        <w:t>-</w:t>
      </w:r>
      <w:r w:rsidR="00BC35C1" w:rsidRPr="00BC35C1">
        <w:rPr>
          <w:i/>
        </w:rPr>
        <w:t>controlled grid</w:t>
      </w:r>
      <w:r w:rsidRPr="00081A5A">
        <w:t xml:space="preserve"> </w:t>
      </w:r>
      <w:r w:rsidR="005E314A">
        <w:t>but not owned by OPG.</w:t>
      </w:r>
      <w:r w:rsidRPr="00081A5A">
        <w:t xml:space="preserve">  For </w:t>
      </w:r>
      <w:r w:rsidR="005E314A">
        <w:t xml:space="preserve">large </w:t>
      </w:r>
      <w:r w:rsidR="00BC35C1" w:rsidRPr="00BC35C1">
        <w:rPr>
          <w:i/>
        </w:rPr>
        <w:t>facilities</w:t>
      </w:r>
      <w:r w:rsidR="005E314A">
        <w:t xml:space="preserve"> (</w:t>
      </w:r>
      <w:r w:rsidR="00774ECE">
        <w:t xml:space="preserve">generally ≥ 10 MW) </w:t>
      </w:r>
      <w:r w:rsidRPr="00081A5A">
        <w:t xml:space="preserve">that are directly </w:t>
      </w:r>
      <w:r w:rsidR="00CC00BC" w:rsidRPr="00CC00BC">
        <w:rPr>
          <w:i/>
        </w:rPr>
        <w:t>connected</w:t>
      </w:r>
      <w:r w:rsidRPr="00081A5A">
        <w:t xml:space="preserve"> to the </w:t>
      </w:r>
      <w:r w:rsidRPr="00081A5A">
        <w:rPr>
          <w:i/>
        </w:rPr>
        <w:t>IESO-controlled grid</w:t>
      </w:r>
      <w:r w:rsidRPr="00081A5A">
        <w:t xml:space="preserve">, the </w:t>
      </w:r>
      <w:r w:rsidR="00065AD1">
        <w:rPr>
          <w:i/>
        </w:rPr>
        <w:t>IESO</w:t>
      </w:r>
      <w:r w:rsidRPr="00081A5A">
        <w:t xml:space="preserve"> will settle these contracts directly.  For </w:t>
      </w:r>
      <w:r w:rsidR="00774ECE">
        <w:t xml:space="preserve">small </w:t>
      </w:r>
      <w:r w:rsidR="00BC35C1" w:rsidRPr="00BC35C1">
        <w:rPr>
          <w:i/>
        </w:rPr>
        <w:t>facilities</w:t>
      </w:r>
      <w:r w:rsidRPr="00081A5A">
        <w:t xml:space="preserve"> (</w:t>
      </w:r>
      <w:r w:rsidR="00774ECE">
        <w:t>generally &lt; 10 MW</w:t>
      </w:r>
      <w:r w:rsidRPr="00081A5A">
        <w:t xml:space="preserve">) embedded within a </w:t>
      </w:r>
      <w:r w:rsidRPr="00081A5A">
        <w:rPr>
          <w:i/>
        </w:rPr>
        <w:t>distribution system</w:t>
      </w:r>
      <w:r w:rsidRPr="00081A5A">
        <w:t xml:space="preserve">, the </w:t>
      </w:r>
      <w:r w:rsidRPr="00081A5A">
        <w:rPr>
          <w:i/>
        </w:rPr>
        <w:t>distributors</w:t>
      </w:r>
      <w:r w:rsidRPr="00081A5A">
        <w:t xml:space="preserve"> will settle these contracts with the </w:t>
      </w:r>
      <w:r w:rsidR="00774ECE">
        <w:t xml:space="preserve">participating </w:t>
      </w:r>
      <w:r w:rsidRPr="00081A5A">
        <w:rPr>
          <w:i/>
        </w:rPr>
        <w:t>embedded</w:t>
      </w:r>
      <w:r w:rsidRPr="00081A5A">
        <w:t xml:space="preserve"> </w:t>
      </w:r>
      <w:r w:rsidRPr="00081A5A">
        <w:rPr>
          <w:i/>
        </w:rPr>
        <w:t>generators</w:t>
      </w:r>
      <w:r w:rsidRPr="00081A5A">
        <w:t>.</w:t>
      </w:r>
    </w:p>
    <w:p w14:paraId="6C04B6CA" w14:textId="77777777" w:rsidR="00013D79" w:rsidRDefault="00611FAF">
      <w:pPr>
        <w:spacing w:before="120" w:after="120"/>
      </w:pPr>
      <w:r w:rsidRPr="00081A5A">
        <w:t xml:space="preserve">This section sets out how the </w:t>
      </w:r>
      <w:r w:rsidRPr="00081A5A">
        <w:rPr>
          <w:i/>
        </w:rPr>
        <w:t>IESO</w:t>
      </w:r>
      <w:r w:rsidRPr="00081A5A">
        <w:t xml:space="preserve"> settles the </w:t>
      </w:r>
      <w:r w:rsidR="002B6192">
        <w:t>HCI</w:t>
      </w:r>
      <w:r w:rsidRPr="00081A5A">
        <w:t xml:space="preserve">.  To the extent of any inconsistency between the provisions of the </w:t>
      </w:r>
      <w:r w:rsidR="00774ECE">
        <w:t>H</w:t>
      </w:r>
      <w:r w:rsidR="006E026C">
        <w:t>CI</w:t>
      </w:r>
      <w:r w:rsidR="00774ECE" w:rsidRPr="00081A5A">
        <w:t xml:space="preserve"> </w:t>
      </w:r>
      <w:r w:rsidR="001430C7">
        <w:t>r</w:t>
      </w:r>
      <w:r w:rsidRPr="00081A5A">
        <w:t xml:space="preserve">ules and this section, the </w:t>
      </w:r>
      <w:r w:rsidR="00774ECE">
        <w:t>H</w:t>
      </w:r>
      <w:r w:rsidR="001430C7">
        <w:t>CI</w:t>
      </w:r>
      <w:r w:rsidR="00774ECE" w:rsidRPr="00081A5A">
        <w:t xml:space="preserve"> </w:t>
      </w:r>
      <w:r w:rsidR="001430C7">
        <w:t>r</w:t>
      </w:r>
      <w:r w:rsidRPr="00081A5A">
        <w:t>ules shall govern.</w:t>
      </w:r>
    </w:p>
    <w:p w14:paraId="0BE54CBC" w14:textId="77777777" w:rsidR="00013D79" w:rsidRDefault="00611FAF">
      <w:pPr>
        <w:spacing w:before="120" w:after="120"/>
      </w:pPr>
      <w:r w:rsidRPr="00081A5A">
        <w:rPr>
          <w:i/>
        </w:rPr>
        <w:t>Distributors</w:t>
      </w:r>
      <w:r w:rsidRPr="00081A5A">
        <w:t xml:space="preserve"> must calculate the difference between the amount paid to the </w:t>
      </w:r>
      <w:r w:rsidR="00911767">
        <w:t xml:space="preserve">participating </w:t>
      </w:r>
      <w:r w:rsidR="00911767" w:rsidRPr="00081A5A">
        <w:rPr>
          <w:i/>
        </w:rPr>
        <w:t>embedded</w:t>
      </w:r>
      <w:r w:rsidR="00911767" w:rsidRPr="00081A5A">
        <w:t xml:space="preserve"> </w:t>
      </w:r>
      <w:r w:rsidR="00911767" w:rsidRPr="00081A5A">
        <w:rPr>
          <w:i/>
        </w:rPr>
        <w:t>generators</w:t>
      </w:r>
      <w:r w:rsidRPr="00081A5A">
        <w:t xml:space="preserve"> for electricity produced calculated at wholesale </w:t>
      </w:r>
      <w:r w:rsidR="00DA3379" w:rsidRPr="00DA3379">
        <w:rPr>
          <w:i/>
        </w:rPr>
        <w:t>market prices</w:t>
      </w:r>
      <w:r w:rsidRPr="00081A5A">
        <w:t xml:space="preserve">, and the amount calculated at the contract price.  </w:t>
      </w:r>
      <w:r w:rsidR="00AB5ADC">
        <w:t xml:space="preserve">The adjustment </w:t>
      </w:r>
      <w:r w:rsidRPr="00081A5A">
        <w:t xml:space="preserve">can be either positive or negative, charged or paid to the </w:t>
      </w:r>
      <w:r w:rsidRPr="00081A5A">
        <w:rPr>
          <w:i/>
        </w:rPr>
        <w:t>distributors</w:t>
      </w:r>
      <w:r w:rsidRPr="00081A5A">
        <w:t xml:space="preserve"> who will settle the contracts with the individual </w:t>
      </w:r>
      <w:r w:rsidR="00BC35C1" w:rsidRPr="00BC35C1">
        <w:rPr>
          <w:i/>
        </w:rPr>
        <w:t>generators</w:t>
      </w:r>
      <w:r w:rsidRPr="00081A5A">
        <w:t xml:space="preserve">.  </w:t>
      </w:r>
      <w:r w:rsidR="00911767">
        <w:t xml:space="preserve">If you are a </w:t>
      </w:r>
      <w:r w:rsidR="006E026C">
        <w:rPr>
          <w:i/>
        </w:rPr>
        <w:t>d</w:t>
      </w:r>
      <w:r w:rsidRPr="00081A5A">
        <w:rPr>
          <w:i/>
        </w:rPr>
        <w:t>istributo</w:t>
      </w:r>
      <w:r w:rsidR="00911767">
        <w:rPr>
          <w:i/>
        </w:rPr>
        <w:t xml:space="preserve">r </w:t>
      </w:r>
      <w:r w:rsidR="00BC35C1" w:rsidRPr="00BC35C1">
        <w:t>who has a</w:t>
      </w:r>
      <w:r w:rsidR="00911767">
        <w:t xml:space="preserve"> participating </w:t>
      </w:r>
      <w:r w:rsidR="00BC35C1" w:rsidRPr="00BC35C1">
        <w:rPr>
          <w:i/>
        </w:rPr>
        <w:t>generation facility</w:t>
      </w:r>
      <w:r w:rsidR="00911767">
        <w:t xml:space="preserve">, please contact </w:t>
      </w:r>
      <w:r w:rsidR="00BC35C1" w:rsidRPr="00BC35C1">
        <w:rPr>
          <w:i/>
        </w:rPr>
        <w:t>IESO</w:t>
      </w:r>
      <w:r w:rsidR="00911767">
        <w:t xml:space="preserve"> Customer Relations </w:t>
      </w:r>
      <w:r w:rsidR="001430C7">
        <w:t xml:space="preserve">for instructions on submitting HCI claims at: </w:t>
      </w:r>
      <w:hyperlink r:id="rId34" w:history="1">
        <w:r w:rsidR="00BC35C1" w:rsidRPr="00BC35C1">
          <w:rPr>
            <w:rStyle w:val="Hyperlink"/>
          </w:rPr>
          <w:t>customer.relations@ieso.ca</w:t>
        </w:r>
      </w:hyperlink>
      <w:r w:rsidR="001430C7">
        <w:t>.</w:t>
      </w:r>
    </w:p>
    <w:p w14:paraId="76BD8AC1" w14:textId="77777777" w:rsidR="00013D79" w:rsidRDefault="00611FAF">
      <w:pPr>
        <w:spacing w:before="120" w:after="120"/>
      </w:pPr>
      <w:r w:rsidRPr="00081A5A">
        <w:t xml:space="preserve">Submit </w:t>
      </w:r>
      <w:r w:rsidR="00911767">
        <w:t xml:space="preserve">HCI </w:t>
      </w:r>
      <w:r w:rsidRPr="00081A5A">
        <w:t xml:space="preserve">claims to us monthly as soon as possible after the last </w:t>
      </w:r>
      <w:r w:rsidRPr="00081A5A">
        <w:rPr>
          <w:i/>
        </w:rPr>
        <w:t>trading day</w:t>
      </w:r>
      <w:r w:rsidRPr="00081A5A">
        <w:t xml:space="preserve"> of the month and no later than the fourth </w:t>
      </w:r>
      <w:r w:rsidRPr="00081A5A">
        <w:rPr>
          <w:i/>
        </w:rPr>
        <w:t>business day</w:t>
      </w:r>
      <w:r w:rsidRPr="00081A5A">
        <w:t xml:space="preserve"> after the last </w:t>
      </w:r>
      <w:r w:rsidRPr="00081A5A">
        <w:rPr>
          <w:i/>
        </w:rPr>
        <w:t>trading day</w:t>
      </w:r>
      <w:r w:rsidRPr="00081A5A">
        <w:t xml:space="preserve"> of the month.  </w:t>
      </w:r>
      <w:r w:rsidR="00AB5ADC">
        <w:t xml:space="preserve">This submission is made using the </w:t>
      </w:r>
      <w:r w:rsidR="00005FA0" w:rsidRPr="00BA0260">
        <w:t>settlement</w:t>
      </w:r>
      <w:r w:rsidR="00AB5ADC" w:rsidRPr="00BA0260">
        <w:t xml:space="preserve"> </w:t>
      </w:r>
      <w:r w:rsidR="00AB5ADC">
        <w:t xml:space="preserve">form “Hydroelectric Contract Initiative” </w:t>
      </w:r>
      <w:r w:rsidR="00005FA0">
        <w:t>available within Online IESO</w:t>
      </w:r>
      <w:r w:rsidR="00AB5ADC">
        <w:t xml:space="preserve">.  </w:t>
      </w:r>
      <w:r w:rsidRPr="00081A5A">
        <w:t xml:space="preserve">We process the information as a manual line item so that the </w:t>
      </w:r>
      <w:r w:rsidRPr="00081A5A">
        <w:rPr>
          <w:i/>
        </w:rPr>
        <w:t>settlement statements</w:t>
      </w:r>
      <w:r w:rsidRPr="00081A5A">
        <w:t xml:space="preserve"> for the last </w:t>
      </w:r>
      <w:r w:rsidRPr="00081A5A">
        <w:rPr>
          <w:i/>
        </w:rPr>
        <w:t>trading day</w:t>
      </w:r>
      <w:r w:rsidRPr="00081A5A">
        <w:t xml:space="preserve"> of the month and monthly </w:t>
      </w:r>
      <w:r w:rsidRPr="00081A5A">
        <w:rPr>
          <w:i/>
        </w:rPr>
        <w:t>invoices</w:t>
      </w:r>
      <w:r w:rsidR="001430C7">
        <w:t xml:space="preserve"> indicate</w:t>
      </w:r>
      <w:r w:rsidRPr="00081A5A">
        <w:t xml:space="preserve"> a </w:t>
      </w:r>
      <w:r w:rsidRPr="00081A5A">
        <w:rPr>
          <w:i/>
        </w:rPr>
        <w:t>charge type</w:t>
      </w:r>
      <w:r w:rsidRPr="00081A5A">
        <w:t xml:space="preserve"> 141</w:t>
      </w:r>
      <w:r w:rsidR="00911767">
        <w:t>4</w:t>
      </w:r>
      <w:r w:rsidRPr="00081A5A">
        <w:t xml:space="preserve"> “</w:t>
      </w:r>
      <w:r w:rsidR="00911767">
        <w:t>Hydroelectric Contract Initiative Sett</w:t>
      </w:r>
      <w:r w:rsidRPr="00081A5A">
        <w:t>lement Amount”.</w:t>
      </w:r>
      <w:r w:rsidR="006253E2" w:rsidRPr="006253E2">
        <w:t xml:space="preserve"> </w:t>
      </w:r>
      <w:r w:rsidR="006253E2" w:rsidRPr="00E45DA3">
        <w:t xml:space="preserve">If any changes are required to the amounts submitted during the preliminary submission period, final adjustments can be submitted during the 11th to 14th </w:t>
      </w:r>
      <w:r w:rsidR="006253E2" w:rsidRPr="00E45DA3">
        <w:rPr>
          <w:i/>
        </w:rPr>
        <w:t>business day</w:t>
      </w:r>
      <w:r w:rsidR="006253E2" w:rsidRPr="00E45DA3">
        <w:t xml:space="preserve"> after the last </w:t>
      </w:r>
      <w:r w:rsidR="006253E2" w:rsidRPr="00E45DA3">
        <w:rPr>
          <w:i/>
        </w:rPr>
        <w:t>trading day</w:t>
      </w:r>
      <w:r w:rsidR="006253E2" w:rsidRPr="00E45DA3">
        <w:t xml:space="preserve"> of the month. The adjustments will be reflected on the </w:t>
      </w:r>
      <w:r w:rsidR="006253E2" w:rsidRPr="00E45DA3">
        <w:rPr>
          <w:i/>
        </w:rPr>
        <w:t xml:space="preserve">final settlement statement </w:t>
      </w:r>
      <w:r w:rsidR="006253E2" w:rsidRPr="00E45DA3">
        <w:t xml:space="preserve">for the last </w:t>
      </w:r>
      <w:r w:rsidR="006253E2" w:rsidRPr="00E45DA3">
        <w:rPr>
          <w:i/>
        </w:rPr>
        <w:t>trading day</w:t>
      </w:r>
      <w:r w:rsidR="006253E2" w:rsidRPr="00E45DA3">
        <w:t xml:space="preserve"> of the month. Furthermore, post final adjustments can be submitted through Online IESO for any previous settlement period. Any amount submitted as a post final adjustment will be settled on the </w:t>
      </w:r>
      <w:r w:rsidR="006253E2" w:rsidRPr="00E45DA3">
        <w:rPr>
          <w:i/>
        </w:rPr>
        <w:t>preliminary settlement statement</w:t>
      </w:r>
      <w:r w:rsidR="006253E2" w:rsidRPr="00E45DA3">
        <w:t xml:space="preserve"> for the last </w:t>
      </w:r>
      <w:r w:rsidR="006253E2" w:rsidRPr="00E45DA3">
        <w:rPr>
          <w:i/>
        </w:rPr>
        <w:t>trading day</w:t>
      </w:r>
      <w:r w:rsidR="006253E2" w:rsidRPr="00E45DA3">
        <w:t xml:space="preserve"> of the current settlement month.</w:t>
      </w:r>
    </w:p>
    <w:p w14:paraId="608112BC" w14:textId="77777777" w:rsidR="00013D79" w:rsidRDefault="00611FAF">
      <w:pPr>
        <w:spacing w:before="120" w:after="120"/>
      </w:pPr>
      <w:r w:rsidRPr="00081A5A">
        <w:t xml:space="preserve">The corresponding setoff, </w:t>
      </w:r>
      <w:r w:rsidRPr="00081A5A">
        <w:rPr>
          <w:i/>
        </w:rPr>
        <w:t>charge type</w:t>
      </w:r>
      <w:r w:rsidRPr="00081A5A">
        <w:t xml:space="preserve"> 146</w:t>
      </w:r>
      <w:r w:rsidR="00911767">
        <w:t>4</w:t>
      </w:r>
      <w:r w:rsidRPr="00081A5A">
        <w:t xml:space="preserve"> “</w:t>
      </w:r>
      <w:r w:rsidR="00911767">
        <w:t xml:space="preserve">Hydroelectric Contract Initiative </w:t>
      </w:r>
      <w:r w:rsidRPr="00081A5A">
        <w:t>Balancing Amount”, is entered as a manual line item on the</w:t>
      </w:r>
      <w:r w:rsidR="00C51A68">
        <w:t xml:space="preserve"> IESO’s</w:t>
      </w:r>
      <w:r w:rsidRPr="00081A5A">
        <w:t xml:space="preserve"> </w:t>
      </w:r>
      <w:r w:rsidRPr="00081A5A">
        <w:rPr>
          <w:i/>
        </w:rPr>
        <w:t>settlement statements</w:t>
      </w:r>
      <w:r w:rsidRPr="00081A5A">
        <w:t xml:space="preserve"> for the last </w:t>
      </w:r>
      <w:r w:rsidRPr="00081A5A">
        <w:rPr>
          <w:i/>
        </w:rPr>
        <w:t>trading day</w:t>
      </w:r>
      <w:r w:rsidRPr="00081A5A">
        <w:t xml:space="preserve"> of the month to balance the market.  </w:t>
      </w:r>
    </w:p>
    <w:p w14:paraId="52B8A39E" w14:textId="77777777" w:rsidR="00F66158" w:rsidRDefault="00F66158" w:rsidP="00133618">
      <w:pPr>
        <w:pStyle w:val="Heading4"/>
      </w:pPr>
      <w:r>
        <w:t>Hydroelectric Standard Offer Program</w:t>
      </w:r>
    </w:p>
    <w:p w14:paraId="1069BEC4" w14:textId="77777777" w:rsidR="00F66158" w:rsidRDefault="00F66158" w:rsidP="00F66158">
      <w:pPr>
        <w:spacing w:before="120" w:after="120"/>
      </w:pPr>
      <w:r w:rsidRPr="00081A5A">
        <w:t>The</w:t>
      </w:r>
      <w:r>
        <w:t xml:space="preserve"> IESO</w:t>
      </w:r>
      <w:r w:rsidRPr="00081A5A">
        <w:t xml:space="preserve"> has entered into </w:t>
      </w:r>
      <w:r>
        <w:t>agreements</w:t>
      </w:r>
      <w:r w:rsidRPr="00081A5A">
        <w:t xml:space="preserve"> under the </w:t>
      </w:r>
      <w:r>
        <w:t>Hydroelectric Standard Offer Program (HESOP)</w:t>
      </w:r>
      <w:r w:rsidRPr="00081A5A">
        <w:t xml:space="preserve"> </w:t>
      </w:r>
      <w:r>
        <w:t>to support the continued development of hydroelectric capacity in Ontario.</w:t>
      </w:r>
      <w:r w:rsidRPr="00081A5A">
        <w:t xml:space="preserve">  </w:t>
      </w:r>
      <w:r>
        <w:t>Procurements under HESOP have concluded. The HESOP program has been developed in two separate streams:</w:t>
      </w:r>
    </w:p>
    <w:p w14:paraId="43C81AED" w14:textId="77777777" w:rsidR="00F66158" w:rsidRPr="00672EC9" w:rsidRDefault="00F66158" w:rsidP="006B5440">
      <w:pPr>
        <w:pStyle w:val="ListParagraph"/>
        <w:numPr>
          <w:ilvl w:val="0"/>
          <w:numId w:val="127"/>
        </w:numPr>
        <w:spacing w:before="120" w:after="120"/>
      </w:pPr>
      <w:r>
        <w:t xml:space="preserve">Municipal Stream: new-build waterpower projects </w:t>
      </w:r>
      <w:r w:rsidRPr="00143D4B">
        <w:t>larger than 500 kilowatts (kW) that were the subject of an application to the Feed-in Tariff Program submitted before June 5, 2010.</w:t>
      </w:r>
    </w:p>
    <w:p w14:paraId="6EBDD900" w14:textId="77777777" w:rsidR="00F66158" w:rsidRDefault="00F66158" w:rsidP="006B5440">
      <w:pPr>
        <w:pStyle w:val="ListParagraph"/>
        <w:numPr>
          <w:ilvl w:val="0"/>
          <w:numId w:val="127"/>
        </w:numPr>
        <w:spacing w:before="120" w:after="120"/>
      </w:pPr>
      <w:r>
        <w:t xml:space="preserve">Expansion Stream: </w:t>
      </w:r>
      <w:r w:rsidRPr="00143D4B">
        <w:t>incremental hydroelectric capacity projects at non-utility generation (NUG) facilities under contract with the Ontario Electricity Financial Corporation, and incremental hydroelectric capacity projects at facilities under contract with the IESO as part of the Hydroelectric Contract Initiative (HCI).</w:t>
      </w:r>
    </w:p>
    <w:p w14:paraId="043ACC37" w14:textId="77777777" w:rsidR="00F66158" w:rsidRDefault="00F66158" w:rsidP="00F66158">
      <w:pPr>
        <w:spacing w:before="120" w:after="120"/>
      </w:pPr>
      <w:r>
        <w:t>S</w:t>
      </w:r>
      <w:r w:rsidRPr="00081A5A">
        <w:t xml:space="preserve">ubmit </w:t>
      </w:r>
      <w:r>
        <w:t xml:space="preserve">HESOP </w:t>
      </w:r>
      <w:r w:rsidRPr="00081A5A">
        <w:t>claims to us monthly</w:t>
      </w:r>
      <w:r>
        <w:t xml:space="preserve"> </w:t>
      </w:r>
      <w:r w:rsidR="00005FA0">
        <w:t>via Online IESO</w:t>
      </w:r>
      <w:r w:rsidRPr="00081A5A">
        <w:t xml:space="preserve"> as soon as possible after the last </w:t>
      </w:r>
      <w:r w:rsidRPr="00081A5A">
        <w:rPr>
          <w:i/>
        </w:rPr>
        <w:t>trading day</w:t>
      </w:r>
      <w:r w:rsidRPr="00081A5A">
        <w:t xml:space="preserve"> of the month and no later than the fourth </w:t>
      </w:r>
      <w:r w:rsidRPr="00081A5A">
        <w:rPr>
          <w:i/>
        </w:rPr>
        <w:t>business day</w:t>
      </w:r>
      <w:r w:rsidRPr="00081A5A">
        <w:t xml:space="preserve"> after the last </w:t>
      </w:r>
      <w:r w:rsidRPr="00081A5A">
        <w:rPr>
          <w:i/>
        </w:rPr>
        <w:t>trading day</w:t>
      </w:r>
      <w:r>
        <w:t xml:space="preserve"> of the month. </w:t>
      </w:r>
      <w:r w:rsidRPr="00081A5A">
        <w:t xml:space="preserve">We process the information as a manual line item so that the </w:t>
      </w:r>
      <w:r w:rsidRPr="00081A5A">
        <w:rPr>
          <w:i/>
        </w:rPr>
        <w:t>settlement statements</w:t>
      </w:r>
      <w:r w:rsidRPr="00081A5A">
        <w:t xml:space="preserve"> for the last </w:t>
      </w:r>
      <w:r w:rsidRPr="00081A5A">
        <w:rPr>
          <w:i/>
        </w:rPr>
        <w:t>trading day</w:t>
      </w:r>
      <w:r w:rsidRPr="00081A5A">
        <w:t xml:space="preserve"> of the month and monthly </w:t>
      </w:r>
      <w:r w:rsidRPr="00081A5A">
        <w:rPr>
          <w:i/>
        </w:rPr>
        <w:t>invoices</w:t>
      </w:r>
      <w:r>
        <w:t xml:space="preserve"> indicate</w:t>
      </w:r>
      <w:r w:rsidRPr="00081A5A">
        <w:t xml:space="preserve"> a </w:t>
      </w:r>
      <w:r w:rsidRPr="00081A5A">
        <w:rPr>
          <w:i/>
        </w:rPr>
        <w:t>charge type</w:t>
      </w:r>
      <w:r>
        <w:t xml:space="preserve"> 1425</w:t>
      </w:r>
      <w:r w:rsidRPr="00081A5A">
        <w:t xml:space="preserve"> “</w:t>
      </w:r>
      <w:r>
        <w:t>Hydroelectric Standard Offer Program Sett</w:t>
      </w:r>
      <w:r w:rsidRPr="00081A5A">
        <w:t>lement Amount”.</w:t>
      </w:r>
      <w:r w:rsidR="006253E2" w:rsidRPr="006253E2">
        <w:t xml:space="preserve"> </w:t>
      </w:r>
      <w:r w:rsidR="006253E2" w:rsidRPr="00E45DA3">
        <w:t xml:space="preserve">If any changes are required to the amounts submitted during the preliminary submission period, final adjustments can be submitted during the 11th to 14th </w:t>
      </w:r>
      <w:r w:rsidR="006253E2" w:rsidRPr="00E45DA3">
        <w:rPr>
          <w:i/>
        </w:rPr>
        <w:t>business day</w:t>
      </w:r>
      <w:r w:rsidR="006253E2" w:rsidRPr="00E45DA3">
        <w:t xml:space="preserve"> after the last </w:t>
      </w:r>
      <w:r w:rsidR="006253E2" w:rsidRPr="00E45DA3">
        <w:rPr>
          <w:i/>
        </w:rPr>
        <w:t>trading day</w:t>
      </w:r>
      <w:r w:rsidR="006253E2" w:rsidRPr="00E45DA3">
        <w:t xml:space="preserve"> of the month. The adjustments will be reflected on the </w:t>
      </w:r>
      <w:r w:rsidR="006253E2" w:rsidRPr="00E45DA3">
        <w:rPr>
          <w:i/>
        </w:rPr>
        <w:t xml:space="preserve">final settlement statement </w:t>
      </w:r>
      <w:r w:rsidR="006253E2" w:rsidRPr="00E45DA3">
        <w:t xml:space="preserve">for the last </w:t>
      </w:r>
      <w:r w:rsidR="006253E2" w:rsidRPr="00E45DA3">
        <w:rPr>
          <w:i/>
        </w:rPr>
        <w:t>trading day</w:t>
      </w:r>
      <w:r w:rsidR="006253E2" w:rsidRPr="00E45DA3">
        <w:t xml:space="preserve"> of the month. Furthermore, post final adjustments can be submitted through Online IESO for any previous settlement period. Any amount submitted as a post final adjustment will be settled on the </w:t>
      </w:r>
      <w:r w:rsidR="006253E2" w:rsidRPr="00E45DA3">
        <w:rPr>
          <w:i/>
        </w:rPr>
        <w:t>preliminary settlement statement</w:t>
      </w:r>
      <w:r w:rsidR="006253E2" w:rsidRPr="00E45DA3">
        <w:t xml:space="preserve"> for the last </w:t>
      </w:r>
      <w:r w:rsidR="006253E2" w:rsidRPr="00E45DA3">
        <w:rPr>
          <w:i/>
        </w:rPr>
        <w:t>trading day</w:t>
      </w:r>
      <w:r w:rsidR="006253E2" w:rsidRPr="00E45DA3">
        <w:t xml:space="preserve"> of the current settlement month.</w:t>
      </w:r>
    </w:p>
    <w:p w14:paraId="5EB90D28" w14:textId="77777777" w:rsidR="00F66158" w:rsidRPr="00F66158" w:rsidRDefault="00F66158" w:rsidP="00F66158">
      <w:pPr>
        <w:spacing w:before="120" w:after="120"/>
      </w:pPr>
      <w:r w:rsidRPr="00081A5A">
        <w:t xml:space="preserve">The corresponding setoff, </w:t>
      </w:r>
      <w:r w:rsidRPr="00081A5A">
        <w:rPr>
          <w:i/>
        </w:rPr>
        <w:t>charge type</w:t>
      </w:r>
      <w:r>
        <w:t xml:space="preserve"> 1475</w:t>
      </w:r>
      <w:r w:rsidRPr="00081A5A">
        <w:t xml:space="preserve"> “</w:t>
      </w:r>
      <w:r>
        <w:t>Hydroelectric Standard Offer Program Balancing Amount</w:t>
      </w:r>
      <w:r w:rsidRPr="00081A5A">
        <w:t>”, is entered as a manual line item on the</w:t>
      </w:r>
      <w:r>
        <w:t xml:space="preserve"> IESO’s</w:t>
      </w:r>
      <w:r w:rsidRPr="00081A5A">
        <w:rPr>
          <w:i/>
        </w:rPr>
        <w:t xml:space="preserve"> settlement statements</w:t>
      </w:r>
      <w:r w:rsidRPr="00081A5A">
        <w:t xml:space="preserve"> for the last </w:t>
      </w:r>
      <w:r w:rsidRPr="00081A5A">
        <w:rPr>
          <w:i/>
        </w:rPr>
        <w:t>trading day</w:t>
      </w:r>
      <w:r w:rsidRPr="00081A5A">
        <w:t xml:space="preserve"> of the month to balance the market.</w:t>
      </w:r>
    </w:p>
    <w:p w14:paraId="7C3A93B1" w14:textId="77777777" w:rsidR="009E58A0" w:rsidRPr="002F65C1" w:rsidRDefault="00BB2C62" w:rsidP="009E58A0">
      <w:pPr>
        <w:pStyle w:val="Heading3"/>
      </w:pPr>
      <w:bookmarkStart w:id="469" w:name="_Toc253141700"/>
      <w:bookmarkStart w:id="470" w:name="_Toc253559325"/>
      <w:bookmarkStart w:id="471" w:name="_Toc253564775"/>
      <w:bookmarkStart w:id="472" w:name="_Toc253647846"/>
      <w:bookmarkStart w:id="473" w:name="_Toc175383898"/>
      <w:bookmarkStart w:id="474" w:name="_Toc400369515"/>
      <w:bookmarkStart w:id="475" w:name="_Toc35796341"/>
      <w:bookmarkStart w:id="476" w:name="_Toc79657943"/>
      <w:bookmarkEnd w:id="469"/>
      <w:bookmarkEnd w:id="470"/>
      <w:bookmarkEnd w:id="471"/>
      <w:bookmarkEnd w:id="472"/>
      <w:r w:rsidRPr="00BB2C62">
        <w:t>CMSC Adjustment for Replacement Offer Events</w:t>
      </w:r>
      <w:bookmarkEnd w:id="473"/>
      <w:bookmarkEnd w:id="474"/>
      <w:bookmarkEnd w:id="475"/>
      <w:bookmarkEnd w:id="476"/>
    </w:p>
    <w:p w14:paraId="6E40D72C" w14:textId="77777777" w:rsidR="00BB2C62" w:rsidRPr="00230EE7" w:rsidRDefault="00BB2C62" w:rsidP="00BB2C62">
      <w:pPr>
        <w:pStyle w:val="BodyText"/>
        <w:rPr>
          <w:lang w:val="en-CA"/>
        </w:rPr>
      </w:pPr>
      <w:r w:rsidRPr="007A1853">
        <w:rPr>
          <w:i/>
          <w:lang w:val="en-CA"/>
        </w:rPr>
        <w:t>Generators</w:t>
      </w:r>
      <w:r w:rsidRPr="00230EE7">
        <w:rPr>
          <w:lang w:val="en-CA"/>
        </w:rPr>
        <w:t xml:space="preserve"> who experience a </w:t>
      </w:r>
      <w:r w:rsidRPr="007A1853">
        <w:rPr>
          <w:i/>
          <w:lang w:val="en-CA"/>
        </w:rPr>
        <w:t>forced outage</w:t>
      </w:r>
      <w:r w:rsidRPr="00230EE7">
        <w:rPr>
          <w:lang w:val="en-CA"/>
        </w:rPr>
        <w:t xml:space="preserve"> at a hydroelectric </w:t>
      </w:r>
      <w:r w:rsidR="00DA3379" w:rsidRPr="00DA3379">
        <w:rPr>
          <w:i/>
          <w:lang w:val="en-CA"/>
        </w:rPr>
        <w:t>generation facility</w:t>
      </w:r>
      <w:r w:rsidRPr="00230EE7">
        <w:rPr>
          <w:lang w:val="en-CA"/>
        </w:rPr>
        <w:t xml:space="preserve"> or who experience a </w:t>
      </w:r>
      <w:r w:rsidRPr="007A1853">
        <w:rPr>
          <w:i/>
          <w:lang w:val="en-CA"/>
        </w:rPr>
        <w:t>forced outage</w:t>
      </w:r>
      <w:r w:rsidRPr="00230EE7">
        <w:rPr>
          <w:lang w:val="en-CA"/>
        </w:rPr>
        <w:t xml:space="preserve"> of a gas turbine at a combined cycle </w:t>
      </w:r>
      <w:r w:rsidR="00DA3379" w:rsidRPr="00DA3379">
        <w:rPr>
          <w:i/>
          <w:lang w:val="en-CA"/>
        </w:rPr>
        <w:t>generation facility</w:t>
      </w:r>
      <w:r w:rsidRPr="00230EE7">
        <w:rPr>
          <w:lang w:val="en-CA"/>
        </w:rPr>
        <w:t xml:space="preserve">, an </w:t>
      </w:r>
      <w:r w:rsidRPr="007A1853">
        <w:rPr>
          <w:i/>
          <w:lang w:val="en-CA"/>
        </w:rPr>
        <w:t>enhanced combined cycle facility</w:t>
      </w:r>
      <w:r w:rsidRPr="00230EE7">
        <w:rPr>
          <w:lang w:val="en-CA"/>
        </w:rPr>
        <w:t xml:space="preserve">, or a </w:t>
      </w:r>
      <w:r w:rsidR="00DA3379" w:rsidRPr="00DA3379">
        <w:rPr>
          <w:i/>
          <w:lang w:val="en-CA"/>
        </w:rPr>
        <w:t>cogeneration facility</w:t>
      </w:r>
      <w:r w:rsidRPr="00230EE7">
        <w:rPr>
          <w:lang w:val="en-CA"/>
        </w:rPr>
        <w:t xml:space="preserve"> are allowed to submit revised </w:t>
      </w:r>
      <w:r w:rsidRPr="00251A7A">
        <w:rPr>
          <w:i/>
          <w:lang w:val="en-CA"/>
        </w:rPr>
        <w:t>dispatch data</w:t>
      </w:r>
      <w:r w:rsidRPr="00230EE7">
        <w:rPr>
          <w:lang w:val="en-CA"/>
        </w:rPr>
        <w:t xml:space="preserve"> for a related </w:t>
      </w:r>
      <w:r w:rsidRPr="007A1853">
        <w:rPr>
          <w:i/>
          <w:lang w:val="en-CA"/>
        </w:rPr>
        <w:t>generation facility</w:t>
      </w:r>
      <w:r w:rsidRPr="00230EE7">
        <w:rPr>
          <w:lang w:val="en-CA"/>
        </w:rPr>
        <w:t xml:space="preserve">. </w:t>
      </w:r>
      <w:r w:rsidR="001C2A68">
        <w:rPr>
          <w:lang w:val="en-CA"/>
        </w:rPr>
        <w:t xml:space="preserve"> </w:t>
      </w:r>
      <w:r w:rsidR="00490C90">
        <w:rPr>
          <w:lang w:val="en-CA"/>
        </w:rPr>
        <w:t>We expect to receive r</w:t>
      </w:r>
      <w:r w:rsidRPr="00230EE7">
        <w:rPr>
          <w:lang w:val="en-CA"/>
        </w:rPr>
        <w:t xml:space="preserve">evised </w:t>
      </w:r>
      <w:r w:rsidRPr="00251A7A">
        <w:rPr>
          <w:i/>
          <w:lang w:val="en-CA"/>
        </w:rPr>
        <w:t>dispatch data</w:t>
      </w:r>
      <w:r w:rsidRPr="00230EE7">
        <w:rPr>
          <w:lang w:val="en-CA"/>
        </w:rPr>
        <w:t xml:space="preserve"> for the next </w:t>
      </w:r>
      <w:r w:rsidRPr="007A1853">
        <w:rPr>
          <w:i/>
          <w:lang w:val="en-CA"/>
        </w:rPr>
        <w:t>dispatch hour</w:t>
      </w:r>
      <w:r w:rsidRPr="00230EE7">
        <w:rPr>
          <w:lang w:val="en-CA"/>
        </w:rPr>
        <w:t xml:space="preserve">. </w:t>
      </w:r>
      <w:r>
        <w:rPr>
          <w:lang w:val="en-CA"/>
        </w:rPr>
        <w:t xml:space="preserve"> </w:t>
      </w:r>
      <w:r w:rsidRPr="00230EE7">
        <w:rPr>
          <w:lang w:val="en-CA"/>
        </w:rPr>
        <w:t xml:space="preserve">In some </w:t>
      </w:r>
      <w:r>
        <w:rPr>
          <w:lang w:val="en-CA"/>
        </w:rPr>
        <w:t>instances,</w:t>
      </w:r>
      <w:r w:rsidRPr="00230EE7">
        <w:rPr>
          <w:lang w:val="en-CA"/>
        </w:rPr>
        <w:t xml:space="preserve"> the revised </w:t>
      </w:r>
      <w:r w:rsidRPr="00251A7A">
        <w:rPr>
          <w:i/>
          <w:lang w:val="en-CA"/>
        </w:rPr>
        <w:t>dispatch data</w:t>
      </w:r>
      <w:r w:rsidRPr="00230EE7">
        <w:rPr>
          <w:lang w:val="en-CA"/>
        </w:rPr>
        <w:t xml:space="preserve"> </w:t>
      </w:r>
      <w:r>
        <w:rPr>
          <w:lang w:val="en-CA"/>
        </w:rPr>
        <w:t>will not</w:t>
      </w:r>
      <w:r w:rsidRPr="00230EE7">
        <w:rPr>
          <w:lang w:val="en-CA"/>
        </w:rPr>
        <w:t xml:space="preserve"> be effective until the subsequent </w:t>
      </w:r>
      <w:r w:rsidRPr="007A1853">
        <w:rPr>
          <w:i/>
          <w:lang w:val="en-CA"/>
        </w:rPr>
        <w:t>dispatch hour</w:t>
      </w:r>
      <w:r w:rsidRPr="00230EE7">
        <w:rPr>
          <w:lang w:val="en-CA"/>
        </w:rPr>
        <w:t xml:space="preserve"> if the </w:t>
      </w:r>
      <w:r w:rsidRPr="007A1853">
        <w:rPr>
          <w:i/>
          <w:lang w:val="en-CA"/>
        </w:rPr>
        <w:t>forced outage</w:t>
      </w:r>
      <w:r w:rsidRPr="00230EE7">
        <w:rPr>
          <w:lang w:val="en-CA"/>
        </w:rPr>
        <w:t xml:space="preserve"> occurs too near the end of the current </w:t>
      </w:r>
      <w:r w:rsidRPr="007A1853">
        <w:rPr>
          <w:i/>
          <w:lang w:val="en-CA"/>
        </w:rPr>
        <w:t>dispatch hour</w:t>
      </w:r>
      <w:r w:rsidRPr="00230EE7">
        <w:rPr>
          <w:lang w:val="en-CA"/>
        </w:rPr>
        <w:t xml:space="preserve"> to meet timelines for </w:t>
      </w:r>
      <w:r w:rsidRPr="00251A7A">
        <w:rPr>
          <w:i/>
          <w:lang w:val="en-CA"/>
        </w:rPr>
        <w:t>dispatch data</w:t>
      </w:r>
      <w:r w:rsidRPr="00230EE7">
        <w:rPr>
          <w:lang w:val="en-CA"/>
        </w:rPr>
        <w:t xml:space="preserve"> submission.</w:t>
      </w:r>
    </w:p>
    <w:p w14:paraId="488BA626" w14:textId="77777777" w:rsidR="00BB2C62" w:rsidRPr="00230EE7" w:rsidRDefault="00BB2C62" w:rsidP="00BB2C62">
      <w:pPr>
        <w:pStyle w:val="BodyText"/>
        <w:rPr>
          <w:lang w:val="en-CA"/>
        </w:rPr>
      </w:pPr>
      <w:r w:rsidRPr="00230EE7">
        <w:rPr>
          <w:lang w:val="en-CA"/>
        </w:rPr>
        <w:t xml:space="preserve">In the interim period before the revised </w:t>
      </w:r>
      <w:r w:rsidRPr="00251A7A">
        <w:rPr>
          <w:i/>
          <w:lang w:val="en-CA"/>
        </w:rPr>
        <w:t>dispatch data</w:t>
      </w:r>
      <w:r w:rsidRPr="00230EE7">
        <w:rPr>
          <w:lang w:val="en-CA"/>
        </w:rPr>
        <w:t xml:space="preserve"> is processed by market systems, </w:t>
      </w:r>
      <w:r>
        <w:rPr>
          <w:lang w:val="en-CA"/>
        </w:rPr>
        <w:t>we</w:t>
      </w:r>
      <w:r w:rsidRPr="00230EE7">
        <w:rPr>
          <w:lang w:val="en-CA"/>
        </w:rPr>
        <w:t xml:space="preserve"> must accept the replacement </w:t>
      </w:r>
      <w:r w:rsidR="00DA3379" w:rsidRPr="00DA3379">
        <w:rPr>
          <w:i/>
          <w:lang w:val="en-CA"/>
        </w:rPr>
        <w:t>energy</w:t>
      </w:r>
      <w:r w:rsidRPr="00230EE7">
        <w:rPr>
          <w:lang w:val="en-CA"/>
        </w:rPr>
        <w:t xml:space="preserve"> from the related </w:t>
      </w:r>
      <w:r w:rsidRPr="007A1853">
        <w:rPr>
          <w:i/>
          <w:lang w:val="en-CA"/>
        </w:rPr>
        <w:t>generation facility</w:t>
      </w:r>
      <w:r w:rsidRPr="00230EE7">
        <w:rPr>
          <w:lang w:val="en-CA"/>
        </w:rPr>
        <w:t xml:space="preserve"> for the </w:t>
      </w:r>
      <w:r w:rsidRPr="007A1853">
        <w:rPr>
          <w:i/>
          <w:lang w:val="en-CA"/>
        </w:rPr>
        <w:t xml:space="preserve">facility </w:t>
      </w:r>
      <w:r w:rsidRPr="007A1853">
        <w:rPr>
          <w:lang w:val="en-CA"/>
        </w:rPr>
        <w:t>t</w:t>
      </w:r>
      <w:r w:rsidRPr="00230EE7">
        <w:rPr>
          <w:lang w:val="en-CA"/>
        </w:rPr>
        <w:t xml:space="preserve">hat has been forced out, provided there is no adverse impact on the </w:t>
      </w:r>
      <w:r w:rsidRPr="00711925">
        <w:rPr>
          <w:i/>
          <w:lang w:val="en-CA"/>
        </w:rPr>
        <w:t>reliability</w:t>
      </w:r>
      <w:r w:rsidRPr="00230EE7">
        <w:rPr>
          <w:lang w:val="en-CA"/>
        </w:rPr>
        <w:t xml:space="preserve"> of the </w:t>
      </w:r>
      <w:r w:rsidRPr="007A1853">
        <w:rPr>
          <w:i/>
          <w:lang w:val="en-CA"/>
        </w:rPr>
        <w:t>IESO-controlled grid</w:t>
      </w:r>
      <w:r w:rsidRPr="00230EE7">
        <w:rPr>
          <w:lang w:val="en-CA"/>
        </w:rPr>
        <w:t xml:space="preserve">. </w:t>
      </w:r>
      <w:r>
        <w:rPr>
          <w:lang w:val="en-CA"/>
        </w:rPr>
        <w:t xml:space="preserve"> </w:t>
      </w:r>
      <w:r w:rsidRPr="00230EE7">
        <w:rPr>
          <w:lang w:val="en-CA"/>
        </w:rPr>
        <w:t xml:space="preserve">The replacement </w:t>
      </w:r>
      <w:r w:rsidR="00DA3379" w:rsidRPr="00DA3379">
        <w:rPr>
          <w:i/>
          <w:lang w:val="en-CA"/>
        </w:rPr>
        <w:t>energy</w:t>
      </w:r>
      <w:r w:rsidRPr="00230EE7">
        <w:rPr>
          <w:lang w:val="en-CA"/>
        </w:rPr>
        <w:t xml:space="preserve"> is limited to the original </w:t>
      </w:r>
      <w:r w:rsidRPr="007A1853">
        <w:rPr>
          <w:i/>
          <w:lang w:val="en-CA"/>
        </w:rPr>
        <w:t>energy</w:t>
      </w:r>
      <w:r w:rsidRPr="00230EE7">
        <w:rPr>
          <w:lang w:val="en-CA"/>
        </w:rPr>
        <w:t xml:space="preserve"> as scheduled for the </w:t>
      </w:r>
      <w:r w:rsidRPr="007A1853">
        <w:rPr>
          <w:i/>
          <w:lang w:val="en-CA"/>
        </w:rPr>
        <w:t>facility</w:t>
      </w:r>
      <w:r w:rsidRPr="00230EE7">
        <w:rPr>
          <w:lang w:val="en-CA"/>
        </w:rPr>
        <w:t xml:space="preserve"> experiencing the </w:t>
      </w:r>
      <w:r w:rsidRPr="007A1853">
        <w:rPr>
          <w:i/>
          <w:lang w:val="en-CA"/>
        </w:rPr>
        <w:t>forced outage</w:t>
      </w:r>
      <w:r w:rsidRPr="00230EE7">
        <w:rPr>
          <w:lang w:val="en-CA"/>
        </w:rPr>
        <w:t>.</w:t>
      </w:r>
    </w:p>
    <w:p w14:paraId="3071E0B0" w14:textId="77777777" w:rsidR="00BB2C62" w:rsidRDefault="00251A7A" w:rsidP="00F66158">
      <w:pPr>
        <w:pStyle w:val="BodyText"/>
        <w:rPr>
          <w:lang w:val="en-CA"/>
        </w:rPr>
      </w:pPr>
      <w:r w:rsidRPr="00230EE7">
        <w:rPr>
          <w:szCs w:val="22"/>
          <w:lang w:val="en-CA"/>
        </w:rPr>
        <w:t xml:space="preserve">Any congestion management </w:t>
      </w:r>
      <w:r w:rsidR="00DA3379" w:rsidRPr="00DA3379">
        <w:rPr>
          <w:i/>
          <w:szCs w:val="22"/>
          <w:lang w:val="en-CA"/>
        </w:rPr>
        <w:t>settlement</w:t>
      </w:r>
      <w:r w:rsidRPr="00230EE7">
        <w:rPr>
          <w:szCs w:val="22"/>
          <w:lang w:val="en-CA"/>
        </w:rPr>
        <w:t xml:space="preserve"> credit payments to the related </w:t>
      </w:r>
      <w:r w:rsidRPr="007A1853">
        <w:rPr>
          <w:i/>
          <w:szCs w:val="22"/>
          <w:lang w:val="en-CA"/>
        </w:rPr>
        <w:t>generation facility</w:t>
      </w:r>
      <w:r w:rsidRPr="00230EE7">
        <w:rPr>
          <w:szCs w:val="22"/>
          <w:lang w:val="en-CA"/>
        </w:rPr>
        <w:t xml:space="preserve"> during the interim period will be limited to </w:t>
      </w:r>
      <w:r>
        <w:rPr>
          <w:szCs w:val="22"/>
          <w:lang w:val="en-CA"/>
        </w:rPr>
        <w:t xml:space="preserve">an estimate of </w:t>
      </w:r>
      <w:r w:rsidRPr="00230EE7">
        <w:rPr>
          <w:szCs w:val="22"/>
          <w:lang w:val="en-CA"/>
        </w:rPr>
        <w:t xml:space="preserve">what would have been received by the </w:t>
      </w:r>
      <w:r w:rsidRPr="007A1853">
        <w:rPr>
          <w:i/>
          <w:szCs w:val="22"/>
          <w:lang w:val="en-CA"/>
        </w:rPr>
        <w:t>generation facility</w:t>
      </w:r>
      <w:r w:rsidRPr="00230EE7">
        <w:rPr>
          <w:szCs w:val="22"/>
          <w:lang w:val="en-CA"/>
        </w:rPr>
        <w:t xml:space="preserve"> experiencing the </w:t>
      </w:r>
      <w:r w:rsidRPr="007A1853">
        <w:rPr>
          <w:i/>
          <w:szCs w:val="22"/>
          <w:lang w:val="en-CA"/>
        </w:rPr>
        <w:t>forced outage</w:t>
      </w:r>
      <w:r w:rsidR="00433659">
        <w:rPr>
          <w:rStyle w:val="FootnoteReference"/>
          <w:i/>
          <w:szCs w:val="22"/>
          <w:lang w:val="en-CA"/>
        </w:rPr>
        <w:footnoteReference w:id="32"/>
      </w:r>
      <w:r w:rsidRPr="00230EE7">
        <w:rPr>
          <w:szCs w:val="22"/>
          <w:lang w:val="en-CA"/>
        </w:rPr>
        <w:t>.</w:t>
      </w:r>
      <w:r w:rsidR="00BB2C62">
        <w:rPr>
          <w:lang w:val="en-CA"/>
        </w:rPr>
        <w:t>We</w:t>
      </w:r>
      <w:r w:rsidR="00BB2C62" w:rsidRPr="00230EE7">
        <w:rPr>
          <w:lang w:val="en-CA"/>
        </w:rPr>
        <w:t xml:space="preserve"> take the following steps in </w:t>
      </w:r>
      <w:r w:rsidR="00BB2C62">
        <w:t xml:space="preserve">estimating the amount of CMSC that would have been received by the </w:t>
      </w:r>
      <w:r w:rsidR="00BB2C62" w:rsidRPr="007A1853">
        <w:rPr>
          <w:i/>
        </w:rPr>
        <w:t>facility</w:t>
      </w:r>
      <w:r w:rsidR="00BB2C62">
        <w:t xml:space="preserve"> experiencing the </w:t>
      </w:r>
      <w:r w:rsidR="00BB2C62" w:rsidRPr="007A1853">
        <w:rPr>
          <w:i/>
        </w:rPr>
        <w:t>forced outage</w:t>
      </w:r>
      <w:r w:rsidR="00BB2C62">
        <w:t xml:space="preserve"> and in applying the CMSC adjustments during a replacement offer event</w:t>
      </w:r>
      <w:r w:rsidR="003001D0">
        <w:t>.</w:t>
      </w:r>
    </w:p>
    <w:p w14:paraId="1BC59476" w14:textId="77777777" w:rsidR="00C80642" w:rsidRDefault="00C80642" w:rsidP="003853C6">
      <w:pPr>
        <w:numPr>
          <w:ilvl w:val="0"/>
          <w:numId w:val="31"/>
        </w:numPr>
        <w:autoSpaceDE w:val="0"/>
        <w:autoSpaceDN w:val="0"/>
        <w:adjustRightInd w:val="0"/>
        <w:spacing w:before="60" w:after="60"/>
        <w:rPr>
          <w:szCs w:val="22"/>
          <w:lang w:val="en-CA"/>
        </w:rPr>
      </w:pPr>
      <w:r>
        <w:rPr>
          <w:szCs w:val="22"/>
          <w:lang w:val="en-CA"/>
        </w:rPr>
        <w:t>Determine the ‘reference interval’.</w:t>
      </w:r>
    </w:p>
    <w:p w14:paraId="05DD2227" w14:textId="77777777" w:rsidR="00C80642" w:rsidRPr="00334AB6" w:rsidRDefault="00C80642" w:rsidP="00C80642">
      <w:pPr>
        <w:autoSpaceDE w:val="0"/>
        <w:autoSpaceDN w:val="0"/>
        <w:adjustRightInd w:val="0"/>
        <w:spacing w:before="60" w:after="60"/>
        <w:ind w:left="360"/>
        <w:rPr>
          <w:szCs w:val="22"/>
          <w:lang w:val="en-CA"/>
        </w:rPr>
      </w:pPr>
      <w:r>
        <w:rPr>
          <w:szCs w:val="22"/>
          <w:lang w:val="en-CA"/>
        </w:rPr>
        <w:t xml:space="preserve">The reference interval is the </w:t>
      </w:r>
      <w:r w:rsidRPr="00334AB6">
        <w:rPr>
          <w:szCs w:val="22"/>
          <w:lang w:val="en-CA"/>
        </w:rPr>
        <w:t xml:space="preserve">interval during a replacement offer event </w:t>
      </w:r>
      <w:r>
        <w:rPr>
          <w:szCs w:val="22"/>
          <w:lang w:val="en-CA"/>
        </w:rPr>
        <w:t xml:space="preserve">immediately before the interval </w:t>
      </w:r>
      <w:r w:rsidRPr="00334AB6">
        <w:rPr>
          <w:szCs w:val="22"/>
          <w:lang w:val="en-CA"/>
        </w:rPr>
        <w:t>where:</w:t>
      </w:r>
    </w:p>
    <w:p w14:paraId="0F73D6E3" w14:textId="77777777" w:rsidR="00C80642" w:rsidRPr="00334AB6" w:rsidRDefault="00726B5C" w:rsidP="003853C6">
      <w:pPr>
        <w:numPr>
          <w:ilvl w:val="0"/>
          <w:numId w:val="32"/>
        </w:numPr>
        <w:tabs>
          <w:tab w:val="clear" w:pos="720"/>
        </w:tabs>
        <w:autoSpaceDE w:val="0"/>
        <w:autoSpaceDN w:val="0"/>
        <w:adjustRightInd w:val="0"/>
        <w:spacing w:before="60" w:after="60"/>
        <w:rPr>
          <w:szCs w:val="22"/>
          <w:lang w:val="en-CA"/>
        </w:rPr>
      </w:pPr>
      <w:r>
        <w:rPr>
          <w:szCs w:val="22"/>
          <w:lang w:val="en-CA"/>
        </w:rPr>
        <w:t>t</w:t>
      </w:r>
      <w:r w:rsidRPr="00334AB6">
        <w:rPr>
          <w:szCs w:val="22"/>
          <w:lang w:val="en-CA"/>
        </w:rPr>
        <w:t xml:space="preserve">he </w:t>
      </w:r>
      <w:r w:rsidR="00C80642" w:rsidRPr="007A1853">
        <w:rPr>
          <w:i/>
          <w:szCs w:val="22"/>
          <w:lang w:val="en-CA"/>
        </w:rPr>
        <w:t>market schedule</w:t>
      </w:r>
      <w:r w:rsidR="00C80642" w:rsidRPr="00334AB6">
        <w:rPr>
          <w:szCs w:val="22"/>
          <w:lang w:val="en-CA"/>
        </w:rPr>
        <w:t xml:space="preserve"> or the constrained schedule declines in response to the failure of the original </w:t>
      </w:r>
      <w:r w:rsidR="00C80642" w:rsidRPr="007A1853">
        <w:rPr>
          <w:i/>
          <w:szCs w:val="22"/>
          <w:lang w:val="en-CA"/>
        </w:rPr>
        <w:t>generation facility</w:t>
      </w:r>
      <w:r w:rsidR="00C80642" w:rsidRPr="00334AB6">
        <w:rPr>
          <w:szCs w:val="22"/>
          <w:lang w:val="en-CA"/>
        </w:rPr>
        <w:t>; or</w:t>
      </w:r>
    </w:p>
    <w:p w14:paraId="6A077617" w14:textId="77777777" w:rsidR="00C80642" w:rsidRPr="00334AB6" w:rsidRDefault="00726B5C" w:rsidP="003853C6">
      <w:pPr>
        <w:numPr>
          <w:ilvl w:val="0"/>
          <w:numId w:val="32"/>
        </w:numPr>
        <w:tabs>
          <w:tab w:val="clear" w:pos="720"/>
        </w:tabs>
        <w:autoSpaceDE w:val="0"/>
        <w:autoSpaceDN w:val="0"/>
        <w:adjustRightInd w:val="0"/>
        <w:spacing w:before="60" w:after="60"/>
        <w:rPr>
          <w:szCs w:val="22"/>
          <w:lang w:val="en-CA"/>
        </w:rPr>
      </w:pPr>
      <w:r>
        <w:rPr>
          <w:szCs w:val="22"/>
          <w:lang w:val="en-CA"/>
        </w:rPr>
        <w:t>t</w:t>
      </w:r>
      <w:r w:rsidRPr="00334AB6">
        <w:rPr>
          <w:szCs w:val="22"/>
          <w:lang w:val="en-CA"/>
        </w:rPr>
        <w:t xml:space="preserve">he </w:t>
      </w:r>
      <w:r w:rsidR="00C80642">
        <w:rPr>
          <w:szCs w:val="22"/>
          <w:lang w:val="en-CA"/>
        </w:rPr>
        <w:t xml:space="preserve">related </w:t>
      </w:r>
      <w:r w:rsidR="00C80642" w:rsidRPr="007A1853">
        <w:rPr>
          <w:i/>
          <w:szCs w:val="22"/>
          <w:lang w:val="en-CA"/>
        </w:rPr>
        <w:t>generation facility</w:t>
      </w:r>
      <w:r w:rsidR="00C80642" w:rsidRPr="00334AB6">
        <w:rPr>
          <w:szCs w:val="22"/>
          <w:lang w:val="en-CA"/>
        </w:rPr>
        <w:t xml:space="preserve"> is constrained</w:t>
      </w:r>
      <w:r w:rsidR="00CB36D9">
        <w:rPr>
          <w:szCs w:val="22"/>
          <w:lang w:val="en-CA"/>
        </w:rPr>
        <w:t xml:space="preserve"> </w:t>
      </w:r>
      <w:r w:rsidR="00C80642" w:rsidRPr="00334AB6">
        <w:rPr>
          <w:szCs w:val="22"/>
          <w:lang w:val="en-CA"/>
        </w:rPr>
        <w:t>on,</w:t>
      </w:r>
    </w:p>
    <w:p w14:paraId="3B4A2FF7" w14:textId="77777777" w:rsidR="00C80642" w:rsidRPr="00334AB6" w:rsidRDefault="00A82579" w:rsidP="00C80642">
      <w:pPr>
        <w:autoSpaceDE w:val="0"/>
        <w:autoSpaceDN w:val="0"/>
        <w:adjustRightInd w:val="0"/>
        <w:spacing w:before="60" w:after="60"/>
        <w:ind w:left="360"/>
        <w:rPr>
          <w:szCs w:val="22"/>
          <w:lang w:val="en-CA"/>
        </w:rPr>
      </w:pPr>
      <w:r>
        <w:rPr>
          <w:szCs w:val="22"/>
          <w:lang w:val="en-CA"/>
        </w:rPr>
        <w:tab/>
      </w:r>
      <w:r w:rsidR="00C80642" w:rsidRPr="00334AB6">
        <w:rPr>
          <w:szCs w:val="22"/>
          <w:lang w:val="en-CA"/>
        </w:rPr>
        <w:t>whichever comes first.</w:t>
      </w:r>
    </w:p>
    <w:p w14:paraId="281EE7E1" w14:textId="77777777" w:rsidR="00C80642" w:rsidRPr="00334AB6" w:rsidRDefault="00C80642" w:rsidP="003853C6">
      <w:pPr>
        <w:numPr>
          <w:ilvl w:val="0"/>
          <w:numId w:val="31"/>
        </w:numPr>
        <w:autoSpaceDE w:val="0"/>
        <w:autoSpaceDN w:val="0"/>
        <w:adjustRightInd w:val="0"/>
        <w:spacing w:before="60" w:after="60"/>
        <w:rPr>
          <w:szCs w:val="22"/>
          <w:lang w:val="en-CA"/>
        </w:rPr>
      </w:pPr>
      <w:r w:rsidRPr="00334AB6">
        <w:rPr>
          <w:szCs w:val="22"/>
          <w:lang w:val="en-CA"/>
        </w:rPr>
        <w:t>Determine the ‘CMSC limit’</w:t>
      </w:r>
      <w:r>
        <w:rPr>
          <w:szCs w:val="22"/>
          <w:lang w:val="en-CA"/>
        </w:rPr>
        <w:t>.</w:t>
      </w:r>
    </w:p>
    <w:p w14:paraId="44B271B6" w14:textId="77777777" w:rsidR="00C80642" w:rsidRDefault="00C80642" w:rsidP="00C80642">
      <w:pPr>
        <w:autoSpaceDE w:val="0"/>
        <w:autoSpaceDN w:val="0"/>
        <w:adjustRightInd w:val="0"/>
        <w:spacing w:before="60" w:after="60"/>
        <w:ind w:left="360"/>
        <w:rPr>
          <w:szCs w:val="22"/>
          <w:lang w:val="en-CA"/>
        </w:rPr>
      </w:pPr>
      <w:r>
        <w:rPr>
          <w:szCs w:val="22"/>
          <w:lang w:val="en-CA"/>
        </w:rPr>
        <w:t>The CMSC limit is the t</w:t>
      </w:r>
      <w:r w:rsidRPr="00334AB6">
        <w:rPr>
          <w:szCs w:val="22"/>
          <w:lang w:val="en-CA"/>
        </w:rPr>
        <w:t xml:space="preserve">otal CMSC paid to the original </w:t>
      </w:r>
      <w:r w:rsidRPr="007A1853">
        <w:rPr>
          <w:i/>
          <w:szCs w:val="22"/>
          <w:lang w:val="en-CA"/>
        </w:rPr>
        <w:t>generation facility</w:t>
      </w:r>
      <w:r w:rsidRPr="00334AB6">
        <w:rPr>
          <w:szCs w:val="22"/>
          <w:lang w:val="en-CA"/>
        </w:rPr>
        <w:t xml:space="preserve"> and t</w:t>
      </w:r>
      <w:r>
        <w:rPr>
          <w:szCs w:val="22"/>
          <w:lang w:val="en-CA"/>
        </w:rPr>
        <w:t xml:space="preserve">he related </w:t>
      </w:r>
      <w:r w:rsidRPr="007A1853">
        <w:rPr>
          <w:i/>
          <w:szCs w:val="22"/>
          <w:lang w:val="en-CA"/>
        </w:rPr>
        <w:t>generation facility</w:t>
      </w:r>
      <w:r>
        <w:rPr>
          <w:i/>
          <w:szCs w:val="22"/>
          <w:lang w:val="en-CA"/>
        </w:rPr>
        <w:t xml:space="preserve"> </w:t>
      </w:r>
      <w:r>
        <w:rPr>
          <w:szCs w:val="22"/>
          <w:lang w:val="en-CA"/>
        </w:rPr>
        <w:t>during the reference interval.</w:t>
      </w:r>
    </w:p>
    <w:p w14:paraId="0CC13E31" w14:textId="77777777" w:rsidR="00C80642" w:rsidRPr="00334AB6" w:rsidRDefault="00C80642" w:rsidP="003853C6">
      <w:pPr>
        <w:numPr>
          <w:ilvl w:val="0"/>
          <w:numId w:val="31"/>
        </w:numPr>
        <w:autoSpaceDE w:val="0"/>
        <w:autoSpaceDN w:val="0"/>
        <w:adjustRightInd w:val="0"/>
        <w:spacing w:before="60" w:after="60"/>
        <w:rPr>
          <w:szCs w:val="22"/>
          <w:lang w:val="en-CA"/>
        </w:rPr>
      </w:pPr>
      <w:r>
        <w:rPr>
          <w:szCs w:val="22"/>
          <w:lang w:val="en-CA"/>
        </w:rPr>
        <w:t xml:space="preserve">Determine the </w:t>
      </w:r>
      <w:r w:rsidRPr="00334AB6">
        <w:rPr>
          <w:szCs w:val="22"/>
          <w:lang w:val="en-CA"/>
        </w:rPr>
        <w:t>‘End of the replacement offers period’</w:t>
      </w:r>
      <w:r>
        <w:rPr>
          <w:szCs w:val="22"/>
          <w:lang w:val="en-CA"/>
        </w:rPr>
        <w:t>.</w:t>
      </w:r>
    </w:p>
    <w:p w14:paraId="6C7BA6EE" w14:textId="77777777" w:rsidR="00C80642" w:rsidRPr="00334AB6" w:rsidRDefault="00C80642" w:rsidP="00C80642">
      <w:pPr>
        <w:autoSpaceDE w:val="0"/>
        <w:autoSpaceDN w:val="0"/>
        <w:adjustRightInd w:val="0"/>
        <w:spacing w:before="60" w:after="60"/>
        <w:ind w:left="360"/>
        <w:rPr>
          <w:szCs w:val="22"/>
          <w:lang w:val="en-CA"/>
        </w:rPr>
      </w:pPr>
      <w:r>
        <w:rPr>
          <w:szCs w:val="22"/>
          <w:lang w:val="en-CA"/>
        </w:rPr>
        <w:t xml:space="preserve">The </w:t>
      </w:r>
      <w:r w:rsidRPr="00334AB6">
        <w:rPr>
          <w:szCs w:val="22"/>
          <w:lang w:val="en-CA"/>
        </w:rPr>
        <w:t xml:space="preserve">replacement offers period ends when the market tools process the revised </w:t>
      </w:r>
      <w:r w:rsidRPr="00EE341A">
        <w:rPr>
          <w:i/>
          <w:szCs w:val="22"/>
          <w:lang w:val="en-CA"/>
        </w:rPr>
        <w:t>dispatch data</w:t>
      </w:r>
      <w:r>
        <w:rPr>
          <w:szCs w:val="22"/>
          <w:lang w:val="en-CA"/>
        </w:rPr>
        <w:t xml:space="preserve">. Typically, </w:t>
      </w:r>
      <w:r w:rsidR="005C60EF">
        <w:rPr>
          <w:szCs w:val="22"/>
          <w:lang w:val="en-CA"/>
        </w:rPr>
        <w:t>we</w:t>
      </w:r>
      <w:r w:rsidRPr="00334AB6">
        <w:rPr>
          <w:szCs w:val="22"/>
          <w:lang w:val="en-CA"/>
        </w:rPr>
        <w:t xml:space="preserve"> expect</w:t>
      </w:r>
      <w:r w:rsidR="005C60EF">
        <w:rPr>
          <w:szCs w:val="22"/>
          <w:lang w:val="en-CA"/>
        </w:rPr>
        <w:t xml:space="preserve"> this</w:t>
      </w:r>
      <w:r w:rsidRPr="00334AB6">
        <w:rPr>
          <w:szCs w:val="22"/>
          <w:lang w:val="en-CA"/>
        </w:rPr>
        <w:t xml:space="preserve"> to b</w:t>
      </w:r>
      <w:r>
        <w:rPr>
          <w:szCs w:val="22"/>
          <w:lang w:val="en-CA"/>
        </w:rPr>
        <w:t xml:space="preserve">e at the end of the current </w:t>
      </w:r>
      <w:r w:rsidRPr="007A1853">
        <w:rPr>
          <w:i/>
          <w:szCs w:val="22"/>
          <w:lang w:val="en-CA"/>
        </w:rPr>
        <w:t>dispatch hour</w:t>
      </w:r>
      <w:r>
        <w:rPr>
          <w:szCs w:val="22"/>
          <w:lang w:val="en-CA"/>
        </w:rPr>
        <w:t>.  I</w:t>
      </w:r>
      <w:r w:rsidRPr="00334AB6">
        <w:rPr>
          <w:szCs w:val="22"/>
          <w:lang w:val="en-CA"/>
        </w:rPr>
        <w:t xml:space="preserve">n some instances, the </w:t>
      </w:r>
      <w:r w:rsidRPr="007A1853">
        <w:rPr>
          <w:i/>
          <w:szCs w:val="22"/>
          <w:lang w:val="en-CA"/>
        </w:rPr>
        <w:t>forced outage</w:t>
      </w:r>
      <w:r w:rsidRPr="00334AB6">
        <w:rPr>
          <w:szCs w:val="22"/>
          <w:lang w:val="en-CA"/>
        </w:rPr>
        <w:t xml:space="preserve"> occurs too near the end of the current hour to allow new </w:t>
      </w:r>
      <w:r w:rsidRPr="00711925">
        <w:rPr>
          <w:i/>
          <w:szCs w:val="22"/>
          <w:lang w:val="en-CA"/>
        </w:rPr>
        <w:t>offers</w:t>
      </w:r>
      <w:r w:rsidRPr="00334AB6">
        <w:rPr>
          <w:szCs w:val="22"/>
          <w:lang w:val="en-CA"/>
        </w:rPr>
        <w:t xml:space="preserve"> to be submitted, and the replacement offers period will extend to the end of the next </w:t>
      </w:r>
      <w:r w:rsidRPr="007A1853">
        <w:rPr>
          <w:i/>
          <w:szCs w:val="22"/>
          <w:lang w:val="en-CA"/>
        </w:rPr>
        <w:t>dispatch hour</w:t>
      </w:r>
      <w:r w:rsidR="006B2695">
        <w:rPr>
          <w:i/>
          <w:szCs w:val="22"/>
          <w:lang w:val="en-CA"/>
        </w:rPr>
        <w:t>.</w:t>
      </w:r>
    </w:p>
    <w:p w14:paraId="5EBFDD17" w14:textId="77777777" w:rsidR="00C80642" w:rsidRPr="00334AB6" w:rsidRDefault="00C80642" w:rsidP="003853C6">
      <w:pPr>
        <w:numPr>
          <w:ilvl w:val="0"/>
          <w:numId w:val="31"/>
        </w:numPr>
        <w:autoSpaceDE w:val="0"/>
        <w:autoSpaceDN w:val="0"/>
        <w:adjustRightInd w:val="0"/>
        <w:spacing w:before="60" w:after="60"/>
        <w:rPr>
          <w:szCs w:val="22"/>
          <w:lang w:val="en-CA"/>
        </w:rPr>
      </w:pPr>
      <w:r>
        <w:rPr>
          <w:szCs w:val="22"/>
          <w:lang w:val="en-CA"/>
        </w:rPr>
        <w:t>Determine the ‘CMSC paid’.</w:t>
      </w:r>
    </w:p>
    <w:p w14:paraId="0191931A" w14:textId="77777777" w:rsidR="00C80642" w:rsidRPr="00334AB6" w:rsidRDefault="00C80642" w:rsidP="00C80642">
      <w:pPr>
        <w:autoSpaceDE w:val="0"/>
        <w:autoSpaceDN w:val="0"/>
        <w:adjustRightInd w:val="0"/>
        <w:spacing w:before="60" w:after="60"/>
        <w:ind w:left="360"/>
        <w:rPr>
          <w:szCs w:val="22"/>
          <w:lang w:val="en-CA"/>
        </w:rPr>
      </w:pPr>
      <w:r>
        <w:rPr>
          <w:szCs w:val="22"/>
          <w:lang w:val="en-CA"/>
        </w:rPr>
        <w:t xml:space="preserve">The CMSC paid includes the </w:t>
      </w:r>
      <w:r w:rsidRPr="00334AB6">
        <w:rPr>
          <w:szCs w:val="22"/>
          <w:lang w:val="en-CA"/>
        </w:rPr>
        <w:t xml:space="preserve">amount of CMSC paid to the original </w:t>
      </w:r>
      <w:r w:rsidRPr="007A1853">
        <w:rPr>
          <w:i/>
          <w:szCs w:val="22"/>
          <w:lang w:val="en-CA"/>
        </w:rPr>
        <w:t>generation facility</w:t>
      </w:r>
      <w:r w:rsidRPr="00334AB6">
        <w:rPr>
          <w:szCs w:val="22"/>
          <w:lang w:val="en-CA"/>
        </w:rPr>
        <w:t xml:space="preserve"> and the </w:t>
      </w:r>
      <w:r>
        <w:rPr>
          <w:szCs w:val="22"/>
          <w:lang w:val="en-CA"/>
        </w:rPr>
        <w:t xml:space="preserve">amount paid to the </w:t>
      </w:r>
      <w:r w:rsidRPr="00334AB6">
        <w:rPr>
          <w:szCs w:val="22"/>
          <w:lang w:val="en-CA"/>
        </w:rPr>
        <w:t>re</w:t>
      </w:r>
      <w:r>
        <w:rPr>
          <w:szCs w:val="22"/>
          <w:lang w:val="en-CA"/>
        </w:rPr>
        <w:t xml:space="preserve">lated </w:t>
      </w:r>
      <w:r w:rsidRPr="007A1853">
        <w:rPr>
          <w:i/>
          <w:szCs w:val="22"/>
          <w:lang w:val="en-CA"/>
        </w:rPr>
        <w:t>generation facility</w:t>
      </w:r>
      <w:r w:rsidRPr="00334AB6">
        <w:rPr>
          <w:szCs w:val="22"/>
          <w:lang w:val="en-CA"/>
        </w:rPr>
        <w:t xml:space="preserve"> during each interval</w:t>
      </w:r>
      <w:r>
        <w:rPr>
          <w:szCs w:val="22"/>
          <w:lang w:val="en-CA"/>
        </w:rPr>
        <w:t xml:space="preserve"> </w:t>
      </w:r>
      <w:r w:rsidRPr="00334AB6">
        <w:rPr>
          <w:szCs w:val="22"/>
          <w:lang w:val="en-CA"/>
        </w:rPr>
        <w:t xml:space="preserve">from the </w:t>
      </w:r>
      <w:r>
        <w:rPr>
          <w:szCs w:val="22"/>
          <w:lang w:val="en-CA"/>
        </w:rPr>
        <w:t>first interval after the reference interval</w:t>
      </w:r>
      <w:r w:rsidRPr="00334AB6">
        <w:rPr>
          <w:szCs w:val="22"/>
          <w:lang w:val="en-CA"/>
        </w:rPr>
        <w:t xml:space="preserve"> until </w:t>
      </w:r>
      <w:r>
        <w:rPr>
          <w:szCs w:val="22"/>
          <w:lang w:val="en-CA"/>
        </w:rPr>
        <w:t xml:space="preserve">the </w:t>
      </w:r>
      <w:r w:rsidRPr="00334AB6">
        <w:rPr>
          <w:szCs w:val="22"/>
          <w:lang w:val="en-CA"/>
        </w:rPr>
        <w:t>end o</w:t>
      </w:r>
      <w:r>
        <w:rPr>
          <w:szCs w:val="22"/>
          <w:lang w:val="en-CA"/>
        </w:rPr>
        <w:t>f the replacement offers period.</w:t>
      </w:r>
    </w:p>
    <w:p w14:paraId="48C4F475" w14:textId="77777777" w:rsidR="00BB2C62" w:rsidRPr="00A945B5" w:rsidRDefault="00BB2C62" w:rsidP="003853C6">
      <w:pPr>
        <w:pStyle w:val="TableBullet"/>
        <w:numPr>
          <w:ilvl w:val="0"/>
          <w:numId w:val="25"/>
        </w:numPr>
      </w:pPr>
      <w:r w:rsidRPr="00A945B5">
        <w:t>Calculate and apply the CMSC adjustment.</w:t>
      </w:r>
    </w:p>
    <w:p w14:paraId="46E30632" w14:textId="77777777" w:rsidR="00251A7A" w:rsidRDefault="00251A7A" w:rsidP="00251A7A">
      <w:pPr>
        <w:autoSpaceDE w:val="0"/>
        <w:autoSpaceDN w:val="0"/>
        <w:adjustRightInd w:val="0"/>
        <w:spacing w:before="60" w:after="60"/>
        <w:ind w:left="360"/>
        <w:rPr>
          <w:szCs w:val="22"/>
          <w:lang w:val="en-CA"/>
        </w:rPr>
      </w:pPr>
      <w:r>
        <w:rPr>
          <w:szCs w:val="22"/>
          <w:lang w:val="en-CA"/>
        </w:rPr>
        <w:t xml:space="preserve">The CMSC adjustment in each interval </w:t>
      </w:r>
      <w:r w:rsidR="005C60EF">
        <w:rPr>
          <w:szCs w:val="22"/>
          <w:lang w:val="en-CA"/>
        </w:rPr>
        <w:t>is</w:t>
      </w:r>
      <w:r>
        <w:rPr>
          <w:szCs w:val="22"/>
          <w:lang w:val="en-CA"/>
        </w:rPr>
        <w:t xml:space="preserve"> the difference between the </w:t>
      </w:r>
      <w:r w:rsidRPr="00E70DF9">
        <w:rPr>
          <w:szCs w:val="22"/>
          <w:lang w:val="en-CA"/>
        </w:rPr>
        <w:t>‘CMSC paid’ and ‘CMSC limit’</w:t>
      </w:r>
      <w:r>
        <w:rPr>
          <w:szCs w:val="22"/>
          <w:lang w:val="en-CA"/>
        </w:rPr>
        <w:t xml:space="preserve"> during the replacement offer event according to:</w:t>
      </w:r>
    </w:p>
    <w:p w14:paraId="0E717B5E" w14:textId="77777777" w:rsidR="00251A7A" w:rsidRDefault="00251A7A" w:rsidP="00251A7A">
      <w:pPr>
        <w:autoSpaceDE w:val="0"/>
        <w:autoSpaceDN w:val="0"/>
        <w:adjustRightInd w:val="0"/>
        <w:spacing w:before="60" w:after="60"/>
        <w:ind w:left="360"/>
        <w:rPr>
          <w:szCs w:val="22"/>
          <w:lang w:val="en-CA"/>
        </w:rPr>
      </w:pPr>
      <w:r>
        <w:rPr>
          <w:szCs w:val="22"/>
          <w:lang w:val="en-CA"/>
        </w:rPr>
        <w:t>CMSC (adj) = Min (0, - (CMSC paid – CMSC limit))</w:t>
      </w:r>
    </w:p>
    <w:p w14:paraId="32967867" w14:textId="77777777" w:rsidR="00251A7A" w:rsidRDefault="003001D0" w:rsidP="003C167E">
      <w:pPr>
        <w:pStyle w:val="ListNumber2"/>
        <w:numPr>
          <w:ilvl w:val="0"/>
          <w:numId w:val="4"/>
        </w:numPr>
        <w:spacing w:before="120"/>
        <w:rPr>
          <w:lang w:val="en-CA"/>
        </w:rPr>
      </w:pPr>
      <w:r>
        <w:rPr>
          <w:lang w:val="en-CA"/>
        </w:rPr>
        <w:t xml:space="preserve">when </w:t>
      </w:r>
      <w:r w:rsidR="00251A7A">
        <w:rPr>
          <w:lang w:val="en-CA"/>
        </w:rPr>
        <w:t>‘CMSC paid’ &gt; ‘CMSC limit’, then the difference is clawed back;</w:t>
      </w:r>
    </w:p>
    <w:p w14:paraId="5195C42F" w14:textId="77777777" w:rsidR="00251A7A" w:rsidRDefault="003001D0" w:rsidP="003853C6">
      <w:pPr>
        <w:pStyle w:val="ListNumber2"/>
        <w:numPr>
          <w:ilvl w:val="0"/>
          <w:numId w:val="4"/>
        </w:numPr>
        <w:rPr>
          <w:lang w:val="en-CA"/>
        </w:rPr>
      </w:pPr>
      <w:r>
        <w:rPr>
          <w:lang w:val="en-CA"/>
        </w:rPr>
        <w:t xml:space="preserve">when </w:t>
      </w:r>
      <w:r w:rsidR="00251A7A">
        <w:rPr>
          <w:lang w:val="en-CA"/>
        </w:rPr>
        <w:t xml:space="preserve">‘CMSC limit’ &gt; ‘CMSC paid’, then the CMSC adjustment is zero and no entry appears on your </w:t>
      </w:r>
      <w:r w:rsidR="00251A7A" w:rsidRPr="006F2C4C">
        <w:rPr>
          <w:i/>
          <w:lang w:val="en-CA"/>
        </w:rPr>
        <w:t>settlement statement</w:t>
      </w:r>
      <w:r w:rsidR="00251A7A">
        <w:rPr>
          <w:lang w:val="en-CA"/>
        </w:rPr>
        <w:t>.</w:t>
      </w:r>
    </w:p>
    <w:p w14:paraId="799424D3" w14:textId="77777777" w:rsidR="00DA3379" w:rsidRDefault="00251A7A" w:rsidP="00DA3379">
      <w:pPr>
        <w:pStyle w:val="ListContinue"/>
        <w:rPr>
          <w:szCs w:val="22"/>
          <w:lang w:val="en-CA"/>
        </w:rPr>
      </w:pPr>
      <w:r>
        <w:rPr>
          <w:szCs w:val="22"/>
          <w:lang w:val="en-CA"/>
        </w:rPr>
        <w:t xml:space="preserve">The adjustment </w:t>
      </w:r>
      <w:r w:rsidR="005C60EF">
        <w:rPr>
          <w:szCs w:val="22"/>
          <w:lang w:val="en-CA"/>
        </w:rPr>
        <w:t>is</w:t>
      </w:r>
      <w:r>
        <w:rPr>
          <w:szCs w:val="22"/>
          <w:lang w:val="en-CA"/>
        </w:rPr>
        <w:t xml:space="preserve"> applied as a manual entry to </w:t>
      </w:r>
      <w:r w:rsidRPr="007A1853">
        <w:rPr>
          <w:i/>
          <w:szCs w:val="22"/>
          <w:lang w:val="en-CA"/>
        </w:rPr>
        <w:t>charge type</w:t>
      </w:r>
      <w:r>
        <w:rPr>
          <w:szCs w:val="22"/>
          <w:lang w:val="en-CA"/>
        </w:rPr>
        <w:t xml:space="preserve"> </w:t>
      </w:r>
      <w:r w:rsidRPr="00E70DF9">
        <w:rPr>
          <w:szCs w:val="22"/>
          <w:lang w:val="en-CA"/>
        </w:rPr>
        <w:t>105</w:t>
      </w:r>
      <w:r>
        <w:rPr>
          <w:szCs w:val="22"/>
          <w:lang w:val="en-CA"/>
        </w:rPr>
        <w:t xml:space="preserve"> “Congestion Management Settlement Credit for Energy”</w:t>
      </w:r>
      <w:r w:rsidRPr="00E70DF9">
        <w:rPr>
          <w:szCs w:val="22"/>
          <w:lang w:val="en-CA"/>
        </w:rPr>
        <w:t xml:space="preserve"> </w:t>
      </w:r>
      <w:r>
        <w:rPr>
          <w:szCs w:val="22"/>
          <w:lang w:val="en-CA"/>
        </w:rPr>
        <w:t xml:space="preserve">for each applicable interval of the replacement resource.  The adjustment </w:t>
      </w:r>
      <w:r w:rsidR="005C60EF">
        <w:rPr>
          <w:szCs w:val="22"/>
          <w:lang w:val="en-CA"/>
        </w:rPr>
        <w:t>is</w:t>
      </w:r>
      <w:r>
        <w:rPr>
          <w:szCs w:val="22"/>
          <w:lang w:val="en-CA"/>
        </w:rPr>
        <w:t xml:space="preserve"> rebated back to </w:t>
      </w:r>
      <w:r w:rsidRPr="00D47BE5">
        <w:rPr>
          <w:i/>
          <w:szCs w:val="22"/>
          <w:lang w:val="en-CA"/>
        </w:rPr>
        <w:t>market participants</w:t>
      </w:r>
      <w:r>
        <w:rPr>
          <w:szCs w:val="22"/>
          <w:lang w:val="en-CA"/>
        </w:rPr>
        <w:t xml:space="preserve"> as a single manual entry to </w:t>
      </w:r>
      <w:r w:rsidRPr="007A1853">
        <w:rPr>
          <w:i/>
          <w:szCs w:val="22"/>
          <w:lang w:val="en-CA"/>
        </w:rPr>
        <w:t>charge type</w:t>
      </w:r>
      <w:r w:rsidR="00A85EB0">
        <w:rPr>
          <w:szCs w:val="22"/>
          <w:lang w:val="en-CA"/>
        </w:rPr>
        <w:t> </w:t>
      </w:r>
      <w:r>
        <w:rPr>
          <w:szCs w:val="22"/>
          <w:lang w:val="en-CA"/>
        </w:rPr>
        <w:t>155 “Congestion Management Settlement Uplift” for each replacement offer event</w:t>
      </w:r>
      <w:r w:rsidR="00BB2C62">
        <w:rPr>
          <w:szCs w:val="22"/>
          <w:lang w:val="en-CA"/>
        </w:rPr>
        <w:t>.</w:t>
      </w:r>
    </w:p>
    <w:p w14:paraId="4355A61E" w14:textId="77777777" w:rsidR="006A61B6" w:rsidRPr="002F65C1" w:rsidRDefault="006A61B6" w:rsidP="006A61B6">
      <w:pPr>
        <w:pStyle w:val="Heading3"/>
      </w:pPr>
      <w:bookmarkStart w:id="477" w:name="_Toc400369516"/>
      <w:bookmarkStart w:id="478" w:name="_Toc35796342"/>
      <w:bookmarkStart w:id="479" w:name="_Toc79657944"/>
      <w:r>
        <w:t xml:space="preserve">Compensation Resulting from </w:t>
      </w:r>
      <w:r w:rsidR="007F5040">
        <w:t xml:space="preserve">an </w:t>
      </w:r>
      <w:r>
        <w:t>SPS Activation</w:t>
      </w:r>
      <w:bookmarkEnd w:id="477"/>
      <w:bookmarkEnd w:id="478"/>
      <w:bookmarkEnd w:id="479"/>
    </w:p>
    <w:p w14:paraId="47D2A34A" w14:textId="390D53D2" w:rsidR="0050452D" w:rsidRDefault="009509CC">
      <w:pPr>
        <w:pStyle w:val="ListContinue"/>
        <w:rPr>
          <w:szCs w:val="22"/>
          <w:lang w:val="en-CA"/>
        </w:rPr>
      </w:pPr>
      <w:r>
        <w:rPr>
          <w:szCs w:val="22"/>
          <w:lang w:val="en-CA"/>
        </w:rPr>
        <w:t>If you are a</w:t>
      </w:r>
      <w:r w:rsidR="006A61B6">
        <w:rPr>
          <w:szCs w:val="22"/>
          <w:lang w:val="en-CA"/>
        </w:rPr>
        <w:t xml:space="preserve"> </w:t>
      </w:r>
      <w:r w:rsidR="006A61B6">
        <w:rPr>
          <w:i/>
          <w:szCs w:val="22"/>
          <w:lang w:val="en-CA"/>
        </w:rPr>
        <w:t>market participant</w:t>
      </w:r>
      <w:r w:rsidR="006A61B6">
        <w:rPr>
          <w:szCs w:val="22"/>
          <w:lang w:val="en-CA"/>
        </w:rPr>
        <w:t xml:space="preserve"> with a </w:t>
      </w:r>
      <w:r w:rsidR="006A61B6">
        <w:rPr>
          <w:i/>
          <w:szCs w:val="22"/>
          <w:lang w:val="en-CA"/>
        </w:rPr>
        <w:t>dispatchable generation facility</w:t>
      </w:r>
      <w:r w:rsidR="006A61B6">
        <w:rPr>
          <w:szCs w:val="22"/>
          <w:lang w:val="en-CA"/>
        </w:rPr>
        <w:t xml:space="preserve"> </w:t>
      </w:r>
      <w:r w:rsidR="00876D3C">
        <w:rPr>
          <w:szCs w:val="22"/>
          <w:lang w:val="en-CA"/>
        </w:rPr>
        <w:t>or</w:t>
      </w:r>
      <w:r w:rsidR="00B307A4">
        <w:rPr>
          <w:szCs w:val="22"/>
          <w:lang w:val="en-CA"/>
        </w:rPr>
        <w:t xml:space="preserve"> </w:t>
      </w:r>
      <w:r w:rsidR="00B307A4" w:rsidRPr="002E5880">
        <w:rPr>
          <w:szCs w:val="22"/>
          <w:lang w:val="en-CA"/>
        </w:rPr>
        <w:t>dispatchable</w:t>
      </w:r>
      <w:r w:rsidR="00876D3C">
        <w:rPr>
          <w:szCs w:val="22"/>
          <w:lang w:val="en-CA"/>
        </w:rPr>
        <w:t xml:space="preserve"> </w:t>
      </w:r>
      <w:r w:rsidR="00876D3C">
        <w:rPr>
          <w:i/>
          <w:szCs w:val="22"/>
          <w:lang w:val="en-CA"/>
        </w:rPr>
        <w:t xml:space="preserve">electricity storage facility </w:t>
      </w:r>
      <w:r w:rsidR="006A61B6">
        <w:rPr>
          <w:szCs w:val="22"/>
          <w:lang w:val="en-CA"/>
        </w:rPr>
        <w:t xml:space="preserve">that is not a </w:t>
      </w:r>
      <w:r w:rsidR="006A61B6">
        <w:rPr>
          <w:i/>
          <w:szCs w:val="22"/>
          <w:lang w:val="en-CA"/>
        </w:rPr>
        <w:t>quick start facility</w:t>
      </w:r>
      <w:r w:rsidR="006A61B6">
        <w:rPr>
          <w:szCs w:val="22"/>
          <w:lang w:val="en-CA"/>
        </w:rPr>
        <w:t xml:space="preserve"> and that is part of a </w:t>
      </w:r>
      <w:r w:rsidR="006A61B6">
        <w:rPr>
          <w:i/>
          <w:szCs w:val="22"/>
          <w:lang w:val="en-CA"/>
        </w:rPr>
        <w:t>Special Protection System (SPS)</w:t>
      </w:r>
      <w:r>
        <w:rPr>
          <w:szCs w:val="22"/>
          <w:lang w:val="en-CA"/>
        </w:rPr>
        <w:t xml:space="preserve">, you </w:t>
      </w:r>
      <w:r w:rsidR="006A61B6">
        <w:rPr>
          <w:szCs w:val="22"/>
          <w:lang w:val="en-CA"/>
        </w:rPr>
        <w:t xml:space="preserve">may apply to the </w:t>
      </w:r>
      <w:r w:rsidR="006A61B6">
        <w:rPr>
          <w:i/>
          <w:szCs w:val="22"/>
          <w:lang w:val="en-CA"/>
        </w:rPr>
        <w:t>IESO</w:t>
      </w:r>
      <w:r w:rsidR="006A61B6">
        <w:rPr>
          <w:szCs w:val="22"/>
          <w:lang w:val="en-CA"/>
        </w:rPr>
        <w:t xml:space="preserve"> for compensation if that </w:t>
      </w:r>
      <w:r w:rsidR="006A61B6">
        <w:rPr>
          <w:i/>
          <w:szCs w:val="22"/>
          <w:lang w:val="en-CA"/>
        </w:rPr>
        <w:t>facility</w:t>
      </w:r>
      <w:r w:rsidR="006A61B6">
        <w:rPr>
          <w:szCs w:val="22"/>
          <w:lang w:val="en-CA"/>
        </w:rPr>
        <w:t xml:space="preserve"> is tripped offline as a result of the activation of the </w:t>
      </w:r>
      <w:r w:rsidR="006A61B6">
        <w:rPr>
          <w:i/>
          <w:szCs w:val="22"/>
          <w:lang w:val="en-CA"/>
        </w:rPr>
        <w:t>SPS</w:t>
      </w:r>
      <w:r w:rsidR="006A61B6">
        <w:rPr>
          <w:szCs w:val="22"/>
          <w:lang w:val="en-CA"/>
        </w:rPr>
        <w:t>.</w:t>
      </w:r>
    </w:p>
    <w:p w14:paraId="76CF3847" w14:textId="77777777" w:rsidR="0050452D" w:rsidRDefault="007C07BA">
      <w:pPr>
        <w:pStyle w:val="ListContinue"/>
        <w:rPr>
          <w:szCs w:val="22"/>
          <w:lang w:val="en-CA"/>
        </w:rPr>
      </w:pPr>
      <w:r>
        <w:rPr>
          <w:szCs w:val="22"/>
          <w:lang w:val="en-CA"/>
        </w:rPr>
        <w:t xml:space="preserve">The amount of compensation that may be claimed </w:t>
      </w:r>
      <w:r w:rsidR="00CC43B6">
        <w:rPr>
          <w:szCs w:val="22"/>
          <w:lang w:val="en-CA"/>
        </w:rPr>
        <w:t>is the equivalent of up to the first two hours of con</w:t>
      </w:r>
      <w:r w:rsidR="00317E44">
        <w:rPr>
          <w:szCs w:val="22"/>
          <w:lang w:val="en-CA"/>
        </w:rPr>
        <w:t>s</w:t>
      </w:r>
      <w:r w:rsidR="00CC43B6">
        <w:rPr>
          <w:szCs w:val="22"/>
          <w:lang w:val="en-CA"/>
        </w:rPr>
        <w:t xml:space="preserve">trained off congestion management </w:t>
      </w:r>
      <w:r w:rsidR="00CC43B6">
        <w:rPr>
          <w:i/>
          <w:szCs w:val="22"/>
          <w:lang w:val="en-CA"/>
        </w:rPr>
        <w:t>settlement</w:t>
      </w:r>
      <w:r w:rsidR="00CC43B6">
        <w:rPr>
          <w:szCs w:val="22"/>
          <w:lang w:val="en-CA"/>
        </w:rPr>
        <w:t xml:space="preserve"> credit payments that would otherwise be calculated if the </w:t>
      </w:r>
      <w:r w:rsidR="00CC43B6">
        <w:rPr>
          <w:i/>
          <w:szCs w:val="22"/>
          <w:lang w:val="en-CA"/>
        </w:rPr>
        <w:t>facility</w:t>
      </w:r>
      <w:r w:rsidR="00CC43B6">
        <w:rPr>
          <w:szCs w:val="22"/>
          <w:lang w:val="en-CA"/>
        </w:rPr>
        <w:t xml:space="preserve"> had been constrained down to zero and its circuit breaker had remained closed.</w:t>
      </w:r>
    </w:p>
    <w:p w14:paraId="06AEF94D" w14:textId="77777777" w:rsidR="0050452D" w:rsidRDefault="00CC43B6">
      <w:pPr>
        <w:pStyle w:val="ListContinue"/>
        <w:rPr>
          <w:szCs w:val="22"/>
          <w:lang w:val="en-CA"/>
        </w:rPr>
      </w:pPr>
      <w:r>
        <w:rPr>
          <w:szCs w:val="22"/>
          <w:lang w:val="en-CA"/>
        </w:rPr>
        <w:t xml:space="preserve">We calculate </w:t>
      </w:r>
      <w:r w:rsidR="00D36805">
        <w:rPr>
          <w:szCs w:val="22"/>
          <w:lang w:val="en-CA"/>
        </w:rPr>
        <w:t xml:space="preserve">an </w:t>
      </w:r>
      <w:r w:rsidR="005541EB" w:rsidRPr="005541EB">
        <w:rPr>
          <w:i/>
          <w:szCs w:val="22"/>
          <w:lang w:val="en-CA"/>
        </w:rPr>
        <w:t xml:space="preserve">SPS </w:t>
      </w:r>
      <w:r w:rsidR="007C056D">
        <w:rPr>
          <w:szCs w:val="22"/>
          <w:lang w:val="en-CA"/>
        </w:rPr>
        <w:t>compensation</w:t>
      </w:r>
      <w:r w:rsidR="00D36805">
        <w:rPr>
          <w:szCs w:val="22"/>
          <w:lang w:val="en-CA"/>
        </w:rPr>
        <w:t xml:space="preserve"> amount</w:t>
      </w:r>
      <w:r w:rsidR="007C056D">
        <w:rPr>
          <w:szCs w:val="22"/>
          <w:lang w:val="en-CA"/>
        </w:rPr>
        <w:t xml:space="preserve"> </w:t>
      </w:r>
      <w:r w:rsidR="0044757D" w:rsidRPr="000303AC">
        <w:rPr>
          <w:szCs w:val="22"/>
          <w:lang w:val="en-CA"/>
        </w:rPr>
        <w:t xml:space="preserve">for up to 24 intervals starting with the interval in which your </w:t>
      </w:r>
      <w:r w:rsidR="00DA3379" w:rsidRPr="00DA3379">
        <w:rPr>
          <w:i/>
          <w:szCs w:val="22"/>
          <w:lang w:val="en-CA"/>
        </w:rPr>
        <w:t>generation facility</w:t>
      </w:r>
      <w:r w:rsidR="0044757D" w:rsidRPr="000303AC">
        <w:rPr>
          <w:szCs w:val="22"/>
          <w:lang w:val="en-CA"/>
        </w:rPr>
        <w:t xml:space="preserve"> was tripped offline.</w:t>
      </w:r>
      <w:r w:rsidR="003F6830">
        <w:rPr>
          <w:szCs w:val="22"/>
          <w:lang w:val="en-CA"/>
        </w:rPr>
        <w:t xml:space="preserve">  </w:t>
      </w:r>
      <w:r w:rsidR="00F35308">
        <w:rPr>
          <w:szCs w:val="22"/>
          <w:lang w:val="en-CA"/>
        </w:rPr>
        <w:t>We will perform a CMSC-like calculation f</w:t>
      </w:r>
      <w:r w:rsidR="003F6830">
        <w:rPr>
          <w:szCs w:val="22"/>
          <w:lang w:val="en-CA"/>
        </w:rPr>
        <w:t>or each interval</w:t>
      </w:r>
      <w:r w:rsidR="007C056D">
        <w:rPr>
          <w:szCs w:val="22"/>
          <w:lang w:val="en-CA"/>
        </w:rPr>
        <w:t xml:space="preserve"> </w:t>
      </w:r>
      <w:r w:rsidR="00F35308">
        <w:rPr>
          <w:szCs w:val="22"/>
          <w:lang w:val="en-CA"/>
        </w:rPr>
        <w:t xml:space="preserve">of the 24 consecutive compensation intervals using </w:t>
      </w:r>
      <w:r>
        <w:rPr>
          <w:szCs w:val="22"/>
          <w:lang w:val="en-CA"/>
        </w:rPr>
        <w:t xml:space="preserve">the </w:t>
      </w:r>
      <w:r w:rsidR="005541EB" w:rsidRPr="005541EB">
        <w:rPr>
          <w:i/>
          <w:szCs w:val="22"/>
          <w:lang w:val="en-CA"/>
        </w:rPr>
        <w:t>market schedule</w:t>
      </w:r>
      <w:r w:rsidR="00F35308">
        <w:rPr>
          <w:szCs w:val="22"/>
          <w:lang w:val="en-CA"/>
        </w:rPr>
        <w:t xml:space="preserve"> </w:t>
      </w:r>
      <w:r w:rsidR="003F6830">
        <w:rPr>
          <w:szCs w:val="22"/>
          <w:lang w:val="en-CA"/>
        </w:rPr>
        <w:t xml:space="preserve">set to </w:t>
      </w:r>
      <w:r w:rsidR="00E65E12">
        <w:rPr>
          <w:szCs w:val="22"/>
          <w:lang w:val="en-CA"/>
        </w:rPr>
        <w:t xml:space="preserve">the value in the interval </w:t>
      </w:r>
      <w:r w:rsidR="003F6830">
        <w:rPr>
          <w:szCs w:val="22"/>
          <w:lang w:val="en-CA"/>
        </w:rPr>
        <w:t xml:space="preserve">preceeding </w:t>
      </w:r>
      <w:r w:rsidR="00E65E12">
        <w:rPr>
          <w:szCs w:val="22"/>
          <w:lang w:val="en-CA"/>
        </w:rPr>
        <w:t xml:space="preserve">the trip </w:t>
      </w:r>
      <w:r w:rsidR="007C056D">
        <w:rPr>
          <w:szCs w:val="22"/>
          <w:lang w:val="en-CA"/>
        </w:rPr>
        <w:t xml:space="preserve">and the </w:t>
      </w:r>
      <w:r>
        <w:rPr>
          <w:szCs w:val="22"/>
          <w:lang w:val="en-CA"/>
        </w:rPr>
        <w:t xml:space="preserve">constrained </w:t>
      </w:r>
      <w:r w:rsidR="00612C16" w:rsidRPr="00F35308">
        <w:rPr>
          <w:szCs w:val="22"/>
          <w:lang w:val="en-CA"/>
        </w:rPr>
        <w:t>schedule</w:t>
      </w:r>
      <w:r w:rsidR="00F35308">
        <w:rPr>
          <w:szCs w:val="22"/>
          <w:lang w:val="en-CA"/>
        </w:rPr>
        <w:t xml:space="preserve"> </w:t>
      </w:r>
      <w:r w:rsidR="003F6830">
        <w:rPr>
          <w:szCs w:val="22"/>
          <w:lang w:val="en-CA"/>
        </w:rPr>
        <w:t xml:space="preserve">set to 0 MW.  </w:t>
      </w:r>
      <w:r w:rsidR="00F35308">
        <w:rPr>
          <w:szCs w:val="22"/>
          <w:lang w:val="en-CA"/>
        </w:rPr>
        <w:t>We will take into account</w:t>
      </w:r>
      <w:r w:rsidR="001A6973">
        <w:rPr>
          <w:szCs w:val="22"/>
          <w:lang w:val="en-CA"/>
        </w:rPr>
        <w:t xml:space="preserve"> any CMSC that was already paid (or charged in the case of negative CMSC) during the compensation period.</w:t>
      </w:r>
    </w:p>
    <w:p w14:paraId="019EBC0B" w14:textId="77777777" w:rsidR="0050452D" w:rsidRDefault="007F5040">
      <w:pPr>
        <w:pStyle w:val="ListContinue"/>
        <w:tabs>
          <w:tab w:val="left" w:pos="0"/>
          <w:tab w:val="left" w:pos="90"/>
        </w:tabs>
        <w:rPr>
          <w:szCs w:val="22"/>
          <w:lang w:val="en-CA"/>
        </w:rPr>
      </w:pPr>
      <w:r>
        <w:rPr>
          <w:szCs w:val="22"/>
          <w:lang w:val="en-CA"/>
        </w:rPr>
        <w:t xml:space="preserve">To apply for </w:t>
      </w:r>
      <w:r w:rsidR="00770336">
        <w:rPr>
          <w:szCs w:val="22"/>
          <w:lang w:val="en-CA"/>
        </w:rPr>
        <w:t>compensation</w:t>
      </w:r>
      <w:r w:rsidR="00AE6538">
        <w:rPr>
          <w:szCs w:val="22"/>
          <w:lang w:val="en-CA"/>
        </w:rPr>
        <w:t xml:space="preserve"> if your </w:t>
      </w:r>
      <w:r w:rsidR="005541EB" w:rsidRPr="005541EB">
        <w:rPr>
          <w:i/>
          <w:szCs w:val="22"/>
          <w:lang w:val="en-CA"/>
        </w:rPr>
        <w:t>generation facility</w:t>
      </w:r>
      <w:r w:rsidR="00AE6538">
        <w:rPr>
          <w:szCs w:val="22"/>
          <w:lang w:val="en-CA"/>
        </w:rPr>
        <w:t xml:space="preserve"> is tripped offline following an </w:t>
      </w:r>
      <w:r w:rsidR="005541EB" w:rsidRPr="005541EB">
        <w:rPr>
          <w:i/>
          <w:szCs w:val="22"/>
          <w:lang w:val="en-CA"/>
        </w:rPr>
        <w:t>SPS</w:t>
      </w:r>
      <w:r w:rsidR="00AE6538">
        <w:rPr>
          <w:szCs w:val="22"/>
          <w:lang w:val="en-CA"/>
        </w:rPr>
        <w:t xml:space="preserve"> activation, submit your claim by e</w:t>
      </w:r>
      <w:r w:rsidR="00770336">
        <w:rPr>
          <w:szCs w:val="22"/>
          <w:lang w:val="en-CA"/>
        </w:rPr>
        <w:t xml:space="preserve">mail directly to </w:t>
      </w:r>
      <w:hyperlink r:id="rId35" w:history="1">
        <w:r w:rsidR="00770336" w:rsidRPr="00986897">
          <w:rPr>
            <w:rStyle w:val="Hyperlink"/>
            <w:szCs w:val="22"/>
            <w:lang w:val="en-CA"/>
          </w:rPr>
          <w:t>customer.relations@ieso.ca</w:t>
        </w:r>
      </w:hyperlink>
      <w:r w:rsidR="00770336">
        <w:rPr>
          <w:szCs w:val="22"/>
          <w:lang w:val="en-CA"/>
        </w:rPr>
        <w:t>.</w:t>
      </w:r>
    </w:p>
    <w:p w14:paraId="41A0A6E5" w14:textId="77777777" w:rsidR="0097291D" w:rsidRDefault="0097291D" w:rsidP="003853C6">
      <w:pPr>
        <w:pStyle w:val="Heading3"/>
        <w:numPr>
          <w:ilvl w:val="2"/>
          <w:numId w:val="26"/>
        </w:numPr>
      </w:pPr>
      <w:bookmarkStart w:id="480" w:name="_Toc274225442"/>
      <w:bookmarkStart w:id="481" w:name="_Toc278877434"/>
      <w:bookmarkStart w:id="482" w:name="_Toc278877523"/>
      <w:bookmarkStart w:id="483" w:name="_Toc278879095"/>
      <w:bookmarkStart w:id="484" w:name="_Toc400369517"/>
      <w:bookmarkStart w:id="485" w:name="_Toc35796343"/>
      <w:bookmarkStart w:id="486" w:name="_Toc79657945"/>
      <w:bookmarkStart w:id="487" w:name="_Toc483275412"/>
      <w:bookmarkStart w:id="488" w:name="_Toc32038440"/>
      <w:bookmarkEnd w:id="115"/>
      <w:bookmarkEnd w:id="480"/>
      <w:bookmarkEnd w:id="481"/>
      <w:bookmarkEnd w:id="482"/>
      <w:bookmarkEnd w:id="483"/>
      <w:r>
        <w:t xml:space="preserve">Northern </w:t>
      </w:r>
      <w:r w:rsidR="00173717">
        <w:t>Industrial Electricity Rate</w:t>
      </w:r>
      <w:r>
        <w:t xml:space="preserve"> Program </w:t>
      </w:r>
      <w:r w:rsidR="008C56A7">
        <w:t>(NIERP)</w:t>
      </w:r>
      <w:bookmarkStart w:id="489" w:name="_Toc177815054"/>
      <w:bookmarkEnd w:id="484"/>
      <w:bookmarkEnd w:id="485"/>
      <w:bookmarkEnd w:id="486"/>
      <w:bookmarkEnd w:id="489"/>
    </w:p>
    <w:p w14:paraId="4B2F822C" w14:textId="77777777" w:rsidR="00397AEE" w:rsidRDefault="006C615E" w:rsidP="00397AEE">
      <w:pPr>
        <w:pStyle w:val="BodyText"/>
      </w:pPr>
      <w:r>
        <w:t>T</w:t>
      </w:r>
      <w:r w:rsidR="00454C25">
        <w:t xml:space="preserve">he </w:t>
      </w:r>
      <w:r w:rsidR="002F7B38">
        <w:t>Ministry of Northern Development</w:t>
      </w:r>
      <w:r w:rsidR="00B81D70">
        <w:t xml:space="preserve"> and</w:t>
      </w:r>
      <w:r w:rsidR="002F7B38">
        <w:t xml:space="preserve"> Mines (MNDM) has created </w:t>
      </w:r>
      <w:r w:rsidR="000E6EC6">
        <w:t xml:space="preserve">and administers </w:t>
      </w:r>
      <w:r w:rsidR="002F7B38">
        <w:t>the northern industrial electricity r</w:t>
      </w:r>
      <w:r w:rsidR="00454C25">
        <w:t xml:space="preserve">ate </w:t>
      </w:r>
      <w:r w:rsidR="002F7B38">
        <w:t>p</w:t>
      </w:r>
      <w:r w:rsidR="00D03BD4">
        <w:t xml:space="preserve">rogram </w:t>
      </w:r>
      <w:r w:rsidR="00454C25">
        <w:t>(NIER</w:t>
      </w:r>
      <w:r w:rsidR="00D03BD4">
        <w:t>P</w:t>
      </w:r>
      <w:r w:rsidR="00454C25">
        <w:t xml:space="preserve">) to assist Northern Ontario’s largest </w:t>
      </w:r>
      <w:r w:rsidR="002F7B38">
        <w:t xml:space="preserve">industrial electricity </w:t>
      </w:r>
      <w:r w:rsidR="00DA3379" w:rsidRPr="00DA3379">
        <w:rPr>
          <w:i/>
        </w:rPr>
        <w:t>consumers</w:t>
      </w:r>
      <w:r w:rsidR="002F7B38">
        <w:t xml:space="preserve"> by providing a rebate incentive for the development and implementation of long term </w:t>
      </w:r>
      <w:r w:rsidR="00454C25">
        <w:t xml:space="preserve">efficiency and sustainability </w:t>
      </w:r>
      <w:r w:rsidR="002F7B38">
        <w:t>measures</w:t>
      </w:r>
      <w:r>
        <w:t>.</w:t>
      </w:r>
      <w:r w:rsidR="00454C25">
        <w:t xml:space="preserve">  </w:t>
      </w:r>
      <w:r w:rsidR="00D80EE7">
        <w:t>NIER</w:t>
      </w:r>
      <w:r w:rsidR="00D03BD4">
        <w:t>P</w:t>
      </w:r>
      <w:r w:rsidR="00D80EE7">
        <w:t xml:space="preserve"> </w:t>
      </w:r>
      <w:r w:rsidR="000529C2">
        <w:t>replaces the Northern Pulp and Paper Electricity Transition Program (NPPETP) that concluded on September 30</w:t>
      </w:r>
      <w:r w:rsidR="000529C2" w:rsidRPr="00F24C39">
        <w:rPr>
          <w:vertAlign w:val="superscript"/>
        </w:rPr>
        <w:t>th</w:t>
      </w:r>
      <w:r w:rsidR="000529C2">
        <w:t xml:space="preserve">, 2010 </w:t>
      </w:r>
    </w:p>
    <w:p w14:paraId="78A1B543" w14:textId="77777777" w:rsidR="00397AEE" w:rsidRDefault="000529C2" w:rsidP="00397AEE">
      <w:pPr>
        <w:pStyle w:val="BodyText"/>
      </w:pPr>
      <w:r>
        <w:t>NIER</w:t>
      </w:r>
      <w:r w:rsidR="00D03BD4">
        <w:t>P</w:t>
      </w:r>
      <w:r>
        <w:t xml:space="preserve"> is a rebate incentive program with an average annual investment of $150 million per year over three fiscal years (starting April 1, 2010 ending March 31, 2013).  </w:t>
      </w:r>
      <w:r w:rsidR="00454C25">
        <w:t>NIER</w:t>
      </w:r>
      <w:r>
        <w:t>P</w:t>
      </w:r>
      <w:r w:rsidR="00454C25">
        <w:t xml:space="preserve"> </w:t>
      </w:r>
      <w:r>
        <w:t xml:space="preserve">participants enter a conditional funding agreement with </w:t>
      </w:r>
      <w:r w:rsidR="00B13C41">
        <w:t>MNDM and rebates are subject to meeting and maintaining all eligibility and program requirements.</w:t>
      </w:r>
      <w:r w:rsidR="00B81D70">
        <w:t xml:space="preserve"> The program has been extended for the period of April 1, 2013 to March 31, 2016.</w:t>
      </w:r>
    </w:p>
    <w:p w14:paraId="6EB3BF07" w14:textId="77777777" w:rsidR="00397AEE" w:rsidRDefault="000529C2" w:rsidP="00397AEE">
      <w:pPr>
        <w:pStyle w:val="BodyText"/>
      </w:pPr>
      <w:r>
        <w:t>T</w:t>
      </w:r>
      <w:r w:rsidR="00454C25">
        <w:t xml:space="preserve">he </w:t>
      </w:r>
      <w:r w:rsidR="00454C25" w:rsidRPr="00296127">
        <w:rPr>
          <w:i/>
        </w:rPr>
        <w:t>IESO</w:t>
      </w:r>
      <w:r w:rsidR="00454C25">
        <w:t xml:space="preserve"> is </w:t>
      </w:r>
      <w:r w:rsidR="008304F2">
        <w:t xml:space="preserve">contracted by MNDM to provide </w:t>
      </w:r>
      <w:r w:rsidR="00DA3379" w:rsidRPr="00DA3379">
        <w:rPr>
          <w:i/>
        </w:rPr>
        <w:t>settlement</w:t>
      </w:r>
      <w:r w:rsidR="008304F2">
        <w:t xml:space="preserve"> services.</w:t>
      </w:r>
      <w:r w:rsidR="006C615E">
        <w:t xml:space="preserve">  </w:t>
      </w:r>
      <w:r w:rsidR="00D26283">
        <w:t xml:space="preserve">We use </w:t>
      </w:r>
      <w:r w:rsidR="00397AEE" w:rsidRPr="00397AEE">
        <w:rPr>
          <w:i/>
        </w:rPr>
        <w:t>charge type</w:t>
      </w:r>
      <w:r w:rsidR="00D26283">
        <w:t xml:space="preserve"> 121 “</w:t>
      </w:r>
      <w:r w:rsidR="001D2578">
        <w:t xml:space="preserve">Northern Industrial Electricity Rate Program Settlement Amount” for the NIERP payments to participants and we recover NIERP payments from the MNDM through </w:t>
      </w:r>
      <w:r w:rsidR="00397AEE" w:rsidRPr="00397AEE">
        <w:rPr>
          <w:i/>
        </w:rPr>
        <w:t>charge type</w:t>
      </w:r>
      <w:r w:rsidR="001D2578">
        <w:t xml:space="preserve"> 171 “Northern Industrial Electricity Rate Program Balancing Amount”</w:t>
      </w:r>
      <w:r w:rsidR="001D2578">
        <w:rPr>
          <w:rStyle w:val="FootnoteReference"/>
        </w:rPr>
        <w:footnoteReference w:id="33"/>
      </w:r>
      <w:r w:rsidR="001D2578">
        <w:t>.</w:t>
      </w:r>
    </w:p>
    <w:p w14:paraId="00B45AC5" w14:textId="77777777" w:rsidR="00E73962" w:rsidRDefault="00574961" w:rsidP="00E73962">
      <w:r>
        <w:t>Refer to the NIER</w:t>
      </w:r>
      <w:r w:rsidR="00C4105F">
        <w:t>P p</w:t>
      </w:r>
      <w:r>
        <w:t>rogram rules for eligibility requirements and payment conditions a</w:t>
      </w:r>
      <w:r w:rsidR="000E6EC6">
        <w:t>vailable on the MNDM web site at</w:t>
      </w:r>
      <w:r>
        <w:t xml:space="preserve">: </w:t>
      </w:r>
    </w:p>
    <w:p w14:paraId="220AE859" w14:textId="46F91D13" w:rsidR="001C5708" w:rsidRPr="00984429" w:rsidRDefault="00984429">
      <w:pPr>
        <w:rPr>
          <w:rStyle w:val="Hyperlink"/>
        </w:rPr>
      </w:pPr>
      <w:r>
        <w:fldChar w:fldCharType="begin"/>
      </w:r>
      <w:r>
        <w:instrText xml:space="preserve"> HYPERLINK "http://www.mndm.gov.on.ca/en/northern-development/business-support/northern-industrial-electricity-rate-program" \o "MNDM Website Link" </w:instrText>
      </w:r>
      <w:r>
        <w:fldChar w:fldCharType="separate"/>
      </w:r>
      <w:r w:rsidR="00E73962" w:rsidRPr="00984429">
        <w:rPr>
          <w:rStyle w:val="Hyperlink"/>
        </w:rPr>
        <w:t>http://www.mndm.gov.on.ca/en/northern-development/business-support/northern-industrial-electricity-rate-program</w:t>
      </w:r>
    </w:p>
    <w:bookmarkStart w:id="490" w:name="_Toc400369518"/>
    <w:bookmarkStart w:id="491" w:name="_Toc35796344"/>
    <w:p w14:paraId="17805B54" w14:textId="63E5612A" w:rsidR="0097291D" w:rsidRDefault="00984429" w:rsidP="003853C6">
      <w:pPr>
        <w:pStyle w:val="Heading3"/>
        <w:numPr>
          <w:ilvl w:val="2"/>
          <w:numId w:val="26"/>
        </w:numPr>
      </w:pPr>
      <w:r>
        <w:rPr>
          <w:rFonts w:ascii="Times New Roman" w:hAnsi="Times New Roman"/>
          <w:b w:val="0"/>
          <w:sz w:val="22"/>
        </w:rPr>
        <w:fldChar w:fldCharType="end"/>
      </w:r>
      <w:bookmarkStart w:id="492" w:name="_Toc79657946"/>
      <w:r w:rsidR="00E014D3">
        <w:t>Intentionally Left Blank</w:t>
      </w:r>
      <w:bookmarkStart w:id="493" w:name="_Toc177815066"/>
      <w:bookmarkEnd w:id="490"/>
      <w:bookmarkEnd w:id="491"/>
      <w:bookmarkEnd w:id="492"/>
      <w:bookmarkEnd w:id="493"/>
    </w:p>
    <w:p w14:paraId="323C5EF3" w14:textId="77777777" w:rsidR="00E014D3" w:rsidRDefault="00E014D3" w:rsidP="00DC11D0">
      <w:pPr>
        <w:pStyle w:val="BodyTextNote"/>
        <w:pBdr>
          <w:top w:val="single" w:sz="2" w:space="1" w:color="auto"/>
          <w:left w:val="single" w:sz="2" w:space="4" w:color="auto"/>
          <w:bottom w:val="single" w:sz="2" w:space="1" w:color="auto"/>
          <w:right w:val="single" w:sz="2" w:space="4" w:color="auto"/>
        </w:pBdr>
        <w:tabs>
          <w:tab w:val="clear" w:pos="576"/>
          <w:tab w:val="left" w:pos="720"/>
        </w:tabs>
        <w:ind w:left="720" w:hanging="720"/>
      </w:pPr>
      <w:bookmarkStart w:id="494" w:name="_Toc177815067"/>
      <w:bookmarkStart w:id="495" w:name="_Toc177815068"/>
      <w:bookmarkStart w:id="496" w:name="_Toc177815069"/>
      <w:bookmarkStart w:id="497" w:name="_Toc177815070"/>
      <w:bookmarkStart w:id="498" w:name="_Toc177815071"/>
      <w:bookmarkStart w:id="499" w:name="_Toc177815072"/>
      <w:bookmarkStart w:id="500" w:name="_Toc177815073"/>
      <w:bookmarkStart w:id="501" w:name="_Toc177815074"/>
      <w:bookmarkStart w:id="502" w:name="_Toc177815075"/>
      <w:bookmarkStart w:id="503" w:name="_Toc177815076"/>
      <w:bookmarkStart w:id="504" w:name="_Toc177815077"/>
      <w:bookmarkStart w:id="505" w:name="_Toc177815078"/>
      <w:bookmarkStart w:id="506" w:name="_Toc177815079"/>
      <w:bookmarkStart w:id="507" w:name="_Toc177815080"/>
      <w:bookmarkStart w:id="508" w:name="_Toc177815081"/>
      <w:bookmarkStart w:id="509" w:name="_Toc177815082"/>
      <w:bookmarkStart w:id="510" w:name="_Toc177815083"/>
      <w:bookmarkStart w:id="511" w:name="_Toc177815084"/>
      <w:bookmarkStart w:id="512" w:name="_Toc177815085"/>
      <w:bookmarkStart w:id="513" w:name="_Toc177815086"/>
      <w:bookmarkStart w:id="514" w:name="_Toc177815087"/>
      <w:bookmarkStart w:id="515" w:name="_Toc177815088"/>
      <w:bookmarkStart w:id="516" w:name="_Toc177815089"/>
      <w:bookmarkStart w:id="517" w:name="_Toc177815090"/>
      <w:bookmarkStart w:id="518" w:name="_Toc177815091"/>
      <w:bookmarkStart w:id="519" w:name="_Toc177815092"/>
      <w:bookmarkStart w:id="520" w:name="_Toc177815093"/>
      <w:bookmarkStart w:id="521" w:name="_Toc177815094"/>
      <w:bookmarkStart w:id="522" w:name="_Toc177815095"/>
      <w:bookmarkStart w:id="523" w:name="_Toc177815096"/>
      <w:bookmarkStart w:id="524" w:name="_Toc177815097"/>
      <w:bookmarkStart w:id="525" w:name="_Toc177815098"/>
      <w:bookmarkStart w:id="526" w:name="_Toc177815099"/>
      <w:bookmarkStart w:id="527" w:name="_Toc177815100"/>
      <w:bookmarkStart w:id="528" w:name="_Toc177815101"/>
      <w:bookmarkStart w:id="529" w:name="_Toc177815102"/>
      <w:bookmarkStart w:id="530" w:name="_Toc177815104"/>
      <w:bookmarkStart w:id="531" w:name="_Toc177815105"/>
      <w:bookmarkStart w:id="532" w:name="_Toc177815106"/>
      <w:bookmarkStart w:id="533" w:name="_Toc177815107"/>
      <w:bookmarkStart w:id="534" w:name="_Toc177815108"/>
      <w:bookmarkStart w:id="535" w:name="_Toc177815109"/>
      <w:bookmarkStart w:id="536" w:name="_Toc177815110"/>
      <w:bookmarkStart w:id="537" w:name="_Toc177815111"/>
      <w:bookmarkStart w:id="538" w:name="_Toc177815112"/>
      <w:bookmarkStart w:id="539" w:name="_Toc177815114"/>
      <w:bookmarkStart w:id="540" w:name="_Toc177815115"/>
      <w:bookmarkStart w:id="541" w:name="_Toc177815116"/>
      <w:bookmarkStart w:id="542" w:name="_Toc177815117"/>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r>
        <w:t xml:space="preserve"> </w:t>
      </w:r>
      <w:r w:rsidR="00B07342">
        <w:rPr>
          <w:szCs w:val="22"/>
          <w:lang w:val="en-CA"/>
        </w:rPr>
        <w:t>T</w:t>
      </w:r>
      <w:r w:rsidRPr="00E014D3">
        <w:rPr>
          <w:szCs w:val="22"/>
          <w:lang w:val="en-CA"/>
        </w:rPr>
        <w:t xml:space="preserve">he </w:t>
      </w:r>
      <w:r w:rsidR="000B32A0">
        <w:rPr>
          <w:szCs w:val="22"/>
          <w:lang w:val="en-CA"/>
        </w:rPr>
        <w:t>section ‘OPA’s Demand Response (DR3) Program’ has been removed. The DR3 program was last settled on the April 2015 settlement statements and invoice</w:t>
      </w:r>
      <w:r w:rsidRPr="00E014D3">
        <w:rPr>
          <w:szCs w:val="22"/>
          <w:lang w:val="en-CA"/>
        </w:rPr>
        <w:t xml:space="preserve">. </w:t>
      </w:r>
      <w:r>
        <w:rPr>
          <w:szCs w:val="22"/>
          <w:lang w:val="en-CA"/>
        </w:rPr>
        <w:t xml:space="preserve">For more details, refer to Appendix E.3, where the </w:t>
      </w:r>
      <w:r w:rsidR="00B07342">
        <w:rPr>
          <w:szCs w:val="22"/>
          <w:lang w:val="en-CA"/>
        </w:rPr>
        <w:t>archived</w:t>
      </w:r>
      <w:r>
        <w:rPr>
          <w:szCs w:val="22"/>
          <w:lang w:val="en-CA"/>
        </w:rPr>
        <w:t xml:space="preserve"> section can be found. </w:t>
      </w:r>
    </w:p>
    <w:p w14:paraId="51135FAA" w14:textId="77777777" w:rsidR="005E674F" w:rsidRDefault="00E014D3" w:rsidP="0061777D">
      <w:pPr>
        <w:pStyle w:val="Heading3"/>
        <w:numPr>
          <w:ilvl w:val="2"/>
          <w:numId w:val="26"/>
        </w:numPr>
        <w:spacing w:before="480"/>
      </w:pPr>
      <w:bookmarkStart w:id="543" w:name="_Toc199046302"/>
      <w:bookmarkStart w:id="544" w:name="_Toc199047070"/>
      <w:bookmarkStart w:id="545" w:name="_Toc400369519"/>
      <w:bookmarkStart w:id="546" w:name="_Toc35796345"/>
      <w:bookmarkStart w:id="547" w:name="_Toc79657947"/>
      <w:bookmarkEnd w:id="543"/>
      <w:bookmarkEnd w:id="544"/>
      <w:r>
        <w:t>Intentionally Left Blank</w:t>
      </w:r>
      <w:bookmarkEnd w:id="545"/>
      <w:bookmarkEnd w:id="546"/>
      <w:bookmarkEnd w:id="547"/>
    </w:p>
    <w:p w14:paraId="6F49D49C" w14:textId="77777777" w:rsidR="00E014D3" w:rsidRDefault="000B32A0" w:rsidP="00E014D3">
      <w:pPr>
        <w:pStyle w:val="BodyTextNote"/>
        <w:pBdr>
          <w:top w:val="single" w:sz="2" w:space="1" w:color="auto"/>
          <w:left w:val="single" w:sz="2" w:space="4" w:color="auto"/>
          <w:bottom w:val="single" w:sz="2" w:space="1" w:color="auto"/>
          <w:right w:val="single" w:sz="2" w:space="4" w:color="auto"/>
        </w:pBdr>
        <w:tabs>
          <w:tab w:val="clear" w:pos="576"/>
          <w:tab w:val="left" w:pos="720"/>
        </w:tabs>
        <w:ind w:left="720" w:hanging="720"/>
      </w:pPr>
      <w:r>
        <w:rPr>
          <w:szCs w:val="22"/>
          <w:lang w:val="en-CA"/>
        </w:rPr>
        <w:t>T</w:t>
      </w:r>
      <w:r w:rsidRPr="00E014D3">
        <w:rPr>
          <w:szCs w:val="22"/>
          <w:lang w:val="en-CA"/>
        </w:rPr>
        <w:t xml:space="preserve">he </w:t>
      </w:r>
      <w:r>
        <w:rPr>
          <w:szCs w:val="22"/>
          <w:lang w:val="en-CA"/>
        </w:rPr>
        <w:t>section ‘OPA’s Demand Response (DR2) Program’ has been removed. The DR2 program was last settled on the February 2015 settlement statements and invoice</w:t>
      </w:r>
      <w:r w:rsidRPr="00E014D3">
        <w:rPr>
          <w:szCs w:val="22"/>
          <w:lang w:val="en-CA"/>
        </w:rPr>
        <w:t xml:space="preserve">. </w:t>
      </w:r>
      <w:r w:rsidR="00E014D3">
        <w:rPr>
          <w:szCs w:val="22"/>
          <w:lang w:val="en-CA"/>
        </w:rPr>
        <w:t xml:space="preserve">For more details, refer to Appendix E.4, where the </w:t>
      </w:r>
      <w:r w:rsidR="00B07342">
        <w:rPr>
          <w:szCs w:val="22"/>
          <w:lang w:val="en-CA"/>
        </w:rPr>
        <w:t xml:space="preserve">archived </w:t>
      </w:r>
      <w:r w:rsidR="00E014D3">
        <w:rPr>
          <w:szCs w:val="22"/>
          <w:lang w:val="en-CA"/>
        </w:rPr>
        <w:t xml:space="preserve">section can be found. </w:t>
      </w:r>
    </w:p>
    <w:p w14:paraId="7E6E50B7" w14:textId="77777777" w:rsidR="00E014D3" w:rsidRDefault="00E014D3" w:rsidP="00991232">
      <w:pPr>
        <w:pStyle w:val="BodyText"/>
      </w:pPr>
    </w:p>
    <w:p w14:paraId="691B79FC" w14:textId="77777777" w:rsidR="008851AE" w:rsidRDefault="00527D51" w:rsidP="003853C6">
      <w:pPr>
        <w:pStyle w:val="Heading3"/>
        <w:numPr>
          <w:ilvl w:val="2"/>
          <w:numId w:val="26"/>
        </w:numPr>
      </w:pPr>
      <w:bookmarkStart w:id="548" w:name="_Toc282592547"/>
      <w:bookmarkStart w:id="549" w:name="_Toc282601361"/>
      <w:bookmarkStart w:id="550" w:name="_Toc282684806"/>
      <w:bookmarkStart w:id="551" w:name="_Toc282684974"/>
      <w:bookmarkStart w:id="552" w:name="_Toc400369520"/>
      <w:bookmarkStart w:id="553" w:name="_Toc35796346"/>
      <w:bookmarkStart w:id="554" w:name="_Toc79657948"/>
      <w:bookmarkEnd w:id="548"/>
      <w:bookmarkEnd w:id="549"/>
      <w:bookmarkEnd w:id="550"/>
      <w:bookmarkEnd w:id="551"/>
      <w:r>
        <w:t xml:space="preserve">Conservation </w:t>
      </w:r>
      <w:r w:rsidR="00C35244">
        <w:t>Assessment Recovery</w:t>
      </w:r>
      <w:bookmarkEnd w:id="552"/>
      <w:bookmarkEnd w:id="553"/>
      <w:bookmarkEnd w:id="554"/>
    </w:p>
    <w:p w14:paraId="5E239BFA" w14:textId="77777777" w:rsidR="00C35244" w:rsidRPr="003A1864" w:rsidRDefault="00B93643" w:rsidP="006E37DA">
      <w:pPr>
        <w:pStyle w:val="NormalWeb"/>
        <w:spacing w:after="80" w:afterAutospacing="0"/>
        <w:rPr>
          <w:sz w:val="22"/>
          <w:szCs w:val="22"/>
        </w:rPr>
      </w:pPr>
      <w:r w:rsidRPr="00B93643">
        <w:rPr>
          <w:sz w:val="22"/>
          <w:szCs w:val="22"/>
        </w:rPr>
        <w:t xml:space="preserve">The </w:t>
      </w:r>
      <w:r w:rsidRPr="00B93643">
        <w:rPr>
          <w:i/>
          <w:sz w:val="22"/>
          <w:szCs w:val="22"/>
        </w:rPr>
        <w:t>IESO</w:t>
      </w:r>
      <w:r w:rsidRPr="00B93643">
        <w:rPr>
          <w:sz w:val="22"/>
          <w:szCs w:val="22"/>
        </w:rPr>
        <w:t xml:space="preserve"> is introducing a “Conservation Assessment Recovery” charge as a result of a recent Ontario government regulation. The regulation allows the </w:t>
      </w:r>
      <w:r w:rsidRPr="00B93643">
        <w:rPr>
          <w:i/>
          <w:sz w:val="22"/>
          <w:szCs w:val="22"/>
        </w:rPr>
        <w:t>IESO</w:t>
      </w:r>
      <w:r w:rsidRPr="00B93643">
        <w:rPr>
          <w:sz w:val="22"/>
          <w:szCs w:val="22"/>
        </w:rPr>
        <w:t xml:space="preserve"> to recover the amount it is assessed with respect to the expenses incurred and expenditures made by the Ministry of Energy and Infrastructure for its </w:t>
      </w:r>
      <w:r w:rsidR="00C2447D" w:rsidRPr="00C2447D">
        <w:rPr>
          <w:i/>
          <w:sz w:val="22"/>
          <w:szCs w:val="22"/>
        </w:rPr>
        <w:t>energy</w:t>
      </w:r>
      <w:r w:rsidRPr="00B93643">
        <w:rPr>
          <w:sz w:val="22"/>
          <w:szCs w:val="22"/>
        </w:rPr>
        <w:t xml:space="preserve"> conservation and renewable </w:t>
      </w:r>
      <w:r w:rsidR="00C2447D" w:rsidRPr="00C2447D">
        <w:rPr>
          <w:i/>
          <w:sz w:val="22"/>
          <w:szCs w:val="22"/>
        </w:rPr>
        <w:t>energy</w:t>
      </w:r>
      <w:r w:rsidRPr="00B93643">
        <w:rPr>
          <w:sz w:val="22"/>
          <w:szCs w:val="22"/>
        </w:rPr>
        <w:t xml:space="preserve"> programs. The assessed amount shall be recovered in three payments on the month-end </w:t>
      </w:r>
      <w:r w:rsidR="00DC0E09" w:rsidRPr="00DC0E09">
        <w:rPr>
          <w:i/>
          <w:sz w:val="22"/>
          <w:szCs w:val="22"/>
        </w:rPr>
        <w:t>settlements</w:t>
      </w:r>
      <w:r w:rsidRPr="00B93643">
        <w:rPr>
          <w:sz w:val="22"/>
          <w:szCs w:val="22"/>
        </w:rPr>
        <w:t xml:space="preserve"> for April, May and June 2010 from non-local distribution company (non-LDC) loads.</w:t>
      </w:r>
    </w:p>
    <w:p w14:paraId="1723A116" w14:textId="77777777" w:rsidR="00C35244" w:rsidRPr="00C35244" w:rsidRDefault="00B93643" w:rsidP="006E37DA">
      <w:pPr>
        <w:pStyle w:val="BodyText"/>
        <w:spacing w:before="0" w:after="80"/>
        <w:rPr>
          <w:szCs w:val="22"/>
        </w:rPr>
      </w:pPr>
      <w:r w:rsidRPr="00B93643">
        <w:rPr>
          <w:szCs w:val="22"/>
        </w:rPr>
        <w:t>We are collecting the assessed amount through </w:t>
      </w:r>
      <w:r w:rsidRPr="00B93643">
        <w:rPr>
          <w:i/>
          <w:szCs w:val="22"/>
        </w:rPr>
        <w:t>charge type</w:t>
      </w:r>
      <w:r w:rsidRPr="00B93643">
        <w:rPr>
          <w:szCs w:val="22"/>
        </w:rPr>
        <w:t xml:space="preserve"> 1415 “Conservation Assessment Recovery”.  The amounts charged to each affected </w:t>
      </w:r>
      <w:r w:rsidRPr="00B93643">
        <w:rPr>
          <w:i/>
          <w:szCs w:val="22"/>
        </w:rPr>
        <w:t>market participant</w:t>
      </w:r>
      <w:r w:rsidRPr="00B93643">
        <w:rPr>
          <w:szCs w:val="22"/>
        </w:rPr>
        <w:t xml:space="preserve"> will be pro-rated based on their total Allocated Quantity of Energy Withdrawn (AQEW) for 2009</w:t>
      </w:r>
      <w:r w:rsidR="003A3AC8">
        <w:rPr>
          <w:szCs w:val="22"/>
        </w:rPr>
        <w:t xml:space="preserve"> and the AQEW of all affected</w:t>
      </w:r>
      <w:r w:rsidR="00645731">
        <w:rPr>
          <w:szCs w:val="22"/>
        </w:rPr>
        <w:t xml:space="preserve"> </w:t>
      </w:r>
      <w:r w:rsidRPr="00B93643">
        <w:rPr>
          <w:i/>
          <w:szCs w:val="22"/>
        </w:rPr>
        <w:t>market participants</w:t>
      </w:r>
      <w:r w:rsidRPr="00B93643">
        <w:rPr>
          <w:szCs w:val="22"/>
        </w:rPr>
        <w:t>.</w:t>
      </w:r>
    </w:p>
    <w:p w14:paraId="4CE7859C" w14:textId="77777777" w:rsidR="002245F3" w:rsidRDefault="00E25DF6" w:rsidP="003853C6">
      <w:pPr>
        <w:pStyle w:val="Heading3"/>
        <w:numPr>
          <w:ilvl w:val="2"/>
          <w:numId w:val="26"/>
        </w:numPr>
      </w:pPr>
      <w:bookmarkStart w:id="555" w:name="_Toc333313466"/>
      <w:bookmarkStart w:id="556" w:name="_Toc333314902"/>
      <w:bookmarkStart w:id="557" w:name="_Toc333313467"/>
      <w:bookmarkStart w:id="558" w:name="_Toc333314903"/>
      <w:bookmarkStart w:id="559" w:name="_Toc400369521"/>
      <w:bookmarkStart w:id="560" w:name="_Toc35796347"/>
      <w:bookmarkStart w:id="561" w:name="_Toc79657949"/>
      <w:bookmarkEnd w:id="555"/>
      <w:bookmarkEnd w:id="556"/>
      <w:bookmarkEnd w:id="557"/>
      <w:bookmarkEnd w:id="558"/>
      <w:r>
        <w:t>Intentionally Left Blank</w:t>
      </w:r>
      <w:bookmarkEnd w:id="559"/>
      <w:bookmarkEnd w:id="560"/>
      <w:bookmarkEnd w:id="561"/>
    </w:p>
    <w:p w14:paraId="68FD897C" w14:textId="77777777" w:rsidR="002A55B6" w:rsidRDefault="002A55B6" w:rsidP="002A55B6">
      <w:pPr>
        <w:pStyle w:val="BodyTextNote"/>
        <w:pBdr>
          <w:top w:val="single" w:sz="2" w:space="1" w:color="auto"/>
          <w:left w:val="single" w:sz="2" w:space="4" w:color="auto"/>
          <w:bottom w:val="single" w:sz="2" w:space="1" w:color="auto"/>
          <w:right w:val="single" w:sz="2" w:space="4" w:color="auto"/>
        </w:pBdr>
        <w:tabs>
          <w:tab w:val="clear" w:pos="576"/>
          <w:tab w:val="left" w:pos="720"/>
        </w:tabs>
        <w:ind w:left="720" w:hanging="720"/>
      </w:pPr>
      <w:r w:rsidRPr="002A55B6">
        <w:rPr>
          <w:szCs w:val="22"/>
          <w:lang w:val="en-CA"/>
        </w:rPr>
        <w:t>The section ‘O</w:t>
      </w:r>
      <w:r>
        <w:rPr>
          <w:szCs w:val="22"/>
          <w:lang w:val="en-CA"/>
        </w:rPr>
        <w:t>ntario Clean Energy Benefit</w:t>
      </w:r>
      <w:r w:rsidRPr="002A55B6">
        <w:rPr>
          <w:szCs w:val="22"/>
          <w:lang w:val="en-CA"/>
        </w:rPr>
        <w:t>’ has been removed</w:t>
      </w:r>
      <w:r w:rsidR="00D72A52">
        <w:rPr>
          <w:szCs w:val="22"/>
          <w:lang w:val="en-CA"/>
        </w:rPr>
        <w:t>.</w:t>
      </w:r>
      <w:r w:rsidRPr="002A55B6">
        <w:rPr>
          <w:szCs w:val="22"/>
          <w:lang w:val="en-CA"/>
        </w:rPr>
        <w:t xml:space="preserve"> The archived section can be found in Appendix E.</w:t>
      </w:r>
      <w:r w:rsidR="00462C3D">
        <w:rPr>
          <w:szCs w:val="22"/>
          <w:lang w:val="en-CA"/>
        </w:rPr>
        <w:t>9</w:t>
      </w:r>
      <w:r w:rsidRPr="002A55B6">
        <w:rPr>
          <w:szCs w:val="22"/>
          <w:lang w:val="en-CA"/>
        </w:rPr>
        <w:t xml:space="preserve">. </w:t>
      </w:r>
    </w:p>
    <w:p w14:paraId="7936A2AE" w14:textId="77777777" w:rsidR="00E25DF6" w:rsidRDefault="00E25DF6" w:rsidP="00E25DF6">
      <w:pPr>
        <w:pStyle w:val="Heading3"/>
        <w:numPr>
          <w:ilvl w:val="2"/>
          <w:numId w:val="26"/>
        </w:numPr>
      </w:pPr>
      <w:bookmarkStart w:id="562" w:name="_Toc25761278"/>
      <w:bookmarkStart w:id="563" w:name="_Toc35796348"/>
      <w:bookmarkStart w:id="564" w:name="_Toc79657950"/>
      <w:bookmarkEnd w:id="562"/>
      <w:r>
        <w:t>Renewable Integration - Forecasting</w:t>
      </w:r>
      <w:bookmarkEnd w:id="563"/>
      <w:bookmarkEnd w:id="564"/>
    </w:p>
    <w:p w14:paraId="400BD7AF" w14:textId="77777777" w:rsidR="00DA3379" w:rsidDel="002A55B6" w:rsidRDefault="00F27C96" w:rsidP="001B4599">
      <w:pPr>
        <w:pStyle w:val="Default"/>
        <w:spacing w:before="120" w:after="120"/>
        <w:rPr>
          <w:sz w:val="22"/>
          <w:szCs w:val="22"/>
        </w:rPr>
      </w:pPr>
      <w:r w:rsidDel="002A55B6">
        <w:rPr>
          <w:sz w:val="22"/>
          <w:szCs w:val="22"/>
        </w:rPr>
        <w:t xml:space="preserve">The </w:t>
      </w:r>
      <w:r w:rsidDel="002A55B6">
        <w:rPr>
          <w:i/>
          <w:sz w:val="22"/>
          <w:szCs w:val="22"/>
        </w:rPr>
        <w:t>IESO</w:t>
      </w:r>
      <w:r w:rsidDel="002A55B6">
        <w:rPr>
          <w:sz w:val="22"/>
          <w:szCs w:val="22"/>
        </w:rPr>
        <w:t xml:space="preserve"> has established </w:t>
      </w:r>
      <w:r w:rsidR="00DA3379" w:rsidRPr="00DA3379" w:rsidDel="002A55B6">
        <w:rPr>
          <w:color w:val="auto"/>
          <w:sz w:val="22"/>
          <w:szCs w:val="22"/>
        </w:rPr>
        <w:t>forecasting services</w:t>
      </w:r>
      <w:r w:rsidDel="002A55B6">
        <w:rPr>
          <w:sz w:val="22"/>
          <w:szCs w:val="22"/>
        </w:rPr>
        <w:t xml:space="preserve"> as a procured service to accommodate </w:t>
      </w:r>
      <w:r w:rsidDel="002A55B6">
        <w:rPr>
          <w:i/>
          <w:sz w:val="22"/>
          <w:szCs w:val="22"/>
        </w:rPr>
        <w:t>variable generation</w:t>
      </w:r>
      <w:r w:rsidDel="002A55B6">
        <w:rPr>
          <w:sz w:val="22"/>
          <w:szCs w:val="22"/>
        </w:rPr>
        <w:t xml:space="preserve"> from wind and solar resources.  Forecasting services relating to </w:t>
      </w:r>
      <w:r w:rsidDel="002A55B6">
        <w:rPr>
          <w:i/>
          <w:sz w:val="22"/>
          <w:szCs w:val="22"/>
        </w:rPr>
        <w:t xml:space="preserve">variable generation </w:t>
      </w:r>
      <w:r w:rsidRPr="0058466B" w:rsidDel="002A55B6">
        <w:rPr>
          <w:sz w:val="22"/>
          <w:szCs w:val="22"/>
        </w:rPr>
        <w:t xml:space="preserve">implements one of the key principles of the </w:t>
      </w:r>
      <w:r w:rsidDel="002A55B6">
        <w:rPr>
          <w:i/>
          <w:sz w:val="22"/>
          <w:szCs w:val="22"/>
        </w:rPr>
        <w:t>IESO</w:t>
      </w:r>
      <w:r w:rsidDel="002A55B6">
        <w:rPr>
          <w:sz w:val="22"/>
          <w:szCs w:val="22"/>
        </w:rPr>
        <w:t xml:space="preserve">’s ‘Renewable Integration Initiative’ to integrate the influx of renewable generation into the </w:t>
      </w:r>
      <w:r w:rsidDel="002A55B6">
        <w:rPr>
          <w:i/>
          <w:sz w:val="22"/>
          <w:szCs w:val="22"/>
        </w:rPr>
        <w:t>IESO-administered markets</w:t>
      </w:r>
      <w:r w:rsidDel="002A55B6">
        <w:rPr>
          <w:sz w:val="22"/>
          <w:szCs w:val="22"/>
        </w:rPr>
        <w:t>.</w:t>
      </w:r>
    </w:p>
    <w:p w14:paraId="215E32C3" w14:textId="77777777" w:rsidR="00F27C96" w:rsidRPr="00895A84" w:rsidDel="002A55B6" w:rsidRDefault="00F27C96" w:rsidP="001B4599">
      <w:pPr>
        <w:spacing w:before="120" w:after="120"/>
        <w:rPr>
          <w:szCs w:val="22"/>
        </w:rPr>
      </w:pPr>
      <w:r w:rsidDel="002A55B6">
        <w:rPr>
          <w:szCs w:val="22"/>
        </w:rPr>
        <w:t xml:space="preserve">The </w:t>
      </w:r>
      <w:r w:rsidDel="002A55B6">
        <w:rPr>
          <w:i/>
          <w:szCs w:val="22"/>
        </w:rPr>
        <w:t>settlement</w:t>
      </w:r>
      <w:r w:rsidDel="002A55B6">
        <w:rPr>
          <w:szCs w:val="22"/>
        </w:rPr>
        <w:t xml:space="preserve"> of the forecasting charges follows the </w:t>
      </w:r>
      <w:r w:rsidDel="002A55B6">
        <w:rPr>
          <w:i/>
          <w:szCs w:val="22"/>
        </w:rPr>
        <w:t>IESO’s</w:t>
      </w:r>
      <w:r w:rsidDel="002A55B6">
        <w:rPr>
          <w:szCs w:val="22"/>
        </w:rPr>
        <w:t xml:space="preserve"> existing </w:t>
      </w:r>
      <w:r w:rsidDel="002A55B6">
        <w:rPr>
          <w:i/>
          <w:szCs w:val="22"/>
        </w:rPr>
        <w:t>physical market</w:t>
      </w:r>
      <w:r w:rsidDel="002A55B6">
        <w:rPr>
          <w:szCs w:val="22"/>
        </w:rPr>
        <w:t xml:space="preserve"> invoicing process and timelines.  Costs paid to the forecasting entities are treated as a procured service charge and recovered through a month-end non-hourly uplift charge to </w:t>
      </w:r>
      <w:r w:rsidR="00CC00BC" w:rsidRPr="00CC00BC" w:rsidDel="002A55B6">
        <w:rPr>
          <w:i/>
          <w:szCs w:val="22"/>
        </w:rPr>
        <w:t>consumer</w:t>
      </w:r>
      <w:r w:rsidDel="002A55B6">
        <w:rPr>
          <w:szCs w:val="22"/>
        </w:rPr>
        <w:t xml:space="preserve"> loads and exports.  </w:t>
      </w:r>
      <w:r w:rsidDel="002A55B6">
        <w:rPr>
          <w:i/>
          <w:szCs w:val="22"/>
        </w:rPr>
        <w:t>Charge type</w:t>
      </w:r>
      <w:r w:rsidDel="002A55B6">
        <w:rPr>
          <w:szCs w:val="22"/>
        </w:rPr>
        <w:t xml:space="preserve"> 1600 “Forecasting Service Settlement Amount” will appear on the forecasting entity’s </w:t>
      </w:r>
      <w:r w:rsidDel="002A55B6">
        <w:rPr>
          <w:i/>
          <w:szCs w:val="22"/>
        </w:rPr>
        <w:t xml:space="preserve">preliminary settlement statement </w:t>
      </w:r>
      <w:r w:rsidDel="002A55B6">
        <w:rPr>
          <w:szCs w:val="22"/>
        </w:rPr>
        <w:t xml:space="preserve">and </w:t>
      </w:r>
      <w:r w:rsidDel="002A55B6">
        <w:rPr>
          <w:i/>
          <w:szCs w:val="22"/>
        </w:rPr>
        <w:t>final settlement statement</w:t>
      </w:r>
      <w:r w:rsidDel="002A55B6">
        <w:rPr>
          <w:szCs w:val="22"/>
        </w:rPr>
        <w:t xml:space="preserve"> for the last trading day of the month.  The corresponding setoff, </w:t>
      </w:r>
      <w:r w:rsidDel="002A55B6">
        <w:rPr>
          <w:i/>
          <w:szCs w:val="22"/>
        </w:rPr>
        <w:t>charge type</w:t>
      </w:r>
      <w:r w:rsidDel="002A55B6">
        <w:rPr>
          <w:szCs w:val="22"/>
        </w:rPr>
        <w:t xml:space="preserve"> 1650 “Forecasting Service Balancing Amount”, is included as </w:t>
      </w:r>
      <w:r w:rsidR="00037BF2" w:rsidDel="002A55B6">
        <w:rPr>
          <w:szCs w:val="22"/>
        </w:rPr>
        <w:t xml:space="preserve">an automatic charge </w:t>
      </w:r>
      <w:r w:rsidDel="002A55B6">
        <w:rPr>
          <w:szCs w:val="22"/>
        </w:rPr>
        <w:t xml:space="preserve">on the </w:t>
      </w:r>
      <w:r w:rsidDel="002A55B6">
        <w:rPr>
          <w:i/>
          <w:szCs w:val="22"/>
        </w:rPr>
        <w:t>settlement statements</w:t>
      </w:r>
      <w:r w:rsidDel="002A55B6">
        <w:rPr>
          <w:szCs w:val="22"/>
        </w:rPr>
        <w:t xml:space="preserve"> of all load and export customers for the last </w:t>
      </w:r>
      <w:r w:rsidDel="002A55B6">
        <w:rPr>
          <w:i/>
          <w:szCs w:val="22"/>
        </w:rPr>
        <w:t>trading day</w:t>
      </w:r>
      <w:r w:rsidDel="002A55B6">
        <w:rPr>
          <w:szCs w:val="22"/>
        </w:rPr>
        <w:t xml:space="preserve"> of the month.</w:t>
      </w:r>
    </w:p>
    <w:p w14:paraId="35CE22AE" w14:textId="1344C322" w:rsidR="00F27C96" w:rsidRDefault="00F27C96" w:rsidP="001B4599">
      <w:pPr>
        <w:spacing w:before="120" w:after="120"/>
        <w:rPr>
          <w:szCs w:val="22"/>
        </w:rPr>
      </w:pPr>
      <w:r w:rsidDel="002A55B6">
        <w:rPr>
          <w:szCs w:val="22"/>
        </w:rPr>
        <w:t xml:space="preserve">For more information on the </w:t>
      </w:r>
      <w:r w:rsidDel="002A55B6">
        <w:rPr>
          <w:i/>
          <w:szCs w:val="22"/>
        </w:rPr>
        <w:t>IESO’s</w:t>
      </w:r>
      <w:r w:rsidDel="002A55B6">
        <w:rPr>
          <w:szCs w:val="22"/>
        </w:rPr>
        <w:t xml:space="preserve"> Renewable Integration Initiative, refer to the following link: </w:t>
      </w:r>
      <w:hyperlink r:id="rId36" w:tooltip="IESO Renewable Integration Initiative link" w:history="1">
        <w:r w:rsidR="00FA0A32" w:rsidDel="002A55B6">
          <w:rPr>
            <w:rStyle w:val="Hyperlink"/>
            <w:szCs w:val="22"/>
          </w:rPr>
          <w:t>http://www.ieso.ca/-/media/files/ieso/document-library/engage/completed/renewable-integration_completed-engagement.pdf</w:t>
        </w:r>
      </w:hyperlink>
      <w:r w:rsidRPr="0058466B" w:rsidDel="002A55B6">
        <w:rPr>
          <w:szCs w:val="22"/>
        </w:rPr>
        <w:t>.</w:t>
      </w:r>
    </w:p>
    <w:p w14:paraId="40153DC2" w14:textId="77777777" w:rsidR="007307E6" w:rsidRPr="007B23AC" w:rsidRDefault="00DA3379" w:rsidP="003853C6">
      <w:pPr>
        <w:pStyle w:val="Heading3"/>
        <w:numPr>
          <w:ilvl w:val="2"/>
          <w:numId w:val="26"/>
        </w:numPr>
      </w:pPr>
      <w:bookmarkStart w:id="565" w:name="_Toc333314906"/>
      <w:bookmarkStart w:id="566" w:name="_Toc400369523"/>
      <w:bookmarkStart w:id="567" w:name="_Toc35796349"/>
      <w:bookmarkStart w:id="568" w:name="_Toc79657951"/>
      <w:bookmarkEnd w:id="565"/>
      <w:r w:rsidRPr="00DA3379">
        <w:t xml:space="preserve">Adjustment for </w:t>
      </w:r>
      <w:r w:rsidR="00E25DF6" w:rsidRPr="00DA3379">
        <w:t>Self-Induced</w:t>
      </w:r>
      <w:r w:rsidRPr="00DA3379">
        <w:t xml:space="preserve"> CMSC Earned by Certain </w:t>
      </w:r>
      <w:r w:rsidR="00A810D0">
        <w:t>Generating Facilities</w:t>
      </w:r>
      <w:bookmarkEnd w:id="566"/>
      <w:bookmarkEnd w:id="567"/>
      <w:bookmarkEnd w:id="568"/>
    </w:p>
    <w:p w14:paraId="09EF1F6F" w14:textId="30D050DB" w:rsidR="00DA3379" w:rsidRDefault="00DA3379" w:rsidP="0086306A">
      <w:pPr>
        <w:spacing w:before="120"/>
      </w:pPr>
      <w:r w:rsidRPr="00DA3379">
        <w:t xml:space="preserve">If you are the </w:t>
      </w:r>
      <w:r w:rsidRPr="00DA3379">
        <w:rPr>
          <w:i/>
          <w:iCs/>
        </w:rPr>
        <w:t>market participant</w:t>
      </w:r>
      <w:r w:rsidRPr="00DA3379">
        <w:t xml:space="preserve"> for a dispatchable </w:t>
      </w:r>
      <w:r w:rsidRPr="00DA3379">
        <w:rPr>
          <w:i/>
        </w:rPr>
        <w:t>generating facility</w:t>
      </w:r>
      <w:r w:rsidR="00876D3C" w:rsidRPr="00876D3C">
        <w:t xml:space="preserve"> </w:t>
      </w:r>
      <w:r w:rsidR="00876D3C">
        <w:t xml:space="preserve">or a </w:t>
      </w:r>
      <w:r w:rsidR="00876D3C" w:rsidRPr="004F258B">
        <w:rPr>
          <w:szCs w:val="22"/>
          <w:lang w:val="en-CA"/>
        </w:rPr>
        <w:t>dispatchable</w:t>
      </w:r>
      <w:r w:rsidR="00876D3C" w:rsidRPr="004F258B">
        <w:rPr>
          <w:i/>
          <w:szCs w:val="22"/>
          <w:lang w:val="en-CA"/>
        </w:rPr>
        <w:t xml:space="preserve"> electricity storage facility</w:t>
      </w:r>
      <w:r w:rsidR="00876D3C">
        <w:rPr>
          <w:i/>
          <w:szCs w:val="22"/>
          <w:lang w:val="en-CA"/>
        </w:rPr>
        <w:t xml:space="preserve"> </w:t>
      </w:r>
      <w:r w:rsidR="00876D3C">
        <w:rPr>
          <w:szCs w:val="22"/>
          <w:lang w:val="en-CA"/>
        </w:rPr>
        <w:t>that injects</w:t>
      </w:r>
      <w:r w:rsidRPr="00DA3379">
        <w:t xml:space="preserve">, </w:t>
      </w:r>
      <w:r w:rsidRPr="00DA3379">
        <w:rPr>
          <w:szCs w:val="22"/>
        </w:rPr>
        <w:t>the</w:t>
      </w:r>
      <w:r w:rsidRPr="00DA3379">
        <w:rPr>
          <w:i/>
          <w:szCs w:val="22"/>
        </w:rPr>
        <w:t xml:space="preserve"> IESO</w:t>
      </w:r>
      <w:r w:rsidRPr="00DA3379">
        <w:rPr>
          <w:szCs w:val="22"/>
        </w:rPr>
        <w:t xml:space="preserve"> may recover “self-induced” congestion management </w:t>
      </w:r>
      <w:r w:rsidRPr="00DA3379">
        <w:rPr>
          <w:i/>
          <w:szCs w:val="22"/>
        </w:rPr>
        <w:t>settlement</w:t>
      </w:r>
      <w:r w:rsidRPr="00DA3379">
        <w:rPr>
          <w:szCs w:val="22"/>
        </w:rPr>
        <w:t xml:space="preserve"> credit (CMSC) payments from </w:t>
      </w:r>
      <w:r w:rsidRPr="00DA3379">
        <w:rPr>
          <w:i/>
          <w:szCs w:val="22"/>
        </w:rPr>
        <w:t>generators</w:t>
      </w:r>
      <w:r w:rsidRPr="00DA3379">
        <w:rPr>
          <w:szCs w:val="22"/>
        </w:rPr>
        <w:t xml:space="preserve"> </w:t>
      </w:r>
      <w:r w:rsidR="00876D3C">
        <w:rPr>
          <w:szCs w:val="22"/>
        </w:rPr>
        <w:t xml:space="preserve">or </w:t>
      </w:r>
      <w:r w:rsidR="00876D3C" w:rsidRPr="00D8729C">
        <w:rPr>
          <w:i/>
          <w:szCs w:val="22"/>
        </w:rPr>
        <w:t>electricity storage participants</w:t>
      </w:r>
      <w:r w:rsidR="00876D3C">
        <w:rPr>
          <w:szCs w:val="22"/>
        </w:rPr>
        <w:t xml:space="preserve"> that inject </w:t>
      </w:r>
      <w:r w:rsidRPr="00DA3379">
        <w:rPr>
          <w:szCs w:val="22"/>
        </w:rPr>
        <w:t>under three specific scenarios</w:t>
      </w:r>
      <w:r w:rsidR="00876D3C">
        <w:rPr>
          <w:szCs w:val="22"/>
        </w:rPr>
        <w:t xml:space="preserve"> </w:t>
      </w:r>
      <w:r w:rsidR="00B442BA" w:rsidRPr="00B442BA">
        <w:rPr>
          <w:szCs w:val="22"/>
        </w:rPr>
        <w:t xml:space="preserve">in accordance with sections 3.5.6B, 3.5.6C and 3.5.6D of Chapter 9 of the </w:t>
      </w:r>
      <w:r w:rsidR="00B442BA" w:rsidRPr="00747912">
        <w:rPr>
          <w:i/>
          <w:szCs w:val="22"/>
        </w:rPr>
        <w:t>market rules</w:t>
      </w:r>
      <w:r w:rsidR="00B442BA" w:rsidRPr="00B442BA">
        <w:rPr>
          <w:szCs w:val="22"/>
        </w:rPr>
        <w:t xml:space="preserve"> </w:t>
      </w:r>
      <w:r w:rsidR="00876D3C">
        <w:rPr>
          <w:szCs w:val="22"/>
        </w:rPr>
        <w:t xml:space="preserve">(but for clarity, </w:t>
      </w:r>
      <w:r w:rsidR="00876D3C" w:rsidRPr="00D8729C">
        <w:rPr>
          <w:i/>
          <w:szCs w:val="22"/>
        </w:rPr>
        <w:t>electricity storage participants</w:t>
      </w:r>
      <w:r w:rsidR="00876D3C">
        <w:rPr>
          <w:szCs w:val="22"/>
        </w:rPr>
        <w:t xml:space="preserve"> are only affected by the second scenario below</w:t>
      </w:r>
      <w:r w:rsidR="00876D3C">
        <w:rPr>
          <w:i/>
          <w:szCs w:val="22"/>
        </w:rPr>
        <w:t>)</w:t>
      </w:r>
      <w:r w:rsidRPr="00DA3379">
        <w:rPr>
          <w:szCs w:val="22"/>
        </w:rPr>
        <w:t xml:space="preserve">. Self-induced CMSC payments occur as the result of actions taken by the </w:t>
      </w:r>
      <w:r w:rsidRPr="00DA3379">
        <w:rPr>
          <w:i/>
          <w:szCs w:val="22"/>
        </w:rPr>
        <w:t>generator</w:t>
      </w:r>
      <w:r w:rsidRPr="00DA3379">
        <w:rPr>
          <w:szCs w:val="22"/>
        </w:rPr>
        <w:t xml:space="preserve"> </w:t>
      </w:r>
      <w:r w:rsidR="00876D3C">
        <w:rPr>
          <w:szCs w:val="22"/>
        </w:rPr>
        <w:t xml:space="preserve">or </w:t>
      </w:r>
      <w:r w:rsidR="00876D3C" w:rsidRPr="00D8729C">
        <w:rPr>
          <w:i/>
          <w:szCs w:val="22"/>
        </w:rPr>
        <w:t>electricity storage participa</w:t>
      </w:r>
      <w:r w:rsidR="00876D3C">
        <w:rPr>
          <w:i/>
          <w:szCs w:val="22"/>
        </w:rPr>
        <w:t>nt</w:t>
      </w:r>
      <w:r w:rsidR="00876D3C" w:rsidRPr="00DA3379">
        <w:rPr>
          <w:szCs w:val="22"/>
        </w:rPr>
        <w:t xml:space="preserve"> </w:t>
      </w:r>
      <w:r w:rsidRPr="00DA3379">
        <w:rPr>
          <w:szCs w:val="22"/>
        </w:rPr>
        <w:t xml:space="preserve">and/or conditions at, or involving, the </w:t>
      </w:r>
      <w:r w:rsidRPr="00DA3379">
        <w:rPr>
          <w:i/>
          <w:szCs w:val="22"/>
        </w:rPr>
        <w:t>generation facility</w:t>
      </w:r>
      <w:r w:rsidRPr="00DA3379">
        <w:rPr>
          <w:szCs w:val="22"/>
        </w:rPr>
        <w:t xml:space="preserve"> </w:t>
      </w:r>
      <w:r w:rsidR="00876D3C">
        <w:rPr>
          <w:szCs w:val="22"/>
        </w:rPr>
        <w:t xml:space="preserve">or </w:t>
      </w:r>
      <w:r w:rsidR="00876D3C" w:rsidRPr="00D8729C">
        <w:rPr>
          <w:i/>
          <w:szCs w:val="22"/>
        </w:rPr>
        <w:t xml:space="preserve">electricity storage </w:t>
      </w:r>
      <w:r w:rsidR="00876D3C">
        <w:rPr>
          <w:i/>
          <w:szCs w:val="22"/>
        </w:rPr>
        <w:t>facility</w:t>
      </w:r>
      <w:r w:rsidR="00876D3C" w:rsidRPr="00DA3379">
        <w:rPr>
          <w:szCs w:val="22"/>
        </w:rPr>
        <w:t xml:space="preserve"> </w:t>
      </w:r>
      <w:r w:rsidRPr="00DA3379">
        <w:rPr>
          <w:szCs w:val="22"/>
        </w:rPr>
        <w:t xml:space="preserve">and not by conditions on the </w:t>
      </w:r>
      <w:r w:rsidRPr="00DA3379">
        <w:rPr>
          <w:i/>
          <w:szCs w:val="22"/>
        </w:rPr>
        <w:t>IESO-controlled grid</w:t>
      </w:r>
      <w:r w:rsidRPr="00DA3379">
        <w:rPr>
          <w:szCs w:val="22"/>
        </w:rPr>
        <w:t>. As such, these CMSC payments are not consistent with the intent of CMSC payments. The three scenarios are:</w:t>
      </w:r>
    </w:p>
    <w:p w14:paraId="3595A4A4" w14:textId="77777777" w:rsidR="00FA01F0" w:rsidRPr="007B23AC" w:rsidRDefault="00DA3379" w:rsidP="003853C6">
      <w:pPr>
        <w:pStyle w:val="ListParagraph"/>
        <w:numPr>
          <w:ilvl w:val="0"/>
          <w:numId w:val="84"/>
        </w:numPr>
      </w:pPr>
      <w:r w:rsidRPr="00DA3379">
        <w:t xml:space="preserve">A </w:t>
      </w:r>
      <w:r w:rsidRPr="00DA3379">
        <w:rPr>
          <w:i/>
        </w:rPr>
        <w:t>generation facility</w:t>
      </w:r>
      <w:r w:rsidRPr="00DA3379">
        <w:t xml:space="preserve"> that is eligible for a real-time generation cost guarantee (RT-GCG), disqualifies itself for the guarantee but could receive self-induced CMSC payments as a result;</w:t>
      </w:r>
    </w:p>
    <w:p w14:paraId="48D9EDB6" w14:textId="5CD1CC5E" w:rsidR="00FA01F0" w:rsidRPr="007B23AC" w:rsidRDefault="00DA3379" w:rsidP="003853C6">
      <w:pPr>
        <w:pStyle w:val="ListParagraph"/>
        <w:numPr>
          <w:ilvl w:val="0"/>
          <w:numId w:val="84"/>
        </w:numPr>
      </w:pPr>
      <w:r w:rsidRPr="00DA3379">
        <w:t xml:space="preserve">A </w:t>
      </w:r>
      <w:r w:rsidRPr="00DA3379">
        <w:rPr>
          <w:i/>
        </w:rPr>
        <w:t>generation facility</w:t>
      </w:r>
      <w:r w:rsidRPr="00DA3379">
        <w:t xml:space="preserve"> </w:t>
      </w:r>
      <w:r w:rsidR="00876D3C">
        <w:t xml:space="preserve">or a </w:t>
      </w:r>
      <w:r w:rsidR="00876D3C" w:rsidRPr="004F258B">
        <w:rPr>
          <w:szCs w:val="22"/>
          <w:lang w:val="en-CA"/>
        </w:rPr>
        <w:t>dispatchable</w:t>
      </w:r>
      <w:r w:rsidR="00876D3C" w:rsidRPr="004F258B">
        <w:rPr>
          <w:i/>
          <w:szCs w:val="22"/>
          <w:lang w:val="en-CA"/>
        </w:rPr>
        <w:t xml:space="preserve"> electricity storage facility</w:t>
      </w:r>
      <w:r w:rsidR="00876D3C">
        <w:rPr>
          <w:i/>
          <w:szCs w:val="22"/>
          <w:lang w:val="en-CA"/>
        </w:rPr>
        <w:t xml:space="preserve"> </w:t>
      </w:r>
      <w:r w:rsidR="00876D3C">
        <w:rPr>
          <w:szCs w:val="22"/>
          <w:lang w:val="en-CA"/>
        </w:rPr>
        <w:t>that injects</w:t>
      </w:r>
      <w:r w:rsidR="00876D3C" w:rsidRPr="00DA3379">
        <w:t xml:space="preserve"> </w:t>
      </w:r>
      <w:r w:rsidRPr="00DA3379">
        <w:t>that either:</w:t>
      </w:r>
    </w:p>
    <w:p w14:paraId="6B81398E" w14:textId="77777777" w:rsidR="00FA01F0" w:rsidRPr="007B23AC" w:rsidRDefault="00DA3379" w:rsidP="003853C6">
      <w:pPr>
        <w:pStyle w:val="ListParagraph"/>
        <w:numPr>
          <w:ilvl w:val="1"/>
          <w:numId w:val="84"/>
        </w:numPr>
      </w:pPr>
      <w:r w:rsidRPr="00DA3379">
        <w:t xml:space="preserve">is unable to follow </w:t>
      </w:r>
      <w:r w:rsidRPr="00DA3379">
        <w:rPr>
          <w:i/>
        </w:rPr>
        <w:t>IESO</w:t>
      </w:r>
      <w:r w:rsidRPr="00DA3379">
        <w:t xml:space="preserve"> </w:t>
      </w:r>
      <w:r w:rsidRPr="00DA3379">
        <w:rPr>
          <w:i/>
        </w:rPr>
        <w:t>dispatch</w:t>
      </w:r>
      <w:r w:rsidRPr="00DA3379">
        <w:t xml:space="preserve"> instructions, and/or</w:t>
      </w:r>
    </w:p>
    <w:p w14:paraId="5789DFA4" w14:textId="2EA27EEB" w:rsidR="00FA01F0" w:rsidRPr="007B23AC" w:rsidRDefault="00DA3379" w:rsidP="003853C6">
      <w:pPr>
        <w:pStyle w:val="ListParagraph"/>
        <w:numPr>
          <w:ilvl w:val="1"/>
          <w:numId w:val="84"/>
        </w:numPr>
      </w:pPr>
      <w:r w:rsidRPr="00DA3379">
        <w:t xml:space="preserve">is </w:t>
      </w:r>
      <w:r w:rsidRPr="00DA3379">
        <w:rPr>
          <w:i/>
        </w:rPr>
        <w:t>constrained on</w:t>
      </w:r>
      <w:r w:rsidRPr="00DA3379">
        <w:t xml:space="preserve"> or </w:t>
      </w:r>
      <w:r w:rsidRPr="00DA3379">
        <w:rPr>
          <w:i/>
        </w:rPr>
        <w:t>constrained off</w:t>
      </w:r>
      <w:r w:rsidRPr="00DA3379">
        <w:t xml:space="preserve"> by the </w:t>
      </w:r>
      <w:r w:rsidRPr="00DA3379">
        <w:rPr>
          <w:i/>
        </w:rPr>
        <w:t>IESO</w:t>
      </w:r>
      <w:r w:rsidRPr="00DA3379">
        <w:t xml:space="preserve">, at the request of the </w:t>
      </w:r>
      <w:r w:rsidRPr="00DA3379">
        <w:rPr>
          <w:i/>
        </w:rPr>
        <w:t>generator</w:t>
      </w:r>
      <w:r w:rsidR="00876D3C">
        <w:rPr>
          <w:i/>
        </w:rPr>
        <w:t xml:space="preserve"> </w:t>
      </w:r>
      <w:r w:rsidR="00876D3C">
        <w:t xml:space="preserve">or </w:t>
      </w:r>
      <w:r w:rsidR="00876D3C" w:rsidRPr="00934188">
        <w:rPr>
          <w:i/>
        </w:rPr>
        <w:t>electricity storage participant</w:t>
      </w:r>
      <w:r w:rsidRPr="00DA3379">
        <w:t>, for safety, legal, regulatory, environmental or equipment damage reasons; could receive self-induced CMSC payments as a result.</w:t>
      </w:r>
    </w:p>
    <w:p w14:paraId="5F557583" w14:textId="24862CC8" w:rsidR="00FA01F0" w:rsidRPr="007B23AC" w:rsidRDefault="00DA3379" w:rsidP="003853C6">
      <w:pPr>
        <w:pStyle w:val="ListParagraph"/>
        <w:numPr>
          <w:ilvl w:val="0"/>
          <w:numId w:val="84"/>
        </w:numPr>
      </w:pPr>
      <w:r w:rsidRPr="00DA3379">
        <w:t xml:space="preserve">A </w:t>
      </w:r>
      <w:r w:rsidRPr="00DA3379">
        <w:rPr>
          <w:i/>
        </w:rPr>
        <w:t>generation facility</w:t>
      </w:r>
      <w:r w:rsidRPr="00DA3379">
        <w:t xml:space="preserve"> (e.g. a steam turbine) fueled by another </w:t>
      </w:r>
      <w:r w:rsidRPr="00DA3379">
        <w:rPr>
          <w:i/>
        </w:rPr>
        <w:t>generation facility</w:t>
      </w:r>
      <w:r w:rsidRPr="00DA3379">
        <w:t xml:space="preserve"> (e.g. a gas turbine) could receive self-induced CMSC payments as a result of the relationship between the facilities’ </w:t>
      </w:r>
      <w:r w:rsidRPr="00DA3379">
        <w:rPr>
          <w:i/>
        </w:rPr>
        <w:t>offer</w:t>
      </w:r>
      <w:r w:rsidRPr="00DA3379">
        <w:t xml:space="preserve"> prices and constraints applied by the </w:t>
      </w:r>
      <w:r w:rsidRPr="00DA3379">
        <w:rPr>
          <w:i/>
        </w:rPr>
        <w:t>IESO</w:t>
      </w:r>
      <w:r w:rsidRPr="00DA3379">
        <w:t xml:space="preserve"> to recognize the operational dependencies of the two facilities. More specifically, this occurs when the </w:t>
      </w:r>
      <w:r w:rsidRPr="00DA3379">
        <w:rPr>
          <w:szCs w:val="22"/>
        </w:rPr>
        <w:t xml:space="preserve">steam unit </w:t>
      </w:r>
      <w:r w:rsidRPr="00DA3379">
        <w:rPr>
          <w:i/>
          <w:szCs w:val="22"/>
        </w:rPr>
        <w:t>offer</w:t>
      </w:r>
      <w:r w:rsidRPr="00DA3379">
        <w:rPr>
          <w:szCs w:val="22"/>
        </w:rPr>
        <w:t xml:space="preserve"> is higher than the </w:t>
      </w:r>
      <w:r w:rsidRPr="00DA3379">
        <w:rPr>
          <w:i/>
          <w:szCs w:val="22"/>
        </w:rPr>
        <w:t>offer</w:t>
      </w:r>
      <w:r w:rsidRPr="00DA3379">
        <w:rPr>
          <w:szCs w:val="22"/>
        </w:rPr>
        <w:t xml:space="preserve"> of the unit fuelling the steam unit.</w:t>
      </w:r>
    </w:p>
    <w:p w14:paraId="6C8A01BF" w14:textId="1CCC8385" w:rsidR="00B07764" w:rsidRPr="007B23AC" w:rsidRDefault="00DA3379" w:rsidP="008C1AB8">
      <w:r w:rsidRPr="00DA3379">
        <w:t xml:space="preserve">CMSC earned by the </w:t>
      </w:r>
      <w:r w:rsidRPr="00DA3379">
        <w:rPr>
          <w:i/>
        </w:rPr>
        <w:t>generating facility</w:t>
      </w:r>
      <w:r w:rsidRPr="00DA3379">
        <w:t xml:space="preserve"> </w:t>
      </w:r>
      <w:r w:rsidR="00876D3C">
        <w:t xml:space="preserve">or a </w:t>
      </w:r>
      <w:r w:rsidR="00876D3C" w:rsidRPr="004F258B">
        <w:rPr>
          <w:szCs w:val="22"/>
          <w:lang w:val="en-CA"/>
        </w:rPr>
        <w:t>dispatchable</w:t>
      </w:r>
      <w:r w:rsidR="00876D3C" w:rsidRPr="004F258B">
        <w:rPr>
          <w:i/>
          <w:szCs w:val="22"/>
          <w:lang w:val="en-CA"/>
        </w:rPr>
        <w:t xml:space="preserve"> electricity storage facility</w:t>
      </w:r>
      <w:r w:rsidR="00876D3C">
        <w:rPr>
          <w:i/>
          <w:szCs w:val="22"/>
          <w:lang w:val="en-CA"/>
        </w:rPr>
        <w:t xml:space="preserve"> </w:t>
      </w:r>
      <w:r w:rsidR="00876D3C">
        <w:rPr>
          <w:szCs w:val="22"/>
          <w:lang w:val="en-CA"/>
        </w:rPr>
        <w:t>that injects</w:t>
      </w:r>
      <w:r w:rsidR="00876D3C" w:rsidRPr="00DA3379">
        <w:t xml:space="preserve"> </w:t>
      </w:r>
      <w:r w:rsidRPr="00DA3379">
        <w:t>in these specific scenarios is considered inappropriate as these payments are not consistent with the original intent of CMSC.</w:t>
      </w:r>
    </w:p>
    <w:p w14:paraId="0571F074" w14:textId="77777777" w:rsidR="008153B5" w:rsidRPr="007B23AC" w:rsidRDefault="00DA3379" w:rsidP="008C1AB8">
      <w:r w:rsidRPr="00DA3379">
        <w:rPr>
          <w:i/>
        </w:rPr>
        <w:t>IESO</w:t>
      </w:r>
      <w:r w:rsidRPr="00DA3379">
        <w:t xml:space="preserve"> staff will investigate these instances on an on-going basis and will notify you of the applicable CMSC recovery. You will have 5 </w:t>
      </w:r>
      <w:r w:rsidRPr="00DA3379">
        <w:rPr>
          <w:i/>
        </w:rPr>
        <w:t>business days</w:t>
      </w:r>
      <w:r w:rsidRPr="00DA3379">
        <w:t xml:space="preserve"> to respond to the </w:t>
      </w:r>
      <w:r w:rsidRPr="00DA3379">
        <w:rPr>
          <w:i/>
        </w:rPr>
        <w:t>IESO’s</w:t>
      </w:r>
      <w:r w:rsidRPr="00DA3379">
        <w:t xml:space="preserve"> notification if you disagree. If you do not respond within 5 </w:t>
      </w:r>
      <w:r w:rsidRPr="00DA3379">
        <w:rPr>
          <w:i/>
        </w:rPr>
        <w:t>business days</w:t>
      </w:r>
      <w:r w:rsidRPr="00DA3379">
        <w:t xml:space="preserve">, the CMSC included in the </w:t>
      </w:r>
      <w:r w:rsidRPr="00DA3379">
        <w:rPr>
          <w:i/>
        </w:rPr>
        <w:t>IESO’s</w:t>
      </w:r>
      <w:r w:rsidRPr="00DA3379">
        <w:t xml:space="preserve"> notice shall be recovered.</w:t>
      </w:r>
    </w:p>
    <w:p w14:paraId="7F22538D" w14:textId="15A3D9AC" w:rsidR="001907F0" w:rsidRPr="007B23AC" w:rsidRDefault="00B442BA" w:rsidP="001907F0">
      <w:pPr>
        <w:pStyle w:val="ListContinue"/>
        <w:rPr>
          <w:szCs w:val="22"/>
          <w:lang w:val="en-CA"/>
        </w:rPr>
      </w:pPr>
      <w:r w:rsidRPr="00B442BA">
        <w:rPr>
          <w:szCs w:val="22"/>
          <w:lang w:val="en-CA"/>
        </w:rPr>
        <w:t xml:space="preserve">The CMSC recovery is applied as a manual entry to </w:t>
      </w:r>
      <w:r w:rsidRPr="00B442BA">
        <w:rPr>
          <w:i/>
          <w:szCs w:val="22"/>
          <w:lang w:val="en-CA"/>
        </w:rPr>
        <w:t>charge type</w:t>
      </w:r>
      <w:r w:rsidRPr="00B442BA">
        <w:rPr>
          <w:szCs w:val="22"/>
          <w:lang w:val="en-CA"/>
        </w:rPr>
        <w:t xml:space="preserve"> 124 “SEAL Congestion Management Settlement Credit Amount”</w:t>
      </w:r>
      <w:r w:rsidR="00DA3379" w:rsidRPr="00DA3379">
        <w:rPr>
          <w:szCs w:val="22"/>
          <w:lang w:val="en-CA"/>
        </w:rPr>
        <w:t xml:space="preserve"> </w:t>
      </w:r>
      <w:r w:rsidR="00DA3379" w:rsidRPr="00DA3379">
        <w:t xml:space="preserve">on your </w:t>
      </w:r>
      <w:r w:rsidR="00DA3379" w:rsidRPr="00DA3379">
        <w:rPr>
          <w:i/>
        </w:rPr>
        <w:t>preliminary settlement statement</w:t>
      </w:r>
      <w:r w:rsidR="00DA3379" w:rsidRPr="00DA3379">
        <w:t xml:space="preserve"> and </w:t>
      </w:r>
      <w:r w:rsidR="00DA3379" w:rsidRPr="00DA3379">
        <w:rPr>
          <w:i/>
        </w:rPr>
        <w:t>final settlement statement</w:t>
      </w:r>
      <w:r w:rsidR="00DA3379" w:rsidRPr="00DA3379">
        <w:t xml:space="preserve"> for the last </w:t>
      </w:r>
      <w:r w:rsidR="00DA3379" w:rsidRPr="00DA3379">
        <w:rPr>
          <w:i/>
        </w:rPr>
        <w:t>trading day</w:t>
      </w:r>
      <w:r w:rsidR="00DA3379" w:rsidRPr="00DA3379">
        <w:t xml:space="preserve"> of the month.</w:t>
      </w:r>
      <w:r w:rsidR="00DA3379" w:rsidRPr="00DA3379">
        <w:rPr>
          <w:szCs w:val="22"/>
          <w:lang w:val="en-CA"/>
        </w:rPr>
        <w:t xml:space="preserve"> The adjustment is rebated back to </w:t>
      </w:r>
      <w:r w:rsidR="00DA3379" w:rsidRPr="00DA3379">
        <w:rPr>
          <w:i/>
          <w:szCs w:val="22"/>
          <w:lang w:val="en-CA"/>
        </w:rPr>
        <w:t>market participants</w:t>
      </w:r>
      <w:r w:rsidR="00DA3379" w:rsidRPr="00DA3379">
        <w:rPr>
          <w:szCs w:val="22"/>
          <w:lang w:val="en-CA"/>
        </w:rPr>
        <w:t xml:space="preserve"> as a single manual entry to </w:t>
      </w:r>
      <w:r w:rsidR="00DA3379" w:rsidRPr="00DA3379">
        <w:rPr>
          <w:i/>
          <w:szCs w:val="22"/>
          <w:lang w:val="en-CA"/>
        </w:rPr>
        <w:t>charge type</w:t>
      </w:r>
      <w:r w:rsidR="00DA3379" w:rsidRPr="00DA3379">
        <w:rPr>
          <w:szCs w:val="22"/>
          <w:lang w:val="en-CA"/>
        </w:rPr>
        <w:t xml:space="preserve"> 155 “Congestion Management Settlement Uplift” </w:t>
      </w:r>
      <w:r w:rsidR="00DA3379" w:rsidRPr="00DA3379">
        <w:t xml:space="preserve">on the </w:t>
      </w:r>
      <w:r w:rsidR="00DA3379" w:rsidRPr="00DA3379">
        <w:rPr>
          <w:i/>
        </w:rPr>
        <w:t>preliminary settlement statement</w:t>
      </w:r>
      <w:r w:rsidR="00DA3379" w:rsidRPr="00DA3379">
        <w:t xml:space="preserve"> and </w:t>
      </w:r>
      <w:r w:rsidR="00DA3379" w:rsidRPr="00DA3379">
        <w:rPr>
          <w:i/>
        </w:rPr>
        <w:t>final settlement statement</w:t>
      </w:r>
      <w:r w:rsidR="00DA3379" w:rsidRPr="00DA3379">
        <w:t xml:space="preserve"> for the last </w:t>
      </w:r>
      <w:r w:rsidR="00DA3379" w:rsidRPr="00DA3379">
        <w:rPr>
          <w:i/>
        </w:rPr>
        <w:t>trading day</w:t>
      </w:r>
      <w:r w:rsidR="00DA3379" w:rsidRPr="00DA3379">
        <w:t xml:space="preserve"> of the month</w:t>
      </w:r>
      <w:r w:rsidR="00DA3379" w:rsidRPr="00DA3379">
        <w:rPr>
          <w:szCs w:val="22"/>
          <w:lang w:val="en-CA"/>
        </w:rPr>
        <w:t>.</w:t>
      </w:r>
    </w:p>
    <w:p w14:paraId="62EC3804" w14:textId="77777777" w:rsidR="00DA3379" w:rsidRDefault="00A810D0" w:rsidP="00133618">
      <w:pPr>
        <w:pStyle w:val="Heading4"/>
      </w:pPr>
      <w:r w:rsidRPr="00A810D0">
        <w:t>Calculation of CMSC Payment Recovery for Steam Unit Offers</w:t>
      </w:r>
    </w:p>
    <w:p w14:paraId="1B2DCB98" w14:textId="77777777" w:rsidR="00DA3379" w:rsidRPr="00DA3379" w:rsidRDefault="00DA3379" w:rsidP="0086306A">
      <w:pPr>
        <w:spacing w:before="120" w:line="280" w:lineRule="exact"/>
        <w:rPr>
          <w:szCs w:val="22"/>
        </w:rPr>
      </w:pPr>
      <w:r w:rsidRPr="00DA3379">
        <w:rPr>
          <w:szCs w:val="22"/>
        </w:rPr>
        <w:t xml:space="preserve">When the </w:t>
      </w:r>
      <w:r w:rsidRPr="00DA3379">
        <w:rPr>
          <w:i/>
          <w:szCs w:val="22"/>
        </w:rPr>
        <w:t>IESO</w:t>
      </w:r>
      <w:r w:rsidRPr="00DA3379">
        <w:rPr>
          <w:szCs w:val="22"/>
        </w:rPr>
        <w:t xml:space="preserve"> identifies a situation involving an inappropriate CMSC payment made to a </w:t>
      </w:r>
      <w:r w:rsidRPr="00DA3379">
        <w:rPr>
          <w:i/>
          <w:szCs w:val="22"/>
        </w:rPr>
        <w:t xml:space="preserve">market participant </w:t>
      </w:r>
      <w:r w:rsidRPr="00DA3379">
        <w:rPr>
          <w:szCs w:val="22"/>
        </w:rPr>
        <w:t xml:space="preserve">resulting from high steam unit </w:t>
      </w:r>
      <w:r w:rsidRPr="00DA3379">
        <w:rPr>
          <w:i/>
          <w:szCs w:val="22"/>
        </w:rPr>
        <w:t>offers</w:t>
      </w:r>
      <w:r w:rsidRPr="00DA3379">
        <w:rPr>
          <w:szCs w:val="22"/>
        </w:rPr>
        <w:t xml:space="preserve">, the </w:t>
      </w:r>
      <w:r w:rsidRPr="00DA3379">
        <w:rPr>
          <w:i/>
          <w:szCs w:val="22"/>
        </w:rPr>
        <w:t>IESO</w:t>
      </w:r>
      <w:r w:rsidRPr="00DA3379">
        <w:rPr>
          <w:szCs w:val="22"/>
        </w:rPr>
        <w:t xml:space="preserve"> may recover that CMSC payment. If the </w:t>
      </w:r>
      <w:r w:rsidRPr="00DA3379">
        <w:rPr>
          <w:i/>
          <w:szCs w:val="22"/>
        </w:rPr>
        <w:t>IESO</w:t>
      </w:r>
      <w:r w:rsidRPr="00DA3379">
        <w:rPr>
          <w:szCs w:val="22"/>
        </w:rPr>
        <w:t xml:space="preserve"> intends to recover the CMSC payments made to the steam unit, the </w:t>
      </w:r>
      <w:r w:rsidRPr="00DA3379">
        <w:rPr>
          <w:i/>
          <w:szCs w:val="22"/>
        </w:rPr>
        <w:t>IESO</w:t>
      </w:r>
      <w:r w:rsidRPr="00DA3379">
        <w:rPr>
          <w:szCs w:val="22"/>
        </w:rPr>
        <w:t xml:space="preserve"> will prorate each output MW of the steam unit back to the </w:t>
      </w:r>
      <w:r w:rsidRPr="00DA3379">
        <w:rPr>
          <w:i/>
          <w:szCs w:val="22"/>
        </w:rPr>
        <w:t>price-quantity pair</w:t>
      </w:r>
      <w:r w:rsidRPr="00DA3379">
        <w:rPr>
          <w:szCs w:val="22"/>
        </w:rPr>
        <w:t xml:space="preserve"> of the contributing combustion turbine unit to calculate the appropriate steam unit </w:t>
      </w:r>
      <w:r w:rsidRPr="00DA3379">
        <w:rPr>
          <w:i/>
          <w:szCs w:val="22"/>
        </w:rPr>
        <w:t>offer</w:t>
      </w:r>
      <w:r w:rsidRPr="00DA3379">
        <w:rPr>
          <w:szCs w:val="22"/>
        </w:rPr>
        <w:t xml:space="preserve">. The </w:t>
      </w:r>
      <w:r w:rsidRPr="00DA3379">
        <w:rPr>
          <w:i/>
          <w:szCs w:val="22"/>
        </w:rPr>
        <w:t>IESO</w:t>
      </w:r>
      <w:r w:rsidRPr="00DA3379">
        <w:rPr>
          <w:szCs w:val="22"/>
        </w:rPr>
        <w:t xml:space="preserve"> will then recalculate the appropriate amount of CMSC based on the appropriate steam unit </w:t>
      </w:r>
      <w:r w:rsidRPr="00DA3379">
        <w:rPr>
          <w:i/>
          <w:szCs w:val="22"/>
        </w:rPr>
        <w:t>offer,</w:t>
      </w:r>
      <w:r w:rsidRPr="00DA3379">
        <w:rPr>
          <w:szCs w:val="22"/>
        </w:rPr>
        <w:t xml:space="preserve"> and recover the inappropriate CMSC. The method by which the steam unit </w:t>
      </w:r>
      <w:r w:rsidRPr="00DA3379">
        <w:rPr>
          <w:i/>
          <w:szCs w:val="22"/>
        </w:rPr>
        <w:t>offer</w:t>
      </w:r>
      <w:r w:rsidRPr="00DA3379">
        <w:rPr>
          <w:szCs w:val="22"/>
        </w:rPr>
        <w:t xml:space="preserve"> is calculated is identified below:</w:t>
      </w:r>
    </w:p>
    <w:p w14:paraId="46E84D67" w14:textId="77777777" w:rsidR="00E75AEC" w:rsidRPr="007B23AC" w:rsidRDefault="00DA3379" w:rsidP="00E75AEC">
      <w:pPr>
        <w:spacing w:line="280" w:lineRule="exact"/>
        <w:rPr>
          <w:szCs w:val="22"/>
        </w:rPr>
      </w:pPr>
      <w:r w:rsidRPr="00DA3379">
        <w:rPr>
          <w:szCs w:val="22"/>
        </w:rPr>
        <w:t>Steam Turbine (ST) is constrained to its operational minimum based on the number of combustion turbines (CTs) synchronized for Real-time Generation Cost Guarantee (RT-GCG)</w:t>
      </w:r>
    </w:p>
    <w:p w14:paraId="58EE3152" w14:textId="77777777" w:rsidR="00E75AEC" w:rsidRPr="007B23AC" w:rsidRDefault="00DA3379" w:rsidP="003853C6">
      <w:pPr>
        <w:pStyle w:val="ListParagraph"/>
        <w:numPr>
          <w:ilvl w:val="0"/>
          <w:numId w:val="85"/>
        </w:numPr>
        <w:spacing w:after="200" w:line="280" w:lineRule="exact"/>
        <w:rPr>
          <w:szCs w:val="22"/>
        </w:rPr>
      </w:pPr>
      <w:r w:rsidRPr="00DA3379">
        <w:rPr>
          <w:szCs w:val="22"/>
        </w:rPr>
        <w:t xml:space="preserve">If one CT unit is offered/running at </w:t>
      </w:r>
      <w:r w:rsidRPr="00DA3379">
        <w:rPr>
          <w:i/>
          <w:szCs w:val="22"/>
        </w:rPr>
        <w:t>minimum loading point</w:t>
      </w:r>
      <w:r w:rsidRPr="00DA3379">
        <w:rPr>
          <w:szCs w:val="22"/>
        </w:rPr>
        <w:t xml:space="preserve"> (MLP)</w:t>
      </w:r>
    </w:p>
    <w:p w14:paraId="44E70CE0" w14:textId="77777777" w:rsidR="00E75AEC" w:rsidRPr="007B23AC" w:rsidRDefault="00DA3379" w:rsidP="003853C6">
      <w:pPr>
        <w:pStyle w:val="ListParagraph"/>
        <w:numPr>
          <w:ilvl w:val="1"/>
          <w:numId w:val="85"/>
        </w:numPr>
        <w:spacing w:after="200" w:line="280" w:lineRule="exact"/>
        <w:rPr>
          <w:szCs w:val="22"/>
        </w:rPr>
      </w:pPr>
      <w:r w:rsidRPr="00DA3379">
        <w:rPr>
          <w:szCs w:val="22"/>
        </w:rPr>
        <w:t xml:space="preserve">ST is operating at 1X1 MLP, the </w:t>
      </w:r>
      <w:r w:rsidRPr="00DA3379">
        <w:rPr>
          <w:i/>
          <w:szCs w:val="22"/>
        </w:rPr>
        <w:t>offer</w:t>
      </w:r>
      <w:r w:rsidRPr="00DA3379">
        <w:rPr>
          <w:szCs w:val="22"/>
        </w:rPr>
        <w:t xml:space="preserve"> price should be no more than the CT MLP </w:t>
      </w:r>
      <w:r w:rsidRPr="00DA3379">
        <w:rPr>
          <w:i/>
          <w:szCs w:val="22"/>
        </w:rPr>
        <w:t>offer</w:t>
      </w:r>
      <w:r w:rsidRPr="00DA3379">
        <w:rPr>
          <w:szCs w:val="22"/>
        </w:rPr>
        <w:t xml:space="preserve"> price</w:t>
      </w:r>
    </w:p>
    <w:p w14:paraId="6EE5D167" w14:textId="77777777" w:rsidR="00E75AEC" w:rsidRPr="007B23AC" w:rsidRDefault="00DA3379" w:rsidP="003853C6">
      <w:pPr>
        <w:pStyle w:val="ListParagraph"/>
        <w:numPr>
          <w:ilvl w:val="0"/>
          <w:numId w:val="85"/>
        </w:numPr>
        <w:spacing w:after="200" w:line="280" w:lineRule="exact"/>
        <w:rPr>
          <w:szCs w:val="22"/>
        </w:rPr>
      </w:pPr>
      <w:r w:rsidRPr="00DA3379">
        <w:rPr>
          <w:szCs w:val="22"/>
        </w:rPr>
        <w:t>If one CT unit is offered/running at above MLP</w:t>
      </w:r>
    </w:p>
    <w:p w14:paraId="019F4911" w14:textId="77777777" w:rsidR="00E75AEC" w:rsidRPr="007B23AC" w:rsidRDefault="00DA3379" w:rsidP="003853C6">
      <w:pPr>
        <w:pStyle w:val="ListParagraph"/>
        <w:numPr>
          <w:ilvl w:val="1"/>
          <w:numId w:val="85"/>
        </w:numPr>
        <w:spacing w:after="200" w:line="280" w:lineRule="exact"/>
        <w:rPr>
          <w:szCs w:val="22"/>
        </w:rPr>
      </w:pPr>
      <w:r w:rsidRPr="00DA3379">
        <w:rPr>
          <w:szCs w:val="22"/>
        </w:rPr>
        <w:t xml:space="preserve">If the ST is operating above 1X1 MLP because the CT is operating above MLP, the </w:t>
      </w:r>
      <w:r w:rsidRPr="00DA3379">
        <w:rPr>
          <w:i/>
          <w:szCs w:val="22"/>
        </w:rPr>
        <w:t>offer</w:t>
      </w:r>
      <w:r w:rsidRPr="00DA3379">
        <w:rPr>
          <w:szCs w:val="22"/>
        </w:rPr>
        <w:t xml:space="preserve"> price should be the CT MLP </w:t>
      </w:r>
      <w:r w:rsidRPr="00DA3379">
        <w:rPr>
          <w:i/>
          <w:szCs w:val="22"/>
        </w:rPr>
        <w:t>offer</w:t>
      </w:r>
      <w:r w:rsidRPr="00DA3379">
        <w:rPr>
          <w:szCs w:val="22"/>
        </w:rPr>
        <w:t xml:space="preserve"> up to the ST MLP, then the next lamination of steam MWs should be offered at the next lamination of the CT </w:t>
      </w:r>
      <w:r w:rsidRPr="00DA3379">
        <w:rPr>
          <w:i/>
          <w:szCs w:val="22"/>
        </w:rPr>
        <w:t>offer</w:t>
      </w:r>
      <w:r w:rsidRPr="00DA3379">
        <w:rPr>
          <w:szCs w:val="22"/>
        </w:rPr>
        <w:t>.</w:t>
      </w:r>
    </w:p>
    <w:p w14:paraId="56C2D356" w14:textId="77777777" w:rsidR="00E75AEC" w:rsidRPr="007B23AC" w:rsidRDefault="00DA3379" w:rsidP="003853C6">
      <w:pPr>
        <w:pStyle w:val="ListParagraph"/>
        <w:numPr>
          <w:ilvl w:val="0"/>
          <w:numId w:val="85"/>
        </w:numPr>
        <w:spacing w:after="200" w:line="280" w:lineRule="exact"/>
        <w:rPr>
          <w:szCs w:val="22"/>
        </w:rPr>
      </w:pPr>
      <w:r w:rsidRPr="00DA3379">
        <w:rPr>
          <w:szCs w:val="22"/>
        </w:rPr>
        <w:t>If two CT units are offered/running at MLP</w:t>
      </w:r>
    </w:p>
    <w:p w14:paraId="0B3272FF" w14:textId="77777777" w:rsidR="00E75AEC" w:rsidRPr="007B23AC" w:rsidRDefault="00DA3379" w:rsidP="003853C6">
      <w:pPr>
        <w:pStyle w:val="ListParagraph"/>
        <w:numPr>
          <w:ilvl w:val="1"/>
          <w:numId w:val="85"/>
        </w:numPr>
        <w:spacing w:after="200" w:line="280" w:lineRule="exact"/>
        <w:rPr>
          <w:szCs w:val="22"/>
        </w:rPr>
      </w:pPr>
      <w:r w:rsidRPr="00DA3379">
        <w:rPr>
          <w:szCs w:val="22"/>
        </w:rPr>
        <w:t>The lowest cost combustion turbine unit (CT</w:t>
      </w:r>
      <w:r w:rsidRPr="00DA3379">
        <w:rPr>
          <w:szCs w:val="22"/>
          <w:vertAlign w:val="subscript"/>
        </w:rPr>
        <w:t>1</w:t>
      </w:r>
      <w:r w:rsidRPr="00DA3379">
        <w:rPr>
          <w:szCs w:val="22"/>
        </w:rPr>
        <w:t>) MLP price would be used up to the ST 1X1 MLP, and the next lowest combustion turbine unit (CT</w:t>
      </w:r>
      <w:r w:rsidRPr="00DA3379">
        <w:rPr>
          <w:szCs w:val="22"/>
          <w:vertAlign w:val="subscript"/>
        </w:rPr>
        <w:t>2</w:t>
      </w:r>
      <w:r w:rsidRPr="00DA3379">
        <w:rPr>
          <w:szCs w:val="22"/>
        </w:rPr>
        <w:t>) MLP price would be used up to the ST 2X1 MLP.</w:t>
      </w:r>
    </w:p>
    <w:p w14:paraId="29725D08" w14:textId="77777777" w:rsidR="00E75AEC" w:rsidRPr="007B23AC" w:rsidRDefault="00DA3379" w:rsidP="003853C6">
      <w:pPr>
        <w:pStyle w:val="ListParagraph"/>
        <w:numPr>
          <w:ilvl w:val="0"/>
          <w:numId w:val="85"/>
        </w:numPr>
        <w:spacing w:after="200" w:line="280" w:lineRule="exact"/>
        <w:rPr>
          <w:szCs w:val="22"/>
        </w:rPr>
      </w:pPr>
      <w:r w:rsidRPr="00DA3379">
        <w:rPr>
          <w:szCs w:val="22"/>
        </w:rPr>
        <w:t>If two CT units are offered/running at above MLP, causing steam injections above the 2X1 MLP:</w:t>
      </w:r>
    </w:p>
    <w:p w14:paraId="2367BED2" w14:textId="77777777" w:rsidR="00E75AEC" w:rsidRPr="007B23AC" w:rsidRDefault="00DA3379" w:rsidP="003853C6">
      <w:pPr>
        <w:pStyle w:val="ListParagraph"/>
        <w:numPr>
          <w:ilvl w:val="1"/>
          <w:numId w:val="85"/>
        </w:numPr>
        <w:spacing w:before="240" w:after="200" w:line="280" w:lineRule="exact"/>
        <w:rPr>
          <w:szCs w:val="22"/>
        </w:rPr>
      </w:pPr>
      <w:r w:rsidRPr="00DA3379">
        <w:rPr>
          <w:szCs w:val="22"/>
        </w:rPr>
        <w:t>The lowest cost combustion turbine (CT</w:t>
      </w:r>
      <w:r w:rsidRPr="00DA3379">
        <w:rPr>
          <w:szCs w:val="22"/>
          <w:vertAlign w:val="subscript"/>
        </w:rPr>
        <w:t xml:space="preserve">1) </w:t>
      </w:r>
      <w:r w:rsidRPr="00DA3379">
        <w:rPr>
          <w:szCs w:val="22"/>
        </w:rPr>
        <w:t xml:space="preserve">MLP </w:t>
      </w:r>
      <w:r w:rsidRPr="00DA3379">
        <w:rPr>
          <w:i/>
          <w:szCs w:val="22"/>
        </w:rPr>
        <w:t>offer</w:t>
      </w:r>
      <w:r w:rsidRPr="00DA3379">
        <w:rPr>
          <w:szCs w:val="22"/>
        </w:rPr>
        <w:t xml:space="preserve"> would be used up to the ST 1X1 MLP, and the next lowest cost combustion turbine unit (CT</w:t>
      </w:r>
      <w:r w:rsidRPr="00DA3379">
        <w:rPr>
          <w:szCs w:val="22"/>
          <w:vertAlign w:val="subscript"/>
        </w:rPr>
        <w:t>2</w:t>
      </w:r>
      <w:r w:rsidRPr="00DA3379">
        <w:rPr>
          <w:szCs w:val="22"/>
        </w:rPr>
        <w:t>) MLP price would be used up to the 2X1 MLP.</w:t>
      </w:r>
    </w:p>
    <w:p w14:paraId="5E1039A1" w14:textId="77777777" w:rsidR="007E2323" w:rsidRDefault="00DA3379" w:rsidP="003853C6">
      <w:pPr>
        <w:pStyle w:val="ListParagraph"/>
        <w:numPr>
          <w:ilvl w:val="1"/>
          <w:numId w:val="85"/>
        </w:numPr>
        <w:spacing w:after="200" w:line="280" w:lineRule="exact"/>
        <w:rPr>
          <w:szCs w:val="22"/>
        </w:rPr>
      </w:pPr>
      <w:r w:rsidRPr="00DA3379">
        <w:rPr>
          <w:szCs w:val="22"/>
        </w:rPr>
        <w:t>Above the 2X1 MLP, both CTs are considered to contribute equally to the steam injections, therefore above the 2X1 MLP; a weighted average price of the two contributing CTs would be used.</w:t>
      </w:r>
    </w:p>
    <w:p w14:paraId="2F7FD04C" w14:textId="77777777" w:rsidR="00E75AEC" w:rsidRPr="007B23AC" w:rsidRDefault="00DA3379" w:rsidP="00C375B3">
      <w:pPr>
        <w:pageBreakBefore/>
        <w:spacing w:after="0" w:line="280" w:lineRule="exact"/>
        <w:rPr>
          <w:b/>
          <w:szCs w:val="22"/>
        </w:rPr>
      </w:pPr>
      <w:r w:rsidRPr="00DA3379">
        <w:rPr>
          <w:b/>
          <w:szCs w:val="22"/>
        </w:rPr>
        <w:t>Example</w:t>
      </w:r>
    </w:p>
    <w:p w14:paraId="5566C248" w14:textId="77777777" w:rsidR="00E75AEC" w:rsidRPr="007B23AC" w:rsidRDefault="00DA3379" w:rsidP="00E75AEC">
      <w:pPr>
        <w:spacing w:line="280" w:lineRule="exact"/>
        <w:rPr>
          <w:szCs w:val="22"/>
        </w:rPr>
      </w:pPr>
      <w:r w:rsidRPr="00DA3379">
        <w:rPr>
          <w:szCs w:val="22"/>
        </w:rPr>
        <w:t>CT</w:t>
      </w:r>
      <w:r w:rsidRPr="00DA3379">
        <w:rPr>
          <w:szCs w:val="22"/>
          <w:vertAlign w:val="subscript"/>
        </w:rPr>
        <w:t>1</w:t>
      </w:r>
      <w:r w:rsidRPr="00DA3379">
        <w:rPr>
          <w:szCs w:val="22"/>
        </w:rPr>
        <w:t>:</w:t>
      </w:r>
      <w:r w:rsidRPr="00DA3379">
        <w:rPr>
          <w:szCs w:val="22"/>
        </w:rPr>
        <w:tab/>
        <w:t xml:space="preserve">gas unit, 100 MW MLP.  </w:t>
      </w:r>
      <w:r w:rsidRPr="00DA3379">
        <w:rPr>
          <w:i/>
          <w:szCs w:val="22"/>
        </w:rPr>
        <w:t xml:space="preserve">Offer </w:t>
      </w:r>
      <w:r w:rsidRPr="00DA3379">
        <w:rPr>
          <w:szCs w:val="22"/>
        </w:rPr>
        <w:t>100 MW @ $50, and up to 150 MW @ $54</w:t>
      </w:r>
    </w:p>
    <w:p w14:paraId="623839B8" w14:textId="77777777" w:rsidR="00E75AEC" w:rsidRPr="007B23AC" w:rsidRDefault="00DA3379" w:rsidP="00E75AEC">
      <w:pPr>
        <w:spacing w:line="280" w:lineRule="exact"/>
        <w:rPr>
          <w:szCs w:val="22"/>
        </w:rPr>
      </w:pPr>
      <w:r w:rsidRPr="00DA3379">
        <w:rPr>
          <w:szCs w:val="22"/>
        </w:rPr>
        <w:t>CT</w:t>
      </w:r>
      <w:r w:rsidRPr="00DA3379">
        <w:rPr>
          <w:szCs w:val="22"/>
          <w:vertAlign w:val="subscript"/>
        </w:rPr>
        <w:t>2</w:t>
      </w:r>
      <w:r w:rsidRPr="00DA3379">
        <w:rPr>
          <w:szCs w:val="22"/>
        </w:rPr>
        <w:t>:</w:t>
      </w:r>
      <w:r w:rsidRPr="00DA3379">
        <w:rPr>
          <w:szCs w:val="22"/>
        </w:rPr>
        <w:tab/>
        <w:t xml:space="preserve">gas unit, 100 MW MLP.  </w:t>
      </w:r>
      <w:r w:rsidRPr="00DA3379">
        <w:rPr>
          <w:i/>
          <w:szCs w:val="22"/>
        </w:rPr>
        <w:t>Offer</w:t>
      </w:r>
      <w:r w:rsidRPr="00DA3379">
        <w:rPr>
          <w:szCs w:val="22"/>
        </w:rPr>
        <w:t xml:space="preserve"> 100 MW @ $52, and up to 150 MW @ $56</w:t>
      </w:r>
    </w:p>
    <w:p w14:paraId="220B2176" w14:textId="77777777" w:rsidR="00DA3379" w:rsidRPr="00DA3379" w:rsidRDefault="00DA3379" w:rsidP="00DA3379">
      <w:pPr>
        <w:spacing w:line="280" w:lineRule="exact"/>
        <w:ind w:left="720" w:hanging="720"/>
        <w:rPr>
          <w:szCs w:val="22"/>
        </w:rPr>
      </w:pPr>
      <w:r w:rsidRPr="00DA3379">
        <w:rPr>
          <w:szCs w:val="22"/>
        </w:rPr>
        <w:t>ST:</w:t>
      </w:r>
      <w:r w:rsidRPr="00DA3379">
        <w:rPr>
          <w:szCs w:val="22"/>
        </w:rPr>
        <w:tab/>
        <w:t xml:space="preserve">steam unit, 1X1 MLP 60 MW, 2X1 MLP 100 MW, max 160 MW.  </w:t>
      </w:r>
      <w:r w:rsidRPr="00DA3379">
        <w:rPr>
          <w:i/>
          <w:szCs w:val="22"/>
        </w:rPr>
        <w:t>Offer</w:t>
      </w:r>
      <w:r w:rsidRPr="00DA3379">
        <w:rPr>
          <w:szCs w:val="22"/>
        </w:rPr>
        <w:t xml:space="preserve"> $200 for all injections.</w:t>
      </w:r>
    </w:p>
    <w:p w14:paraId="200F68A3" w14:textId="77777777" w:rsidR="00E75AEC" w:rsidRPr="007B23AC" w:rsidRDefault="00DA3379" w:rsidP="00E75AEC">
      <w:pPr>
        <w:spacing w:line="280" w:lineRule="exact"/>
        <w:rPr>
          <w:szCs w:val="22"/>
        </w:rPr>
      </w:pPr>
      <w:r w:rsidRPr="00DA3379">
        <w:rPr>
          <w:szCs w:val="22"/>
        </w:rPr>
        <w:t>The steam unit is considered to be fuelled by the lowest cost resource running.</w:t>
      </w:r>
    </w:p>
    <w:p w14:paraId="0A2DF49C" w14:textId="77777777" w:rsidR="00E75AEC" w:rsidRPr="007B23AC" w:rsidRDefault="00DA3379" w:rsidP="003853C6">
      <w:pPr>
        <w:pStyle w:val="ListParagraph"/>
        <w:numPr>
          <w:ilvl w:val="0"/>
          <w:numId w:val="85"/>
        </w:numPr>
        <w:spacing w:after="200" w:line="280" w:lineRule="exact"/>
        <w:rPr>
          <w:szCs w:val="22"/>
        </w:rPr>
      </w:pPr>
      <w:r w:rsidRPr="00DA3379">
        <w:rPr>
          <w:szCs w:val="22"/>
        </w:rPr>
        <w:t>Figure 1 - If one combustion turbine (CT</w:t>
      </w:r>
      <w:r w:rsidRPr="00DA3379">
        <w:rPr>
          <w:szCs w:val="22"/>
          <w:vertAlign w:val="subscript"/>
        </w:rPr>
        <w:t>1</w:t>
      </w:r>
      <w:r w:rsidRPr="00DA3379">
        <w:rPr>
          <w:szCs w:val="22"/>
        </w:rPr>
        <w:t>) is offered/running at MLP</w:t>
      </w:r>
    </w:p>
    <w:p w14:paraId="200DAB69" w14:textId="77777777" w:rsidR="00E75AEC" w:rsidRPr="007B23AC" w:rsidRDefault="00DA3379" w:rsidP="003853C6">
      <w:pPr>
        <w:pStyle w:val="ListParagraph"/>
        <w:numPr>
          <w:ilvl w:val="1"/>
          <w:numId w:val="85"/>
        </w:numPr>
        <w:spacing w:after="200" w:line="280" w:lineRule="exact"/>
        <w:rPr>
          <w:szCs w:val="22"/>
        </w:rPr>
      </w:pPr>
      <w:r w:rsidRPr="00DA3379">
        <w:rPr>
          <w:szCs w:val="22"/>
        </w:rPr>
        <w:t>ST is operating at 1X1 MLP (60 MW)</w:t>
      </w:r>
    </w:p>
    <w:p w14:paraId="4775B176" w14:textId="77777777" w:rsidR="00E75AEC" w:rsidRPr="007B23AC" w:rsidRDefault="00DA3379" w:rsidP="003853C6">
      <w:pPr>
        <w:pStyle w:val="ListParagraph"/>
        <w:numPr>
          <w:ilvl w:val="1"/>
          <w:numId w:val="85"/>
        </w:numPr>
        <w:spacing w:after="200" w:line="280" w:lineRule="exact"/>
        <w:rPr>
          <w:szCs w:val="22"/>
        </w:rPr>
      </w:pPr>
      <w:r w:rsidRPr="00DA3379">
        <w:rPr>
          <w:i/>
          <w:szCs w:val="22"/>
        </w:rPr>
        <w:t>offer</w:t>
      </w:r>
      <w:r w:rsidRPr="00DA3379">
        <w:rPr>
          <w:szCs w:val="22"/>
        </w:rPr>
        <w:t xml:space="preserve"> price should be no more than the CT</w:t>
      </w:r>
      <w:r w:rsidRPr="00DA3379">
        <w:rPr>
          <w:szCs w:val="22"/>
          <w:vertAlign w:val="subscript"/>
        </w:rPr>
        <w:t xml:space="preserve">1 </w:t>
      </w:r>
      <w:r w:rsidRPr="00DA3379">
        <w:rPr>
          <w:szCs w:val="22"/>
        </w:rPr>
        <w:t xml:space="preserve">MLP </w:t>
      </w:r>
      <w:r w:rsidRPr="00DA3379">
        <w:rPr>
          <w:i/>
          <w:szCs w:val="22"/>
        </w:rPr>
        <w:t>offer</w:t>
      </w:r>
      <w:r w:rsidRPr="00DA3379">
        <w:rPr>
          <w:szCs w:val="22"/>
        </w:rPr>
        <w:t xml:space="preserve"> price = $50</w:t>
      </w:r>
    </w:p>
    <w:p w14:paraId="74D6538E" w14:textId="77777777" w:rsidR="00E75AEC" w:rsidRPr="007B23AC" w:rsidRDefault="00F4040D" w:rsidP="00E75AEC">
      <w:pPr>
        <w:pStyle w:val="ListParagraph"/>
        <w:rPr>
          <w:szCs w:val="22"/>
        </w:rPr>
      </w:pPr>
      <w:r>
        <w:rPr>
          <w:noProof/>
          <w:szCs w:val="22"/>
          <w:lang w:val="en-CA"/>
        </w:rPr>
        <mc:AlternateContent>
          <mc:Choice Requires="wps">
            <w:drawing>
              <wp:anchor distT="0" distB="0" distL="114300" distR="114300" simplePos="0" relativeHeight="251670539" behindDoc="1" locked="0" layoutInCell="1" allowOverlap="1" wp14:anchorId="5D5069B1" wp14:editId="70F395EC">
                <wp:simplePos x="0" y="0"/>
                <wp:positionH relativeFrom="column">
                  <wp:align>center</wp:align>
                </wp:positionH>
                <wp:positionV relativeFrom="paragraph">
                  <wp:posOffset>283210</wp:posOffset>
                </wp:positionV>
                <wp:extent cx="4025265" cy="1461770"/>
                <wp:effectExtent l="0" t="0" r="13335" b="24130"/>
                <wp:wrapTopAndBottom/>
                <wp:docPr id="36" name="Text Box 10" descr="Figure showing example calculation if one combustion turbine (CT1) is offered/running at MLP"/>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25265" cy="14617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FC5E6A2" w14:textId="77777777" w:rsidR="00851C01" w:rsidRDefault="00851C01" w:rsidP="00E75AEC">
                            <w:pPr>
                              <w:keepNext/>
                              <w:jc w:val="center"/>
                            </w:pPr>
                            <w:r>
                              <w:rPr>
                                <w:noProof/>
                                <w:lang w:val="en-CA"/>
                              </w:rPr>
                              <w:drawing>
                                <wp:inline distT="0" distB="0" distL="0" distR="0" wp14:anchorId="4B9B4FE5" wp14:editId="2054EB5F">
                                  <wp:extent cx="3676650" cy="1028700"/>
                                  <wp:effectExtent l="0" t="0" r="0" b="0"/>
                                  <wp:docPr id="37" name="Picture 37" descr="Figure showing example of one combustion turbine (CT1) which is offered/running at M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srcRect/>
                                          <a:stretch>
                                            <a:fillRect/>
                                          </a:stretch>
                                        </pic:blipFill>
                                        <pic:spPr bwMode="auto">
                                          <a:xfrm>
                                            <a:off x="0" y="0"/>
                                            <a:ext cx="3676650" cy="1028700"/>
                                          </a:xfrm>
                                          <a:prstGeom prst="rect">
                                            <a:avLst/>
                                          </a:prstGeom>
                                          <a:noFill/>
                                          <a:ln w="9525">
                                            <a:noFill/>
                                            <a:miter lim="800000"/>
                                            <a:headEnd/>
                                            <a:tailEnd/>
                                          </a:ln>
                                        </pic:spPr>
                                      </pic:pic>
                                    </a:graphicData>
                                  </a:graphic>
                                </wp:inline>
                              </w:drawing>
                            </w:r>
                          </w:p>
                          <w:p w14:paraId="762DAFBD" w14:textId="77777777" w:rsidR="00851C01" w:rsidRDefault="00851C01" w:rsidP="00E75AEC">
                            <w:pPr>
                              <w:keepNext/>
                              <w:jc w:val="center"/>
                            </w:pPr>
                          </w:p>
                          <w:p w14:paraId="51BBCC29" w14:textId="77777777" w:rsidR="00851C01" w:rsidRDefault="00851C01" w:rsidP="00E75AEC">
                            <w:pPr>
                              <w:jc w:val="cente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D5069B1" id="Text Box 10" o:spid="_x0000_s1033" type="#_x0000_t202" alt="Figure showing example calculation if one combustion turbine (CT1) is offered/running at MLP" style="position:absolute;left:0;text-align:left;margin-left:0;margin-top:22.3pt;width:316.95pt;height:115.1pt;z-index:-251645941;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" filled="f">
                <v:textbox>
                  <w:txbxContent>
                    <w:p w14:paraId="4FC5E6A2" w14:textId="77777777" w:rsidR="00851C01" w:rsidRDefault="00851C01" w:rsidP="00E75AEC">
                      <w:pPr>
                        <w:keepNext/>
                        <w:jc w:val="center"/>
                      </w:pPr>
                      <w:r>
                        <w:rPr>
                          <w:noProof/>
                          <w:lang w:val="en-CA"/>
                        </w:rPr>
                        <w:drawing>
                          <wp:inline distT="0" distB="0" distL="0" distR="0" wp14:anchorId="4B9B4FE5" wp14:editId="2054EB5F">
                            <wp:extent cx="3676650" cy="1028700"/>
                            <wp:effectExtent l="0" t="0" r="0" b="0"/>
                            <wp:docPr id="37" name="Picture 37" descr="Figure showing example of one combustion turbine (CT1) which is offered/running at M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srcRect/>
                                    <a:stretch>
                                      <a:fillRect/>
                                    </a:stretch>
                                  </pic:blipFill>
                                  <pic:spPr bwMode="auto">
                                    <a:xfrm>
                                      <a:off x="0" y="0"/>
                                      <a:ext cx="3676650" cy="1028700"/>
                                    </a:xfrm>
                                    <a:prstGeom prst="rect">
                                      <a:avLst/>
                                    </a:prstGeom>
                                    <a:noFill/>
                                    <a:ln w="9525">
                                      <a:noFill/>
                                      <a:miter lim="800000"/>
                                      <a:headEnd/>
                                      <a:tailEnd/>
                                    </a:ln>
                                  </pic:spPr>
                                </pic:pic>
                              </a:graphicData>
                            </a:graphic>
                          </wp:inline>
                        </w:drawing>
                      </w:r>
                    </w:p>
                    <w:p w14:paraId="762DAFBD" w14:textId="77777777" w:rsidR="00851C01" w:rsidRDefault="00851C01" w:rsidP="00E75AEC">
                      <w:pPr>
                        <w:keepNext/>
                        <w:jc w:val="center"/>
                      </w:pPr>
                    </w:p>
                    <w:p w14:paraId="51BBCC29" w14:textId="77777777" w:rsidR="00851C01" w:rsidRDefault="00851C01" w:rsidP="00E75AEC">
                      <w:pPr>
                        <w:jc w:val="center"/>
                      </w:pPr>
                    </w:p>
                  </w:txbxContent>
                </v:textbox>
                <w10:wrap type="topAndBottom"/>
              </v:shape>
            </w:pict>
          </mc:Fallback>
        </mc:AlternateContent>
      </w:r>
    </w:p>
    <w:p w14:paraId="0CF441E0" w14:textId="77777777" w:rsidR="00E75AEC" w:rsidRPr="007B23AC" w:rsidRDefault="00E75AEC" w:rsidP="00E75AEC">
      <w:pPr>
        <w:pStyle w:val="ListParagraph"/>
        <w:rPr>
          <w:szCs w:val="22"/>
        </w:rPr>
      </w:pPr>
    </w:p>
    <w:p w14:paraId="118FEAFF" w14:textId="77777777" w:rsidR="00E75AEC" w:rsidRPr="007B23AC" w:rsidRDefault="00DA3379" w:rsidP="003853C6">
      <w:pPr>
        <w:pStyle w:val="ListParagraph"/>
        <w:numPr>
          <w:ilvl w:val="0"/>
          <w:numId w:val="85"/>
        </w:numPr>
        <w:spacing w:after="200" w:line="280" w:lineRule="exact"/>
        <w:rPr>
          <w:szCs w:val="22"/>
        </w:rPr>
      </w:pPr>
      <w:r w:rsidRPr="00DA3379">
        <w:rPr>
          <w:szCs w:val="22"/>
        </w:rPr>
        <w:t>Figure 2 - If one combustion turbine (CT</w:t>
      </w:r>
      <w:r w:rsidRPr="00DA3379">
        <w:rPr>
          <w:szCs w:val="22"/>
          <w:vertAlign w:val="subscript"/>
        </w:rPr>
        <w:t>1</w:t>
      </w:r>
      <w:r w:rsidRPr="00DA3379">
        <w:rPr>
          <w:szCs w:val="22"/>
        </w:rPr>
        <w:t>) is offered/running at above MLP</w:t>
      </w:r>
    </w:p>
    <w:p w14:paraId="5936EA17" w14:textId="77777777" w:rsidR="00E75AEC" w:rsidRPr="007B23AC" w:rsidRDefault="00DA3379" w:rsidP="003853C6">
      <w:pPr>
        <w:pStyle w:val="ListParagraph"/>
        <w:numPr>
          <w:ilvl w:val="1"/>
          <w:numId w:val="85"/>
        </w:numPr>
        <w:spacing w:after="200" w:line="280" w:lineRule="exact"/>
        <w:rPr>
          <w:szCs w:val="22"/>
        </w:rPr>
      </w:pPr>
      <w:r w:rsidRPr="00DA3379">
        <w:rPr>
          <w:szCs w:val="22"/>
        </w:rPr>
        <w:t>ST is operating above 1X1 MLP (say 100 MW for example)</w:t>
      </w:r>
    </w:p>
    <w:p w14:paraId="2ABF49B3" w14:textId="77777777" w:rsidR="00E75AEC" w:rsidRPr="007B23AC" w:rsidRDefault="00DA3379" w:rsidP="003853C6">
      <w:pPr>
        <w:pStyle w:val="ListParagraph"/>
        <w:numPr>
          <w:ilvl w:val="1"/>
          <w:numId w:val="85"/>
        </w:numPr>
        <w:spacing w:after="200" w:line="280" w:lineRule="exact"/>
        <w:rPr>
          <w:szCs w:val="22"/>
        </w:rPr>
      </w:pPr>
      <w:r w:rsidRPr="00DA3379">
        <w:rPr>
          <w:i/>
          <w:szCs w:val="22"/>
        </w:rPr>
        <w:t>Offer</w:t>
      </w:r>
      <w:r w:rsidRPr="00DA3379">
        <w:rPr>
          <w:szCs w:val="22"/>
        </w:rPr>
        <w:t xml:space="preserve"> price up to 1X1 MLP (60 MW) should be no more than the CT</w:t>
      </w:r>
      <w:r w:rsidRPr="00DA3379">
        <w:rPr>
          <w:szCs w:val="22"/>
          <w:vertAlign w:val="subscript"/>
        </w:rPr>
        <w:t>1</w:t>
      </w:r>
      <w:r w:rsidRPr="00DA3379">
        <w:rPr>
          <w:szCs w:val="22"/>
        </w:rPr>
        <w:t xml:space="preserve"> MLP </w:t>
      </w:r>
      <w:r w:rsidRPr="00DA3379">
        <w:rPr>
          <w:i/>
          <w:szCs w:val="22"/>
        </w:rPr>
        <w:t>offer</w:t>
      </w:r>
      <w:r w:rsidRPr="00DA3379">
        <w:rPr>
          <w:szCs w:val="22"/>
        </w:rPr>
        <w:t xml:space="preserve"> price of $50</w:t>
      </w:r>
    </w:p>
    <w:p w14:paraId="077B2D99" w14:textId="77777777" w:rsidR="00E75AEC" w:rsidRPr="007B23AC" w:rsidRDefault="00DA3379" w:rsidP="003853C6">
      <w:pPr>
        <w:pStyle w:val="ListParagraph"/>
        <w:numPr>
          <w:ilvl w:val="1"/>
          <w:numId w:val="85"/>
        </w:numPr>
        <w:spacing w:after="200" w:line="280" w:lineRule="exact"/>
        <w:rPr>
          <w:szCs w:val="22"/>
        </w:rPr>
      </w:pPr>
      <w:r w:rsidRPr="00DA3379">
        <w:rPr>
          <w:i/>
          <w:szCs w:val="22"/>
        </w:rPr>
        <w:t>Offer</w:t>
      </w:r>
      <w:r w:rsidRPr="00DA3379">
        <w:rPr>
          <w:szCs w:val="22"/>
        </w:rPr>
        <w:t xml:space="preserve"> price for the 40 MW above 1X1 MLP should be the next lamination of CT</w:t>
      </w:r>
      <w:r w:rsidRPr="00DA3379">
        <w:rPr>
          <w:szCs w:val="22"/>
          <w:vertAlign w:val="subscript"/>
        </w:rPr>
        <w:t>1</w:t>
      </w:r>
      <w:r w:rsidRPr="00DA3379">
        <w:rPr>
          <w:szCs w:val="22"/>
        </w:rPr>
        <w:t xml:space="preserve"> </w:t>
      </w:r>
      <w:r w:rsidRPr="00DA3379">
        <w:rPr>
          <w:i/>
          <w:szCs w:val="22"/>
        </w:rPr>
        <w:t>offer</w:t>
      </w:r>
      <w:r w:rsidRPr="00DA3379">
        <w:rPr>
          <w:szCs w:val="22"/>
        </w:rPr>
        <w:t xml:space="preserve"> ($54)</w:t>
      </w:r>
    </w:p>
    <w:p w14:paraId="1B910AB2" w14:textId="627CE8BC" w:rsidR="00E75AEC" w:rsidRPr="007B23AC" w:rsidRDefault="00F4040D" w:rsidP="003853C6">
      <w:pPr>
        <w:pStyle w:val="ListParagraph"/>
        <w:numPr>
          <w:ilvl w:val="1"/>
          <w:numId w:val="85"/>
        </w:numPr>
        <w:spacing w:after="200" w:line="280" w:lineRule="exact"/>
        <w:rPr>
          <w:szCs w:val="22"/>
        </w:rPr>
      </w:pPr>
      <w:r>
        <w:rPr>
          <w:noProof/>
          <w:szCs w:val="22"/>
          <w:lang w:val="en-CA"/>
        </w:rPr>
        <mc:AlternateContent>
          <mc:Choice Requires="wps">
            <w:drawing>
              <wp:anchor distT="0" distB="0" distL="114300" distR="114300" simplePos="0" relativeHeight="251672587" behindDoc="1" locked="0" layoutInCell="1" allowOverlap="1" wp14:anchorId="588409F2" wp14:editId="5C7E7316">
                <wp:simplePos x="0" y="0"/>
                <wp:positionH relativeFrom="column">
                  <wp:align>center</wp:align>
                </wp:positionH>
                <wp:positionV relativeFrom="paragraph">
                  <wp:posOffset>511810</wp:posOffset>
                </wp:positionV>
                <wp:extent cx="4025265" cy="1507490"/>
                <wp:effectExtent l="0" t="0" r="13335" b="16510"/>
                <wp:wrapTopAndBottom/>
                <wp:docPr id="38" name="Text Box 11" descr="Figure showing example of one combustion turbine (CT1) which is offered/running at above MLP"/>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25265" cy="150749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BCB6AC8" w14:textId="77777777" w:rsidR="00851C01" w:rsidRDefault="00851C01" w:rsidP="00E75AEC">
                            <w:pPr>
                              <w:keepNext/>
                            </w:pPr>
                            <w:r>
                              <w:rPr>
                                <w:noProof/>
                                <w:lang w:val="en-CA"/>
                              </w:rPr>
                              <w:drawing>
                                <wp:inline distT="0" distB="0" distL="0" distR="0" wp14:anchorId="117EC387" wp14:editId="471FD2C8">
                                  <wp:extent cx="3705225" cy="1104900"/>
                                  <wp:effectExtent l="0" t="0" r="9525" b="0"/>
                                  <wp:docPr id="39" name="Picture 5" descr="Figure showing example of one combustion turbine (CT1) which is offered/running at above M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srcRect/>
                                          <a:stretch>
                                            <a:fillRect/>
                                          </a:stretch>
                                        </pic:blipFill>
                                        <pic:spPr bwMode="auto">
                                          <a:xfrm>
                                            <a:off x="0" y="0"/>
                                            <a:ext cx="3705225" cy="1104900"/>
                                          </a:xfrm>
                                          <a:prstGeom prst="rect">
                                            <a:avLst/>
                                          </a:prstGeom>
                                          <a:noFill/>
                                          <a:ln w="9525">
                                            <a:noFill/>
                                            <a:miter lim="800000"/>
                                            <a:headEnd/>
                                            <a:tailEnd/>
                                          </a:ln>
                                        </pic:spPr>
                                      </pic:pic>
                                    </a:graphicData>
                                  </a:graphic>
                                </wp:inline>
                              </w:drawing>
                            </w:r>
                          </w:p>
                          <w:p w14:paraId="55CC51CC" w14:textId="77777777" w:rsidR="00851C01" w:rsidRPr="005043B8" w:rsidRDefault="00851C01" w:rsidP="00E75AE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88409F2" id="Text Box 11" o:spid="_x0000_s1034" type="#_x0000_t202" alt="Figure showing example of one combustion turbine (CT1) which is offered/running at above MLP" style="position:absolute;left:0;text-align:left;margin-left:0;margin-top:40.3pt;width:316.95pt;height:118.7pt;z-index:-251643893;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" filled="f">
                <v:textbox>
                  <w:txbxContent>
                    <w:p w14:paraId="4BCB6AC8" w14:textId="77777777" w:rsidR="00851C01" w:rsidRDefault="00851C01" w:rsidP="00E75AEC">
                      <w:pPr>
                        <w:keepNext/>
                      </w:pPr>
                      <w:r>
                        <w:rPr>
                          <w:noProof/>
                          <w:lang w:val="en-CA"/>
                        </w:rPr>
                        <w:drawing>
                          <wp:inline distT="0" distB="0" distL="0" distR="0" wp14:anchorId="117EC387" wp14:editId="471FD2C8">
                            <wp:extent cx="3705225" cy="1104900"/>
                            <wp:effectExtent l="0" t="0" r="9525" b="0"/>
                            <wp:docPr id="39" name="Picture 5" descr="Figure showing example of one combustion turbine (CT1) which is offered/running at above M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srcRect/>
                                    <a:stretch>
                                      <a:fillRect/>
                                    </a:stretch>
                                  </pic:blipFill>
                                  <pic:spPr bwMode="auto">
                                    <a:xfrm>
                                      <a:off x="0" y="0"/>
                                      <a:ext cx="3705225" cy="1104900"/>
                                    </a:xfrm>
                                    <a:prstGeom prst="rect">
                                      <a:avLst/>
                                    </a:prstGeom>
                                    <a:noFill/>
                                    <a:ln w="9525">
                                      <a:noFill/>
                                      <a:miter lim="800000"/>
                                      <a:headEnd/>
                                      <a:tailEnd/>
                                    </a:ln>
                                  </pic:spPr>
                                </pic:pic>
                              </a:graphicData>
                            </a:graphic>
                          </wp:inline>
                        </w:drawing>
                      </w:r>
                    </w:p>
                    <w:p w14:paraId="55CC51CC" w14:textId="77777777" w:rsidR="00851C01" w:rsidRPr="005043B8" w:rsidRDefault="00851C01" w:rsidP="00E75AEC"/>
                  </w:txbxContent>
                </v:textbox>
                <w10:wrap type="topAndBottom"/>
              </v:shape>
            </w:pict>
          </mc:Fallback>
        </mc:AlternateContent>
      </w:r>
      <w:r w:rsidR="00DA3379" w:rsidRPr="00DA3379">
        <w:rPr>
          <w:szCs w:val="22"/>
        </w:rPr>
        <w:t xml:space="preserve">Weighted average </w:t>
      </w:r>
      <w:r w:rsidR="00DA3379" w:rsidRPr="00DA3379">
        <w:rPr>
          <w:i/>
          <w:szCs w:val="22"/>
        </w:rPr>
        <w:t>offer</w:t>
      </w:r>
      <w:r w:rsidR="00DA3379" w:rsidRPr="00DA3379">
        <w:rPr>
          <w:szCs w:val="22"/>
        </w:rPr>
        <w:t xml:space="preserve"> price for ST becomes [($50*60MW)+($54*40MW)]/(60MW+40MW)= $51.60</w:t>
      </w:r>
    </w:p>
    <w:p w14:paraId="2654066A" w14:textId="77777777" w:rsidR="00E75AEC" w:rsidRPr="007B23AC" w:rsidRDefault="00DA3379" w:rsidP="00E75AEC">
      <w:pPr>
        <w:rPr>
          <w:szCs w:val="22"/>
        </w:rPr>
      </w:pPr>
      <w:r w:rsidRPr="00DA3379">
        <w:rPr>
          <w:color w:val="FF0000"/>
          <w:szCs w:val="22"/>
        </w:rPr>
        <w:br w:type="page"/>
      </w:r>
    </w:p>
    <w:p w14:paraId="0086C962" w14:textId="77777777" w:rsidR="00E75AEC" w:rsidRPr="007B23AC" w:rsidRDefault="00DA3379" w:rsidP="003853C6">
      <w:pPr>
        <w:pStyle w:val="ListParagraph"/>
        <w:numPr>
          <w:ilvl w:val="0"/>
          <w:numId w:val="85"/>
        </w:numPr>
        <w:spacing w:after="200" w:line="280" w:lineRule="exact"/>
        <w:rPr>
          <w:szCs w:val="22"/>
        </w:rPr>
      </w:pPr>
      <w:r w:rsidRPr="00DA3379">
        <w:rPr>
          <w:szCs w:val="22"/>
        </w:rPr>
        <w:t>Figure 3 - If two combustion turbines are offered/running at MLP.</w:t>
      </w:r>
    </w:p>
    <w:p w14:paraId="4DE862E8" w14:textId="77777777" w:rsidR="00E75AEC" w:rsidRPr="007B23AC" w:rsidRDefault="00DA3379" w:rsidP="003853C6">
      <w:pPr>
        <w:pStyle w:val="ListParagraph"/>
        <w:numPr>
          <w:ilvl w:val="1"/>
          <w:numId w:val="85"/>
        </w:numPr>
        <w:spacing w:after="200" w:line="280" w:lineRule="exact"/>
        <w:rPr>
          <w:szCs w:val="22"/>
        </w:rPr>
      </w:pPr>
      <w:r w:rsidRPr="00DA3379">
        <w:rPr>
          <w:szCs w:val="22"/>
        </w:rPr>
        <w:t xml:space="preserve">Up to 1X1 MLP (60 MW) the ST </w:t>
      </w:r>
      <w:r w:rsidRPr="00DA3379">
        <w:rPr>
          <w:i/>
          <w:szCs w:val="22"/>
        </w:rPr>
        <w:t>offer</w:t>
      </w:r>
      <w:r w:rsidRPr="00DA3379">
        <w:rPr>
          <w:szCs w:val="22"/>
        </w:rPr>
        <w:t xml:space="preserve"> price should be $50 (CT</w:t>
      </w:r>
      <w:r w:rsidRPr="00DA3379">
        <w:rPr>
          <w:szCs w:val="22"/>
          <w:vertAlign w:val="subscript"/>
        </w:rPr>
        <w:t>1</w:t>
      </w:r>
      <w:r w:rsidRPr="00DA3379">
        <w:rPr>
          <w:szCs w:val="22"/>
        </w:rPr>
        <w:t>)</w:t>
      </w:r>
    </w:p>
    <w:p w14:paraId="672741DC" w14:textId="77777777" w:rsidR="00E75AEC" w:rsidRPr="007B23AC" w:rsidRDefault="00DA3379" w:rsidP="003853C6">
      <w:pPr>
        <w:pStyle w:val="ListParagraph"/>
        <w:numPr>
          <w:ilvl w:val="1"/>
          <w:numId w:val="85"/>
        </w:numPr>
        <w:spacing w:after="200" w:line="280" w:lineRule="exact"/>
        <w:rPr>
          <w:szCs w:val="22"/>
        </w:rPr>
      </w:pPr>
      <w:r w:rsidRPr="00DA3379">
        <w:rPr>
          <w:szCs w:val="22"/>
        </w:rPr>
        <w:t xml:space="preserve">Up to the 2X1 MLP (100 MW) the ST </w:t>
      </w:r>
      <w:r w:rsidRPr="00DA3379">
        <w:rPr>
          <w:i/>
          <w:szCs w:val="22"/>
        </w:rPr>
        <w:t>offer</w:t>
      </w:r>
      <w:r w:rsidRPr="00DA3379">
        <w:rPr>
          <w:szCs w:val="22"/>
        </w:rPr>
        <w:t xml:space="preserve"> price should be $52 (CT</w:t>
      </w:r>
      <w:r w:rsidRPr="00DA3379">
        <w:rPr>
          <w:szCs w:val="22"/>
          <w:vertAlign w:val="subscript"/>
        </w:rPr>
        <w:t>2</w:t>
      </w:r>
      <w:r w:rsidRPr="00DA3379">
        <w:rPr>
          <w:szCs w:val="22"/>
        </w:rPr>
        <w:t>)</w:t>
      </w:r>
    </w:p>
    <w:p w14:paraId="68168995" w14:textId="2452CAAB" w:rsidR="00E75AEC" w:rsidRPr="007B23AC" w:rsidRDefault="00F4040D" w:rsidP="003853C6">
      <w:pPr>
        <w:pStyle w:val="ListParagraph"/>
        <w:numPr>
          <w:ilvl w:val="1"/>
          <w:numId w:val="85"/>
        </w:numPr>
        <w:spacing w:after="200" w:line="280" w:lineRule="exact"/>
        <w:rPr>
          <w:szCs w:val="22"/>
        </w:rPr>
      </w:pPr>
      <w:r>
        <w:rPr>
          <w:noProof/>
          <w:szCs w:val="22"/>
          <w:lang w:val="en-CA"/>
        </w:rPr>
        <mc:AlternateContent>
          <mc:Choice Requires="wps">
            <w:drawing>
              <wp:anchor distT="0" distB="0" distL="114300" distR="114300" simplePos="0" relativeHeight="251674635" behindDoc="1" locked="0" layoutInCell="1" allowOverlap="1" wp14:anchorId="66BB1486" wp14:editId="320F54E9">
                <wp:simplePos x="0" y="0"/>
                <wp:positionH relativeFrom="column">
                  <wp:posOffset>-1905</wp:posOffset>
                </wp:positionH>
                <wp:positionV relativeFrom="paragraph">
                  <wp:posOffset>507365</wp:posOffset>
                </wp:positionV>
                <wp:extent cx="5936615" cy="1411605"/>
                <wp:effectExtent l="0" t="0" r="26035" b="17145"/>
                <wp:wrapTopAndBottom/>
                <wp:docPr id="40" name="Text Box 12" descr="Figure showing example of two combustion turbines which are offered/running at MLP"/>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6615" cy="141160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A11FB97" w14:textId="77777777" w:rsidR="00851C01" w:rsidRDefault="00851C01" w:rsidP="00E75AEC">
                            <w:pPr>
                              <w:keepNext/>
                            </w:pPr>
                            <w:r>
                              <w:rPr>
                                <w:noProof/>
                                <w:lang w:val="en-CA"/>
                              </w:rPr>
                              <w:drawing>
                                <wp:inline distT="0" distB="0" distL="0" distR="0" wp14:anchorId="046C812E" wp14:editId="51A46F0B">
                                  <wp:extent cx="5743575" cy="1028700"/>
                                  <wp:effectExtent l="0" t="0" r="9525" b="0"/>
                                  <wp:docPr id="41" name="Picture 6" descr="Figure showing example of two combustion turbines which are offered/running at M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srcRect/>
                                          <a:stretch>
                                            <a:fillRect/>
                                          </a:stretch>
                                        </pic:blipFill>
                                        <pic:spPr bwMode="auto">
                                          <a:xfrm>
                                            <a:off x="0" y="0"/>
                                            <a:ext cx="5743575" cy="1028700"/>
                                          </a:xfrm>
                                          <a:prstGeom prst="rect">
                                            <a:avLst/>
                                          </a:prstGeom>
                                          <a:noFill/>
                                          <a:ln w="9525">
                                            <a:noFill/>
                                            <a:miter lim="800000"/>
                                            <a:headEnd/>
                                            <a:tailEnd/>
                                          </a:ln>
                                        </pic:spPr>
                                      </pic:pic>
                                    </a:graphicData>
                                  </a:graphic>
                                </wp:inline>
                              </w:drawing>
                            </w:r>
                          </w:p>
                          <w:p w14:paraId="1EEDBF93" w14:textId="77777777" w:rsidR="00851C01" w:rsidRDefault="00851C01" w:rsidP="00E75AEC">
                            <w:pPr>
                              <w:keepNext/>
                            </w:pPr>
                          </w:p>
                          <w:p w14:paraId="21DB3DA6" w14:textId="77777777" w:rsidR="00851C01" w:rsidRPr="005043B8" w:rsidRDefault="00851C01" w:rsidP="00E75AE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6BB1486" id="Text Box 12" o:spid="_x0000_s1035" type="#_x0000_t202" alt="Figure showing example of two combustion turbines which are offered/running at MLP" style="position:absolute;left:0;text-align:left;margin-left:-.15pt;margin-top:39.95pt;width:467.45pt;height:111.15pt;z-index:-2516418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" filled="f">
                <v:textbox>
                  <w:txbxContent>
                    <w:p w14:paraId="7A11FB97" w14:textId="77777777" w:rsidR="00851C01" w:rsidRDefault="00851C01" w:rsidP="00E75AEC">
                      <w:pPr>
                        <w:keepNext/>
                      </w:pPr>
                      <w:r>
                        <w:rPr>
                          <w:noProof/>
                          <w:lang w:val="en-CA"/>
                        </w:rPr>
                        <w:drawing>
                          <wp:inline distT="0" distB="0" distL="0" distR="0" wp14:anchorId="046C812E" wp14:editId="51A46F0B">
                            <wp:extent cx="5743575" cy="1028700"/>
                            <wp:effectExtent l="0" t="0" r="9525" b="0"/>
                            <wp:docPr id="41" name="Picture 6" descr="Figure showing example of two combustion turbines which are offered/running at M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a:srcRect/>
                                    <a:stretch>
                                      <a:fillRect/>
                                    </a:stretch>
                                  </pic:blipFill>
                                  <pic:spPr bwMode="auto">
                                    <a:xfrm>
                                      <a:off x="0" y="0"/>
                                      <a:ext cx="5743575" cy="1028700"/>
                                    </a:xfrm>
                                    <a:prstGeom prst="rect">
                                      <a:avLst/>
                                    </a:prstGeom>
                                    <a:noFill/>
                                    <a:ln w="9525">
                                      <a:noFill/>
                                      <a:miter lim="800000"/>
                                      <a:headEnd/>
                                      <a:tailEnd/>
                                    </a:ln>
                                  </pic:spPr>
                                </pic:pic>
                              </a:graphicData>
                            </a:graphic>
                          </wp:inline>
                        </w:drawing>
                      </w:r>
                    </w:p>
                    <w:p w14:paraId="1EEDBF93" w14:textId="77777777" w:rsidR="00851C01" w:rsidRDefault="00851C01" w:rsidP="00E75AEC">
                      <w:pPr>
                        <w:keepNext/>
                      </w:pPr>
                    </w:p>
                    <w:p w14:paraId="21DB3DA6" w14:textId="77777777" w:rsidR="00851C01" w:rsidRPr="005043B8" w:rsidRDefault="00851C01" w:rsidP="00E75AEC"/>
                  </w:txbxContent>
                </v:textbox>
                <w10:wrap type="topAndBottom"/>
              </v:shape>
            </w:pict>
          </mc:Fallback>
        </mc:AlternateContent>
      </w:r>
      <w:r w:rsidR="00DA3379" w:rsidRPr="00DA3379">
        <w:rPr>
          <w:szCs w:val="22"/>
        </w:rPr>
        <w:t xml:space="preserve">Weighted average </w:t>
      </w:r>
      <w:r w:rsidR="00DA3379" w:rsidRPr="00DA3379">
        <w:rPr>
          <w:i/>
          <w:szCs w:val="22"/>
        </w:rPr>
        <w:t>offer</w:t>
      </w:r>
      <w:r w:rsidR="00DA3379" w:rsidRPr="00DA3379">
        <w:rPr>
          <w:szCs w:val="22"/>
        </w:rPr>
        <w:t xml:space="preserve"> price for steam unit becomes [($50*60MW)+($52*40MW)]/(60MW+40MW)= $50.80</w:t>
      </w:r>
    </w:p>
    <w:p w14:paraId="43A91237" w14:textId="77777777" w:rsidR="00E75AEC" w:rsidRPr="007B23AC" w:rsidRDefault="00E75AEC" w:rsidP="00E75AEC">
      <w:pPr>
        <w:spacing w:line="280" w:lineRule="exact"/>
        <w:rPr>
          <w:szCs w:val="22"/>
        </w:rPr>
      </w:pPr>
    </w:p>
    <w:p w14:paraId="482C8FD6" w14:textId="77777777" w:rsidR="00E75AEC" w:rsidRPr="007B23AC" w:rsidRDefault="00DA3379" w:rsidP="003853C6">
      <w:pPr>
        <w:pStyle w:val="ListParagraph"/>
        <w:numPr>
          <w:ilvl w:val="0"/>
          <w:numId w:val="85"/>
        </w:numPr>
        <w:spacing w:after="200" w:line="280" w:lineRule="exact"/>
        <w:rPr>
          <w:szCs w:val="22"/>
        </w:rPr>
      </w:pPr>
      <w:r w:rsidRPr="00DA3379">
        <w:rPr>
          <w:szCs w:val="22"/>
        </w:rPr>
        <w:t>Figure 4 - If two combustion turbines are offered/running at above MLP, causing steam injections above the 2X1 MLP (CT</w:t>
      </w:r>
      <w:r w:rsidRPr="00DA3379">
        <w:rPr>
          <w:szCs w:val="22"/>
          <w:vertAlign w:val="subscript"/>
        </w:rPr>
        <w:t>1</w:t>
      </w:r>
      <w:r w:rsidRPr="00DA3379">
        <w:rPr>
          <w:szCs w:val="22"/>
        </w:rPr>
        <w:t>=150MW, CT</w:t>
      </w:r>
      <w:r w:rsidRPr="00DA3379">
        <w:rPr>
          <w:szCs w:val="22"/>
          <w:vertAlign w:val="subscript"/>
        </w:rPr>
        <w:t>2</w:t>
      </w:r>
      <w:r w:rsidRPr="00DA3379">
        <w:rPr>
          <w:szCs w:val="22"/>
        </w:rPr>
        <w:t>=110 MW, steam injections of 140 MW)</w:t>
      </w:r>
    </w:p>
    <w:p w14:paraId="7096E5FF" w14:textId="77777777" w:rsidR="00E75AEC" w:rsidRPr="007B23AC" w:rsidRDefault="00DA3379" w:rsidP="003853C6">
      <w:pPr>
        <w:pStyle w:val="ListParagraph"/>
        <w:numPr>
          <w:ilvl w:val="1"/>
          <w:numId w:val="85"/>
        </w:numPr>
        <w:spacing w:after="200" w:line="280" w:lineRule="exact"/>
        <w:rPr>
          <w:szCs w:val="22"/>
        </w:rPr>
      </w:pPr>
      <w:r w:rsidRPr="00DA3379">
        <w:rPr>
          <w:szCs w:val="22"/>
        </w:rPr>
        <w:t xml:space="preserve">Up to the 2X1 MLP of 100 MW, the </w:t>
      </w:r>
      <w:r w:rsidRPr="00DA3379">
        <w:rPr>
          <w:i/>
          <w:szCs w:val="22"/>
        </w:rPr>
        <w:t>offer</w:t>
      </w:r>
      <w:r w:rsidRPr="00DA3379">
        <w:rPr>
          <w:szCs w:val="22"/>
        </w:rPr>
        <w:t xml:space="preserve"> price for the steam unit would be $50.80 as above.</w:t>
      </w:r>
    </w:p>
    <w:p w14:paraId="68025EFF" w14:textId="77777777" w:rsidR="00E75AEC" w:rsidRPr="007B23AC" w:rsidRDefault="00DA3379" w:rsidP="003853C6">
      <w:pPr>
        <w:pStyle w:val="ListParagraph"/>
        <w:numPr>
          <w:ilvl w:val="1"/>
          <w:numId w:val="85"/>
        </w:numPr>
        <w:spacing w:after="200" w:line="280" w:lineRule="exact"/>
        <w:rPr>
          <w:szCs w:val="22"/>
        </w:rPr>
      </w:pPr>
      <w:r w:rsidRPr="00DA3379">
        <w:rPr>
          <w:szCs w:val="22"/>
        </w:rPr>
        <w:t>Above the 2X1 MLP, both combustion turbines are considered to contribute equally to the steam injections. The weighted average CT</w:t>
      </w:r>
      <w:r w:rsidRPr="00DA3379">
        <w:rPr>
          <w:szCs w:val="22"/>
          <w:vertAlign w:val="subscript"/>
        </w:rPr>
        <w:t>1</w:t>
      </w:r>
      <w:r w:rsidRPr="00DA3379">
        <w:rPr>
          <w:szCs w:val="22"/>
        </w:rPr>
        <w:t xml:space="preserve"> and CT</w:t>
      </w:r>
      <w:r w:rsidRPr="00DA3379">
        <w:rPr>
          <w:szCs w:val="22"/>
          <w:vertAlign w:val="subscript"/>
        </w:rPr>
        <w:t>2</w:t>
      </w:r>
      <w:r w:rsidRPr="00DA3379">
        <w:rPr>
          <w:szCs w:val="22"/>
        </w:rPr>
        <w:t xml:space="preserve"> price is [($54*50MW)+($56*10MW)]/(50MW+10MW) = $54.33</w:t>
      </w:r>
    </w:p>
    <w:p w14:paraId="3E03441D" w14:textId="525DC05D" w:rsidR="002C030C" w:rsidRPr="009272F8" w:rsidRDefault="00DA3379" w:rsidP="003853C6">
      <w:pPr>
        <w:pStyle w:val="ListParagraph"/>
        <w:numPr>
          <w:ilvl w:val="1"/>
          <w:numId w:val="85"/>
        </w:numPr>
        <w:spacing w:after="200" w:line="280" w:lineRule="exact"/>
        <w:rPr>
          <w:szCs w:val="22"/>
        </w:rPr>
      </w:pPr>
      <w:r w:rsidRPr="00DA3379">
        <w:rPr>
          <w:szCs w:val="22"/>
        </w:rPr>
        <w:t xml:space="preserve">The weighted average ST </w:t>
      </w:r>
      <w:r w:rsidRPr="00DA3379">
        <w:rPr>
          <w:i/>
          <w:szCs w:val="22"/>
        </w:rPr>
        <w:t>offer</w:t>
      </w:r>
      <w:r w:rsidRPr="00DA3379">
        <w:rPr>
          <w:szCs w:val="22"/>
        </w:rPr>
        <w:t xml:space="preserve"> would be[( $50.80*100MW)+($54.33*40MW)]/140 = $51.81</w:t>
      </w:r>
      <w:r w:rsidR="00F4040D">
        <w:rPr>
          <w:noProof/>
          <w:lang w:val="en-CA"/>
        </w:rPr>
        <mc:AlternateContent>
          <mc:Choice Requires="wps">
            <w:drawing>
              <wp:anchor distT="0" distB="0" distL="114300" distR="114300" simplePos="0" relativeHeight="251676683" behindDoc="1" locked="0" layoutInCell="1" allowOverlap="1" wp14:anchorId="26EE3CCE" wp14:editId="1C9F67AE">
                <wp:simplePos x="0" y="0"/>
                <wp:positionH relativeFrom="column">
                  <wp:align>center</wp:align>
                </wp:positionH>
                <wp:positionV relativeFrom="paragraph">
                  <wp:posOffset>540385</wp:posOffset>
                </wp:positionV>
                <wp:extent cx="5936615" cy="1478280"/>
                <wp:effectExtent l="0" t="0" r="26035" b="26670"/>
                <wp:wrapTopAndBottom/>
                <wp:docPr id="42" name="Text Box 25" descr="Figure showing example of two combustion turbines which are offered/running at above MLP, causing steam injections above the 2X1 MLP"/>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6615" cy="14782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1394EA1" w14:textId="77777777" w:rsidR="00851C01" w:rsidRDefault="00851C01" w:rsidP="00DA3379">
                            <w:pPr>
                              <w:keepNext/>
                              <w:jc w:val="center"/>
                            </w:pPr>
                            <w:r>
                              <w:rPr>
                                <w:noProof/>
                                <w:lang w:val="en-CA"/>
                              </w:rPr>
                              <w:drawing>
                                <wp:inline distT="0" distB="0" distL="0" distR="0" wp14:anchorId="099236A7" wp14:editId="49475C57">
                                  <wp:extent cx="5743575" cy="1066800"/>
                                  <wp:effectExtent l="0" t="0" r="9525" b="0"/>
                                  <wp:docPr id="43" name="Picture 7" descr="Figure showing example of two combustion turbines which are offered/running at above MLP, causing steam injections above the 2X1 M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a:srcRect/>
                                          <a:stretch>
                                            <a:fillRect/>
                                          </a:stretch>
                                        </pic:blipFill>
                                        <pic:spPr bwMode="auto">
                                          <a:xfrm>
                                            <a:off x="0" y="0"/>
                                            <a:ext cx="5743575" cy="1066800"/>
                                          </a:xfrm>
                                          <a:prstGeom prst="rect">
                                            <a:avLst/>
                                          </a:prstGeom>
                                          <a:noFill/>
                                          <a:ln w="9525">
                                            <a:noFill/>
                                            <a:miter lim="800000"/>
                                            <a:headEnd/>
                                            <a:tailEnd/>
                                          </a:ln>
                                        </pic:spPr>
                                      </pic:pic>
                                    </a:graphicData>
                                  </a:graphic>
                                </wp:inline>
                              </w:drawing>
                            </w:r>
                          </w:p>
                          <w:p w14:paraId="5E8A441D" w14:textId="77777777" w:rsidR="00851C01" w:rsidRPr="005043B8" w:rsidRDefault="00851C01" w:rsidP="002C030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6EE3CCE" id="Text Box 25" o:spid="_x0000_s1036" type="#_x0000_t202" alt="Figure showing example of two combustion turbines which are offered/running at above MLP, causing steam injections above the 2X1 MLP" style="position:absolute;left:0;text-align:left;margin-left:0;margin-top:42.55pt;width:467.45pt;height:116.4pt;z-index:-251639797;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" filled="f">
                <v:textbox>
                  <w:txbxContent>
                    <w:p w14:paraId="11394EA1" w14:textId="77777777" w:rsidR="00851C01" w:rsidRDefault="00851C01" w:rsidP="00DA3379">
                      <w:pPr>
                        <w:keepNext/>
                        <w:jc w:val="center"/>
                      </w:pPr>
                      <w:r>
                        <w:rPr>
                          <w:noProof/>
                          <w:lang w:val="en-CA"/>
                        </w:rPr>
                        <w:drawing>
                          <wp:inline distT="0" distB="0" distL="0" distR="0" wp14:anchorId="099236A7" wp14:editId="49475C57">
                            <wp:extent cx="5743575" cy="1066800"/>
                            <wp:effectExtent l="0" t="0" r="9525" b="0"/>
                            <wp:docPr id="43" name="Picture 7" descr="Figure showing example of two combustion turbines which are offered/running at above MLP, causing steam injections above the 2X1 M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a:srcRect/>
                                    <a:stretch>
                                      <a:fillRect/>
                                    </a:stretch>
                                  </pic:blipFill>
                                  <pic:spPr bwMode="auto">
                                    <a:xfrm>
                                      <a:off x="0" y="0"/>
                                      <a:ext cx="5743575" cy="1066800"/>
                                    </a:xfrm>
                                    <a:prstGeom prst="rect">
                                      <a:avLst/>
                                    </a:prstGeom>
                                    <a:noFill/>
                                    <a:ln w="9525">
                                      <a:noFill/>
                                      <a:miter lim="800000"/>
                                      <a:headEnd/>
                                      <a:tailEnd/>
                                    </a:ln>
                                  </pic:spPr>
                                </pic:pic>
                              </a:graphicData>
                            </a:graphic>
                          </wp:inline>
                        </w:drawing>
                      </w:r>
                    </w:p>
                    <w:p w14:paraId="5E8A441D" w14:textId="77777777" w:rsidR="00851C01" w:rsidRPr="005043B8" w:rsidRDefault="00851C01" w:rsidP="002C030C"/>
                  </w:txbxContent>
                </v:textbox>
                <w10:wrap type="topAndBottom"/>
              </v:shape>
            </w:pict>
          </mc:Fallback>
        </mc:AlternateContent>
      </w:r>
    </w:p>
    <w:p w14:paraId="1E58E075" w14:textId="77777777" w:rsidR="009272F8" w:rsidRDefault="009272F8">
      <w:pPr>
        <w:pStyle w:val="BodyText"/>
        <w:rPr>
          <w:lang w:val="en-CA"/>
        </w:rPr>
      </w:pPr>
      <w:bookmarkStart w:id="569" w:name="_Toc316981461"/>
      <w:bookmarkStart w:id="570" w:name="_Toc316981578"/>
      <w:bookmarkStart w:id="571" w:name="_Toc316982092"/>
      <w:bookmarkStart w:id="572" w:name="_Toc316980195"/>
      <w:bookmarkStart w:id="573" w:name="_Toc316980361"/>
      <w:bookmarkStart w:id="574" w:name="_Toc316980442"/>
      <w:bookmarkStart w:id="575" w:name="_Toc316981462"/>
      <w:bookmarkStart w:id="576" w:name="_Toc316981579"/>
      <w:bookmarkStart w:id="577" w:name="_Toc316982093"/>
      <w:bookmarkStart w:id="578" w:name="_Toc179944115"/>
      <w:bookmarkStart w:id="579" w:name="_Toc179945670"/>
      <w:bookmarkStart w:id="580" w:name="_Toc182040446"/>
      <w:bookmarkStart w:id="581" w:name="_Toc182983963"/>
      <w:bookmarkStart w:id="582" w:name="_Toc183229590"/>
      <w:bookmarkStart w:id="583" w:name="_Toc179944116"/>
      <w:bookmarkStart w:id="584" w:name="_Toc179945671"/>
      <w:bookmarkStart w:id="585" w:name="_Toc182040447"/>
      <w:bookmarkStart w:id="586" w:name="_Toc182983964"/>
      <w:bookmarkStart w:id="587" w:name="_Toc183229591"/>
      <w:bookmarkStart w:id="588" w:name="_Toc179944119"/>
      <w:bookmarkStart w:id="589" w:name="_Toc179945674"/>
      <w:bookmarkStart w:id="590" w:name="_Toc182040450"/>
      <w:bookmarkStart w:id="591" w:name="_Toc182983967"/>
      <w:bookmarkStart w:id="592" w:name="_Toc183229594"/>
      <w:bookmarkStart w:id="593" w:name="_Toc179944121"/>
      <w:bookmarkStart w:id="594" w:name="_Toc179945676"/>
      <w:bookmarkStart w:id="595" w:name="_Toc182040452"/>
      <w:bookmarkStart w:id="596" w:name="_Toc182983969"/>
      <w:bookmarkStart w:id="597" w:name="_Toc183229596"/>
      <w:bookmarkStart w:id="598" w:name="_Toc179944123"/>
      <w:bookmarkStart w:id="599" w:name="_Toc179945678"/>
      <w:bookmarkStart w:id="600" w:name="_Toc182040454"/>
      <w:bookmarkStart w:id="601" w:name="_Toc182983971"/>
      <w:bookmarkStart w:id="602" w:name="_Toc183229598"/>
      <w:bookmarkStart w:id="603" w:name="_Toc179944125"/>
      <w:bookmarkStart w:id="604" w:name="_Toc179945680"/>
      <w:bookmarkStart w:id="605" w:name="_Toc182040456"/>
      <w:bookmarkStart w:id="606" w:name="_Toc182983973"/>
      <w:bookmarkStart w:id="607" w:name="_Toc183229600"/>
      <w:bookmarkStart w:id="608" w:name="_Toc179783891"/>
      <w:bookmarkStart w:id="609" w:name="_Toc179784401"/>
      <w:bookmarkStart w:id="610" w:name="_Toc179944127"/>
      <w:bookmarkStart w:id="611" w:name="_Toc179945682"/>
      <w:bookmarkStart w:id="612" w:name="_Toc182040458"/>
      <w:bookmarkStart w:id="613" w:name="_Toc182983975"/>
      <w:bookmarkStart w:id="614" w:name="_Toc183229602"/>
      <w:bookmarkStart w:id="615" w:name="_Toc179783893"/>
      <w:bookmarkStart w:id="616" w:name="_Toc179784403"/>
      <w:bookmarkStart w:id="617" w:name="_Toc179944129"/>
      <w:bookmarkStart w:id="618" w:name="_Toc179945684"/>
      <w:bookmarkStart w:id="619" w:name="_Toc182040460"/>
      <w:bookmarkStart w:id="620" w:name="_Toc182983977"/>
      <w:bookmarkStart w:id="621" w:name="_Toc183229604"/>
      <w:bookmarkEnd w:id="487"/>
      <w:bookmarkEnd w:id="48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p>
    <w:p w14:paraId="52A7ACC3" w14:textId="77777777" w:rsidR="00DE46E5" w:rsidRDefault="00E014D3" w:rsidP="003853C6">
      <w:pPr>
        <w:pStyle w:val="Heading3"/>
        <w:numPr>
          <w:ilvl w:val="2"/>
          <w:numId w:val="26"/>
        </w:numPr>
      </w:pPr>
      <w:bookmarkStart w:id="622" w:name="_Toc340835730"/>
      <w:bookmarkStart w:id="623" w:name="_Toc340835962"/>
      <w:bookmarkStart w:id="624" w:name="_Toc341258947"/>
      <w:bookmarkStart w:id="625" w:name="_Toc341262740"/>
      <w:bookmarkStart w:id="626" w:name="_Toc400369524"/>
      <w:bookmarkStart w:id="627" w:name="_Toc35796350"/>
      <w:bookmarkStart w:id="628" w:name="_Toc79657952"/>
      <w:bookmarkEnd w:id="622"/>
      <w:bookmarkEnd w:id="623"/>
      <w:bookmarkEnd w:id="624"/>
      <w:bookmarkEnd w:id="625"/>
      <w:r>
        <w:t>Intentionally Left Blank</w:t>
      </w:r>
      <w:bookmarkStart w:id="629" w:name="_Toc371687128"/>
      <w:bookmarkStart w:id="630" w:name="_Toc371687150"/>
      <w:bookmarkStart w:id="631" w:name="_Toc387745740"/>
      <w:bookmarkStart w:id="632" w:name="_Toc400369568"/>
      <w:bookmarkStart w:id="633" w:name="_Toc400369594"/>
      <w:bookmarkStart w:id="634" w:name="_Toc400371929"/>
      <w:bookmarkStart w:id="635" w:name="_Toc404247293"/>
      <w:bookmarkEnd w:id="626"/>
      <w:bookmarkEnd w:id="627"/>
      <w:bookmarkEnd w:id="628"/>
    </w:p>
    <w:p w14:paraId="059BA0E4" w14:textId="77777777" w:rsidR="008A1AC9" w:rsidRDefault="008A1AC9" w:rsidP="008A1AC9">
      <w:pPr>
        <w:pStyle w:val="BodyTextNote"/>
        <w:pBdr>
          <w:top w:val="single" w:sz="2" w:space="1" w:color="auto"/>
          <w:left w:val="single" w:sz="2" w:space="4" w:color="auto"/>
          <w:bottom w:val="single" w:sz="2" w:space="1" w:color="auto"/>
          <w:right w:val="single" w:sz="2" w:space="4" w:color="auto"/>
        </w:pBdr>
        <w:tabs>
          <w:tab w:val="clear" w:pos="576"/>
          <w:tab w:val="left" w:pos="720"/>
        </w:tabs>
        <w:ind w:left="720" w:hanging="720"/>
      </w:pPr>
      <w:r>
        <w:rPr>
          <w:szCs w:val="22"/>
          <w:lang w:val="en-CA"/>
        </w:rPr>
        <w:t>T</w:t>
      </w:r>
      <w:r w:rsidRPr="00E014D3">
        <w:rPr>
          <w:szCs w:val="22"/>
          <w:lang w:val="en-CA"/>
        </w:rPr>
        <w:t xml:space="preserve">he </w:t>
      </w:r>
      <w:r w:rsidR="007003FB">
        <w:rPr>
          <w:szCs w:val="22"/>
          <w:lang w:val="en-CA"/>
        </w:rPr>
        <w:t>section ‘Limiting Constrained off CMSC Payments to Importers Injecting into Designated Chronically Congested Areas’ has been removed as per market rules amendment MR-00423</w:t>
      </w:r>
      <w:r w:rsidRPr="00E014D3">
        <w:rPr>
          <w:szCs w:val="22"/>
          <w:lang w:val="en-CA"/>
        </w:rPr>
        <w:t xml:space="preserve">. </w:t>
      </w:r>
      <w:r>
        <w:rPr>
          <w:szCs w:val="22"/>
          <w:lang w:val="en-CA"/>
        </w:rPr>
        <w:t>For more details, refer to Appendix E.</w:t>
      </w:r>
      <w:r w:rsidR="007003FB">
        <w:rPr>
          <w:szCs w:val="22"/>
          <w:lang w:val="en-CA"/>
        </w:rPr>
        <w:t>5</w:t>
      </w:r>
      <w:r>
        <w:rPr>
          <w:szCs w:val="22"/>
          <w:lang w:val="en-CA"/>
        </w:rPr>
        <w:t xml:space="preserve">, where the archived section can be found. </w:t>
      </w:r>
    </w:p>
    <w:p w14:paraId="3E77FB75" w14:textId="77777777" w:rsidR="008A1AC9" w:rsidRDefault="008A1AC9" w:rsidP="00D90E15">
      <w:pPr>
        <w:pStyle w:val="ListContinue"/>
      </w:pPr>
    </w:p>
    <w:p w14:paraId="1BF68CED" w14:textId="77777777" w:rsidR="0051177E" w:rsidRDefault="0051177E" w:rsidP="003853C6">
      <w:pPr>
        <w:pStyle w:val="Heading3"/>
        <w:numPr>
          <w:ilvl w:val="2"/>
          <w:numId w:val="26"/>
        </w:numPr>
      </w:pPr>
      <w:bookmarkStart w:id="636" w:name="_Toc400369525"/>
      <w:bookmarkStart w:id="637" w:name="_Toc35796351"/>
      <w:bookmarkStart w:id="638" w:name="_Toc79657953"/>
      <w:r w:rsidRPr="009272F8">
        <w:t xml:space="preserve">Limiting </w:t>
      </w:r>
      <w:r>
        <w:t>Payments to Exports during Negative Prices</w:t>
      </w:r>
      <w:bookmarkEnd w:id="636"/>
      <w:bookmarkEnd w:id="637"/>
      <w:bookmarkEnd w:id="638"/>
    </w:p>
    <w:p w14:paraId="5C891645" w14:textId="77777777" w:rsidR="00A726F3" w:rsidRPr="00EF09B3" w:rsidRDefault="00A726F3" w:rsidP="00051FA4">
      <w:pPr>
        <w:spacing w:before="120" w:after="120"/>
        <w:rPr>
          <w:lang w:val="en-CA"/>
        </w:rPr>
      </w:pPr>
      <w:r w:rsidRPr="00EF09B3">
        <w:rPr>
          <w:lang w:val="en-CA"/>
        </w:rPr>
        <w:t xml:space="preserve">Under certain system conditions an export can receive payments when withdrawing from the </w:t>
      </w:r>
      <w:r w:rsidRPr="00EF09B3">
        <w:rPr>
          <w:i/>
          <w:lang w:val="en-CA"/>
        </w:rPr>
        <w:t>IESO controlled grid</w:t>
      </w:r>
      <w:r w:rsidRPr="00EF09B3">
        <w:rPr>
          <w:lang w:val="en-CA"/>
        </w:rPr>
        <w:t xml:space="preserve">. This occurs when the </w:t>
      </w:r>
      <w:r w:rsidRPr="00EF09B3">
        <w:rPr>
          <w:i/>
          <w:lang w:val="en-CA"/>
        </w:rPr>
        <w:t xml:space="preserve">intertie </w:t>
      </w:r>
      <w:r w:rsidRPr="00EF09B3">
        <w:rPr>
          <w:lang w:val="en-CA"/>
        </w:rPr>
        <w:t xml:space="preserve">zonal price is negative. As of October 1, 2012, these payments to exports will be limited to a </w:t>
      </w:r>
      <w:r w:rsidRPr="00EF09B3">
        <w:rPr>
          <w:i/>
          <w:lang w:val="en-CA"/>
        </w:rPr>
        <w:t xml:space="preserve">settlement </w:t>
      </w:r>
      <w:r w:rsidRPr="00EF09B3">
        <w:rPr>
          <w:lang w:val="en-CA"/>
        </w:rPr>
        <w:t xml:space="preserve">floor price as determined by the </w:t>
      </w:r>
      <w:r w:rsidRPr="00EF09B3">
        <w:rPr>
          <w:i/>
          <w:lang w:val="en-CA"/>
        </w:rPr>
        <w:t>IESO</w:t>
      </w:r>
      <w:r w:rsidRPr="00EF09B3">
        <w:rPr>
          <w:lang w:val="en-CA"/>
        </w:rPr>
        <w:t xml:space="preserve"> which has been stakeholdered with </w:t>
      </w:r>
      <w:r w:rsidRPr="00EF09B3">
        <w:rPr>
          <w:i/>
          <w:lang w:val="en-CA"/>
        </w:rPr>
        <w:t>market participants</w:t>
      </w:r>
      <w:r w:rsidRPr="00EF09B3">
        <w:rPr>
          <w:lang w:val="en-CA"/>
        </w:rPr>
        <w:t xml:space="preserve">. This is consistent with the </w:t>
      </w:r>
      <w:r w:rsidRPr="00EF09B3">
        <w:rPr>
          <w:i/>
          <w:lang w:val="en-CA"/>
        </w:rPr>
        <w:t>market rules</w:t>
      </w:r>
      <w:r w:rsidRPr="00EF09B3">
        <w:rPr>
          <w:lang w:val="en-CA"/>
        </w:rPr>
        <w:t xml:space="preserve"> under Chapter 9, section 3.3.21.1 A, 3.5.6F and 3.8A.3.3.</w:t>
      </w:r>
    </w:p>
    <w:p w14:paraId="12283B6C" w14:textId="752C1844" w:rsidR="00A726F3" w:rsidRPr="00EF09B3" w:rsidRDefault="00502E64" w:rsidP="00A726F3">
      <w:pPr>
        <w:rPr>
          <w:lang w:val="en-CA"/>
        </w:rPr>
      </w:pPr>
      <w:r w:rsidRPr="00EF09B3">
        <w:rPr>
          <w:lang w:val="en-CA"/>
        </w:rPr>
        <w:t>Specifically,</w:t>
      </w:r>
      <w:r w:rsidR="00A726F3" w:rsidRPr="00EF09B3">
        <w:rPr>
          <w:lang w:val="en-CA"/>
        </w:rPr>
        <w:t xml:space="preserve"> this limited payment to exports applies when the following conditions exist:</w:t>
      </w:r>
    </w:p>
    <w:p w14:paraId="2C7C565B" w14:textId="77777777" w:rsidR="00A726F3" w:rsidRPr="00EF09B3" w:rsidRDefault="00A726F3" w:rsidP="007B3371">
      <w:pPr>
        <w:pStyle w:val="ListParagraph"/>
        <w:numPr>
          <w:ilvl w:val="0"/>
          <w:numId w:val="88"/>
        </w:numPr>
        <w:rPr>
          <w:lang w:val="en-CA"/>
        </w:rPr>
      </w:pPr>
      <w:r w:rsidRPr="00EF09B3">
        <w:rPr>
          <w:lang w:val="en-CA"/>
        </w:rPr>
        <w:t>The</w:t>
      </w:r>
      <w:r w:rsidRPr="00EF09B3">
        <w:rPr>
          <w:i/>
          <w:lang w:val="en-CA"/>
        </w:rPr>
        <w:t xml:space="preserve"> intertie</w:t>
      </w:r>
      <w:r w:rsidRPr="00EF09B3">
        <w:rPr>
          <w:lang w:val="en-CA"/>
        </w:rPr>
        <w:t xml:space="preserve"> zonal price is less than the </w:t>
      </w:r>
      <w:r w:rsidRPr="00EF09B3">
        <w:rPr>
          <w:i/>
          <w:lang w:val="en-CA"/>
        </w:rPr>
        <w:t xml:space="preserve">settlement </w:t>
      </w:r>
      <w:r w:rsidRPr="00EF09B3">
        <w:rPr>
          <w:lang w:val="en-CA"/>
        </w:rPr>
        <w:t>floor price; and</w:t>
      </w:r>
    </w:p>
    <w:p w14:paraId="3909BCC6" w14:textId="77777777" w:rsidR="00A726F3" w:rsidRPr="00EF09B3" w:rsidRDefault="00A726F3" w:rsidP="007B3371">
      <w:pPr>
        <w:pStyle w:val="ListParagraph"/>
        <w:numPr>
          <w:ilvl w:val="0"/>
          <w:numId w:val="88"/>
        </w:numPr>
        <w:rPr>
          <w:lang w:val="en-CA"/>
        </w:rPr>
      </w:pPr>
      <w:r w:rsidRPr="00EF09B3">
        <w:rPr>
          <w:lang w:val="en-CA"/>
        </w:rPr>
        <w:t xml:space="preserve">The </w:t>
      </w:r>
      <w:r w:rsidRPr="00EF09B3">
        <w:rPr>
          <w:i/>
          <w:lang w:val="en-CA"/>
        </w:rPr>
        <w:t>intertie</w:t>
      </w:r>
      <w:r w:rsidRPr="00EF09B3">
        <w:rPr>
          <w:lang w:val="en-CA"/>
        </w:rPr>
        <w:t xml:space="preserve"> is not import congested; and</w:t>
      </w:r>
    </w:p>
    <w:p w14:paraId="459BB7FE" w14:textId="77777777" w:rsidR="00A726F3" w:rsidRPr="00EF09B3" w:rsidRDefault="00A726F3" w:rsidP="007B3371">
      <w:pPr>
        <w:pStyle w:val="ListParagraph"/>
        <w:numPr>
          <w:ilvl w:val="0"/>
          <w:numId w:val="88"/>
        </w:numPr>
        <w:rPr>
          <w:lang w:val="en-CA"/>
        </w:rPr>
      </w:pPr>
      <w:r w:rsidRPr="00EF09B3">
        <w:rPr>
          <w:lang w:val="en-CA"/>
        </w:rPr>
        <w:t>The export is not part of a linked wheel.</w:t>
      </w:r>
    </w:p>
    <w:p w14:paraId="01EE70BB" w14:textId="77777777" w:rsidR="00A726F3" w:rsidRPr="00EF09B3" w:rsidRDefault="00A726F3" w:rsidP="0061777D">
      <w:pPr>
        <w:spacing w:before="120"/>
        <w:rPr>
          <w:lang w:val="en-CA"/>
        </w:rPr>
      </w:pPr>
      <w:r w:rsidRPr="00EF09B3">
        <w:rPr>
          <w:lang w:val="en-CA"/>
        </w:rPr>
        <w:t xml:space="preserve">As of February 1, 2013 the </w:t>
      </w:r>
      <w:r w:rsidRPr="00EF09B3">
        <w:rPr>
          <w:i/>
          <w:lang w:val="en-CA"/>
        </w:rPr>
        <w:t xml:space="preserve">settlement </w:t>
      </w:r>
      <w:r w:rsidRPr="00EF09B3">
        <w:rPr>
          <w:lang w:val="en-CA"/>
        </w:rPr>
        <w:t>floor price is -$2,000/MWh.</w:t>
      </w:r>
    </w:p>
    <w:p w14:paraId="3367672A" w14:textId="7AAFEF9E" w:rsidR="00A726F3" w:rsidRPr="00EF09B3" w:rsidRDefault="00A726F3" w:rsidP="00133618">
      <w:pPr>
        <w:pStyle w:val="Heading4"/>
        <w:rPr>
          <w:lang w:val="en-CA"/>
        </w:rPr>
      </w:pPr>
      <w:r w:rsidRPr="00EF09B3">
        <w:t xml:space="preserve">How Energy Payments </w:t>
      </w:r>
      <w:r w:rsidR="006A007B">
        <w:t>A</w:t>
      </w:r>
      <w:r w:rsidRPr="00EF09B3">
        <w:t>re Settled for Exports</w:t>
      </w:r>
    </w:p>
    <w:p w14:paraId="20ED76B3" w14:textId="77777777" w:rsidR="00A726F3" w:rsidRPr="00EF09B3" w:rsidRDefault="00A726F3" w:rsidP="00A726F3">
      <w:pPr>
        <w:pStyle w:val="BodyText"/>
        <w:rPr>
          <w:lang w:val="en-CA"/>
        </w:rPr>
      </w:pPr>
      <w:r w:rsidRPr="00EF09B3">
        <w:rPr>
          <w:lang w:val="en-CA"/>
        </w:rPr>
        <w:t xml:space="preserve">The net </w:t>
      </w:r>
      <w:r w:rsidRPr="00EF09B3">
        <w:rPr>
          <w:i/>
          <w:lang w:val="en-CA"/>
        </w:rPr>
        <w:t>energy settlement</w:t>
      </w:r>
      <w:r w:rsidRPr="00EF09B3">
        <w:rPr>
          <w:lang w:val="en-CA"/>
        </w:rPr>
        <w:t xml:space="preserve"> for an export transaction based on the conditions stated above will be the greater of:</w:t>
      </w:r>
    </w:p>
    <w:p w14:paraId="50EF8399" w14:textId="77777777" w:rsidR="00A726F3" w:rsidRPr="00EF09B3" w:rsidRDefault="00A726F3" w:rsidP="003853C6">
      <w:pPr>
        <w:pStyle w:val="BodyText"/>
        <w:numPr>
          <w:ilvl w:val="0"/>
          <w:numId w:val="87"/>
        </w:numPr>
        <w:rPr>
          <w:lang w:val="en-CA"/>
        </w:rPr>
      </w:pPr>
      <w:r w:rsidRPr="00EF09B3">
        <w:rPr>
          <w:i/>
          <w:lang w:val="en-CA"/>
        </w:rPr>
        <w:t xml:space="preserve">Energy </w:t>
      </w:r>
      <w:r w:rsidRPr="00EF09B3">
        <w:rPr>
          <w:lang w:val="en-CA"/>
        </w:rPr>
        <w:t xml:space="preserve">market clearing price at the applicable </w:t>
      </w:r>
      <w:r w:rsidRPr="00EF09B3">
        <w:rPr>
          <w:i/>
          <w:lang w:val="en-CA"/>
        </w:rPr>
        <w:t>intertie zone</w:t>
      </w:r>
      <w:r w:rsidRPr="00EF09B3">
        <w:rPr>
          <w:lang w:val="en-CA"/>
        </w:rPr>
        <w:t>; and</w:t>
      </w:r>
    </w:p>
    <w:p w14:paraId="0F9864DE" w14:textId="77777777" w:rsidR="00A726F3" w:rsidRPr="00EF09B3" w:rsidRDefault="00A726F3" w:rsidP="003853C6">
      <w:pPr>
        <w:pStyle w:val="BodyText"/>
        <w:numPr>
          <w:ilvl w:val="0"/>
          <w:numId w:val="87"/>
        </w:numPr>
        <w:rPr>
          <w:lang w:val="en-CA"/>
        </w:rPr>
      </w:pPr>
      <w:r w:rsidRPr="00EF09B3">
        <w:rPr>
          <w:i/>
          <w:lang w:val="en-CA"/>
        </w:rPr>
        <w:t>Settlement</w:t>
      </w:r>
      <w:r w:rsidRPr="00EF09B3">
        <w:rPr>
          <w:lang w:val="en-CA"/>
        </w:rPr>
        <w:t xml:space="preserve"> floor price as determined by the </w:t>
      </w:r>
      <w:r w:rsidRPr="00EF09B3">
        <w:rPr>
          <w:i/>
          <w:lang w:val="en-CA"/>
        </w:rPr>
        <w:t>IESO</w:t>
      </w:r>
      <w:r w:rsidRPr="00EF09B3">
        <w:rPr>
          <w:lang w:val="en-CA"/>
        </w:rPr>
        <w:t>.</w:t>
      </w:r>
    </w:p>
    <w:p w14:paraId="64625BC8" w14:textId="77777777" w:rsidR="00A726F3" w:rsidRPr="00EF09B3" w:rsidRDefault="00A726F3" w:rsidP="00A726F3">
      <w:pPr>
        <w:pStyle w:val="BodyText"/>
      </w:pPr>
      <w:r w:rsidRPr="00EF09B3">
        <w:t xml:space="preserve">This limiting payment to exports will be applied as a month-end manual adjustment against </w:t>
      </w:r>
      <w:r w:rsidRPr="00EF09B3">
        <w:rPr>
          <w:i/>
        </w:rPr>
        <w:t>charge type</w:t>
      </w:r>
      <w:r w:rsidRPr="00EF09B3">
        <w:t xml:space="preserve"> 100 on the </w:t>
      </w:r>
      <w:r w:rsidRPr="00EF09B3">
        <w:rPr>
          <w:i/>
        </w:rPr>
        <w:t>preliminary settlement statement</w:t>
      </w:r>
      <w:r w:rsidRPr="00EF09B3">
        <w:t xml:space="preserve"> on the last </w:t>
      </w:r>
      <w:r w:rsidRPr="00EF09B3">
        <w:rPr>
          <w:i/>
        </w:rPr>
        <w:t>trading day</w:t>
      </w:r>
      <w:r w:rsidRPr="00EF09B3">
        <w:t xml:space="preserve"> of the month.</w:t>
      </w:r>
    </w:p>
    <w:p w14:paraId="2C67FE45" w14:textId="77777777" w:rsidR="00A726F3" w:rsidRPr="00EF09B3" w:rsidRDefault="00A726F3" w:rsidP="00133618">
      <w:pPr>
        <w:pStyle w:val="Heading4"/>
      </w:pPr>
      <w:r w:rsidRPr="00EF09B3">
        <w:t>Limiting IOG Payments</w:t>
      </w:r>
    </w:p>
    <w:p w14:paraId="2C926526" w14:textId="77777777" w:rsidR="00A726F3" w:rsidRDefault="00A726F3" w:rsidP="00A726F3">
      <w:pPr>
        <w:pStyle w:val="BodyText"/>
        <w:rPr>
          <w:lang w:val="en-CA"/>
        </w:rPr>
      </w:pPr>
      <w:r w:rsidRPr="00EF09B3">
        <w:t xml:space="preserve">Export quantities that are settled at the </w:t>
      </w:r>
      <w:r w:rsidRPr="00EF09B3">
        <w:rPr>
          <w:i/>
        </w:rPr>
        <w:t xml:space="preserve">settlement </w:t>
      </w:r>
      <w:r w:rsidRPr="00EF09B3">
        <w:t xml:space="preserve">floor price are excluded from the IOG offset process to be consistent with the treatment of negative price for exports. </w:t>
      </w:r>
      <w:r w:rsidRPr="00EF09B3">
        <w:rPr>
          <w:lang w:val="en-CA"/>
        </w:rPr>
        <w:t>Refer to “Market Manual 9: Part 9.5 Settlement of the DACP” for details on the IOG Offset process.</w:t>
      </w:r>
    </w:p>
    <w:p w14:paraId="073F329B" w14:textId="77777777" w:rsidR="00A044D7" w:rsidRPr="00B0134C" w:rsidRDefault="00A044D7" w:rsidP="003853C6">
      <w:pPr>
        <w:pStyle w:val="Heading3"/>
        <w:numPr>
          <w:ilvl w:val="2"/>
          <w:numId w:val="26"/>
        </w:numPr>
        <w:rPr>
          <w:color w:val="000000" w:themeColor="text1"/>
        </w:rPr>
      </w:pPr>
      <w:bookmarkStart w:id="639" w:name="_Toc400369526"/>
      <w:bookmarkStart w:id="640" w:name="_Toc35796352"/>
      <w:bookmarkStart w:id="641" w:name="_Toc79657954"/>
      <w:r w:rsidRPr="00B0134C">
        <w:rPr>
          <w:color w:val="000000" w:themeColor="text1"/>
        </w:rPr>
        <w:t xml:space="preserve">Smart Metering </w:t>
      </w:r>
      <w:r w:rsidR="00335608" w:rsidRPr="00B0134C">
        <w:rPr>
          <w:color w:val="000000" w:themeColor="text1"/>
        </w:rPr>
        <w:t xml:space="preserve">Entity </w:t>
      </w:r>
      <w:r w:rsidRPr="00B0134C">
        <w:rPr>
          <w:color w:val="000000" w:themeColor="text1"/>
        </w:rPr>
        <w:t>Charge</w:t>
      </w:r>
      <w:bookmarkEnd w:id="639"/>
      <w:bookmarkEnd w:id="640"/>
      <w:bookmarkEnd w:id="641"/>
    </w:p>
    <w:p w14:paraId="1E8528F2" w14:textId="77777777" w:rsidR="00335608" w:rsidRPr="00B0134C" w:rsidRDefault="00335608" w:rsidP="00335608">
      <w:pPr>
        <w:spacing w:before="120" w:after="120"/>
        <w:rPr>
          <w:color w:val="000000" w:themeColor="text1"/>
        </w:rPr>
      </w:pPr>
      <w:r w:rsidRPr="00B0134C">
        <w:rPr>
          <w:color w:val="000000" w:themeColor="text1"/>
        </w:rPr>
        <w:t>The Smart Metering Entity (SME) manages the meter data management /repository (MDM/R) to collect, manage, store and retrieve information related to the metering of electricity use in Ontario.</w:t>
      </w:r>
    </w:p>
    <w:p w14:paraId="75808E13" w14:textId="77777777" w:rsidR="00335608" w:rsidRPr="00B0134C" w:rsidRDefault="00335608" w:rsidP="00335608">
      <w:pPr>
        <w:spacing w:before="120" w:after="120"/>
        <w:rPr>
          <w:color w:val="000000" w:themeColor="text1"/>
        </w:rPr>
      </w:pPr>
      <w:r w:rsidRPr="00B0134C">
        <w:rPr>
          <w:color w:val="000000" w:themeColor="text1"/>
        </w:rPr>
        <w:t xml:space="preserve">Effective May 1, 2013, the costs of developing and operating the MDM/R will be recovered by a Smart Metering Entity charge levied and collected from all licensed </w:t>
      </w:r>
      <w:r w:rsidRPr="00B0134C">
        <w:rPr>
          <w:i/>
          <w:color w:val="000000" w:themeColor="text1"/>
        </w:rPr>
        <w:t>distributors</w:t>
      </w:r>
      <w:r w:rsidRPr="00B0134C">
        <w:rPr>
          <w:color w:val="000000" w:themeColor="text1"/>
        </w:rPr>
        <w:t xml:space="preserve"> (LDCs) identified in the </w:t>
      </w:r>
      <w:r w:rsidRPr="00B0134C">
        <w:rPr>
          <w:i/>
          <w:color w:val="000000" w:themeColor="text1"/>
        </w:rPr>
        <w:t>OEB</w:t>
      </w:r>
      <w:r w:rsidRPr="00B0134C">
        <w:rPr>
          <w:color w:val="000000" w:themeColor="text1"/>
        </w:rPr>
        <w:t xml:space="preserve">’s annual “Yearbook of Electricity Distributors”. The Smart Metering Entity charge is the </w:t>
      </w:r>
      <w:r w:rsidRPr="00B0134C">
        <w:rPr>
          <w:i/>
          <w:color w:val="000000" w:themeColor="text1"/>
        </w:rPr>
        <w:t xml:space="preserve">OEB </w:t>
      </w:r>
      <w:r w:rsidRPr="00B0134C">
        <w:rPr>
          <w:color w:val="000000" w:themeColor="text1"/>
        </w:rPr>
        <w:t>approved rate per month for each LDC’s Residential and General Service (&lt;50 kW) customers. The latest Yearbook of Electricity Distributors available on January 1</w:t>
      </w:r>
      <w:r w:rsidRPr="00B0134C">
        <w:rPr>
          <w:color w:val="000000" w:themeColor="text1"/>
          <w:vertAlign w:val="superscript"/>
        </w:rPr>
        <w:t>st</w:t>
      </w:r>
      <w:r w:rsidRPr="00B0134C">
        <w:rPr>
          <w:color w:val="000000" w:themeColor="text1"/>
        </w:rPr>
        <w:t xml:space="preserve"> is used to determine the Residential and General Service (&lt;50 kW) customers for each LDC for that calendar year.</w:t>
      </w:r>
    </w:p>
    <w:p w14:paraId="5FD757A7" w14:textId="77777777" w:rsidR="00335608" w:rsidRDefault="00335608" w:rsidP="00335608">
      <w:pPr>
        <w:spacing w:before="120" w:after="120"/>
        <w:rPr>
          <w:color w:val="000000" w:themeColor="text1"/>
        </w:rPr>
      </w:pPr>
      <w:r w:rsidRPr="00B0134C">
        <w:rPr>
          <w:color w:val="000000" w:themeColor="text1"/>
        </w:rPr>
        <w:t>The Smart Metering Entity charge is applied monthly and includes the charges for the following month. C</w:t>
      </w:r>
      <w:r w:rsidRPr="00B0134C">
        <w:rPr>
          <w:i/>
          <w:color w:val="000000" w:themeColor="text1"/>
        </w:rPr>
        <w:t>harge type</w:t>
      </w:r>
      <w:r w:rsidRPr="00B0134C">
        <w:rPr>
          <w:color w:val="000000" w:themeColor="text1"/>
        </w:rPr>
        <w:t xml:space="preserve"> 9980 “Smart Metering Charge” will appear on the </w:t>
      </w:r>
      <w:r w:rsidRPr="00B0134C">
        <w:rPr>
          <w:i/>
          <w:color w:val="000000" w:themeColor="text1"/>
        </w:rPr>
        <w:t>preliminary settlement statement</w:t>
      </w:r>
      <w:r w:rsidRPr="00B0134C">
        <w:rPr>
          <w:color w:val="000000" w:themeColor="text1"/>
        </w:rPr>
        <w:t xml:space="preserve"> and </w:t>
      </w:r>
      <w:r w:rsidRPr="00B0134C">
        <w:rPr>
          <w:i/>
          <w:color w:val="000000" w:themeColor="text1"/>
        </w:rPr>
        <w:t>final settlement statement</w:t>
      </w:r>
      <w:r w:rsidRPr="00B0134C">
        <w:rPr>
          <w:color w:val="000000" w:themeColor="text1"/>
        </w:rPr>
        <w:t xml:space="preserve"> of each eligible LDC for the last </w:t>
      </w:r>
      <w:r w:rsidRPr="00B0134C">
        <w:rPr>
          <w:i/>
          <w:color w:val="000000" w:themeColor="text1"/>
        </w:rPr>
        <w:t>trading day</w:t>
      </w:r>
      <w:r w:rsidRPr="00B0134C">
        <w:rPr>
          <w:color w:val="000000" w:themeColor="text1"/>
        </w:rPr>
        <w:t xml:space="preserve"> of the month.</w:t>
      </w:r>
    </w:p>
    <w:p w14:paraId="634A791C" w14:textId="77777777" w:rsidR="004B0CCF" w:rsidRPr="00DC1730" w:rsidRDefault="00EA2603" w:rsidP="003853C6">
      <w:pPr>
        <w:pStyle w:val="Heading3"/>
        <w:numPr>
          <w:ilvl w:val="2"/>
          <w:numId w:val="26"/>
        </w:numPr>
        <w:rPr>
          <w:color w:val="000000" w:themeColor="text1"/>
        </w:rPr>
      </w:pPr>
      <w:bookmarkStart w:id="642" w:name="_Toc35796353"/>
      <w:bookmarkStart w:id="643" w:name="_Toc79657955"/>
      <w:r>
        <w:t>Intentionally Left Blank</w:t>
      </w:r>
      <w:bookmarkEnd w:id="642"/>
      <w:bookmarkEnd w:id="643"/>
    </w:p>
    <w:p w14:paraId="3B15000A" w14:textId="77777777" w:rsidR="00EA2603" w:rsidRDefault="00EA2603" w:rsidP="00EA2603">
      <w:pPr>
        <w:pStyle w:val="BodyTextNote"/>
        <w:pBdr>
          <w:top w:val="single" w:sz="2" w:space="1" w:color="auto"/>
          <w:left w:val="single" w:sz="2" w:space="4" w:color="auto"/>
          <w:bottom w:val="single" w:sz="2" w:space="1" w:color="auto"/>
          <w:right w:val="single" w:sz="2" w:space="4" w:color="auto"/>
        </w:pBdr>
        <w:tabs>
          <w:tab w:val="clear" w:pos="576"/>
          <w:tab w:val="left" w:pos="720"/>
        </w:tabs>
        <w:ind w:left="720" w:hanging="720"/>
      </w:pPr>
      <w:r w:rsidRPr="002A55B6">
        <w:rPr>
          <w:szCs w:val="22"/>
          <w:lang w:val="en-CA"/>
        </w:rPr>
        <w:t>The section ‘</w:t>
      </w:r>
      <w:r>
        <w:rPr>
          <w:szCs w:val="22"/>
          <w:lang w:val="en-CA"/>
        </w:rPr>
        <w:t>Capacity Based Demand Response Program</w:t>
      </w:r>
      <w:r w:rsidRPr="002A55B6">
        <w:rPr>
          <w:szCs w:val="22"/>
          <w:lang w:val="en-CA"/>
        </w:rPr>
        <w:t>’ has been removed</w:t>
      </w:r>
      <w:r>
        <w:rPr>
          <w:szCs w:val="22"/>
          <w:lang w:val="en-CA"/>
        </w:rPr>
        <w:t>.</w:t>
      </w:r>
      <w:r w:rsidRPr="002A55B6">
        <w:rPr>
          <w:szCs w:val="22"/>
          <w:lang w:val="en-CA"/>
        </w:rPr>
        <w:t xml:space="preserve"> The archived section can be found in Appendix E.</w:t>
      </w:r>
      <w:r>
        <w:rPr>
          <w:szCs w:val="22"/>
          <w:lang w:val="en-CA"/>
        </w:rPr>
        <w:t>10</w:t>
      </w:r>
      <w:r w:rsidRPr="002A55B6">
        <w:rPr>
          <w:szCs w:val="22"/>
          <w:lang w:val="en-CA"/>
        </w:rPr>
        <w:t xml:space="preserve">. </w:t>
      </w:r>
    </w:p>
    <w:p w14:paraId="2FAF4372" w14:textId="77777777" w:rsidR="00F34347" w:rsidRPr="009C3EAD" w:rsidRDefault="00BB68D1" w:rsidP="003853C6">
      <w:pPr>
        <w:pStyle w:val="Heading3"/>
        <w:numPr>
          <w:ilvl w:val="2"/>
          <w:numId w:val="26"/>
        </w:numPr>
        <w:rPr>
          <w:color w:val="000000" w:themeColor="text1"/>
        </w:rPr>
      </w:pPr>
      <w:bookmarkStart w:id="644" w:name="_Toc536626650"/>
      <w:bookmarkStart w:id="645" w:name="_Toc536626651"/>
      <w:bookmarkStart w:id="646" w:name="_Toc536626652"/>
      <w:bookmarkStart w:id="647" w:name="_Toc536626653"/>
      <w:bookmarkStart w:id="648" w:name="_Toc536626654"/>
      <w:bookmarkStart w:id="649" w:name="_Toc536626655"/>
      <w:bookmarkStart w:id="650" w:name="_Toc536626656"/>
      <w:bookmarkStart w:id="651" w:name="_Toc536626657"/>
      <w:bookmarkStart w:id="652" w:name="_Toc536626658"/>
      <w:bookmarkStart w:id="653" w:name="_Toc536626659"/>
      <w:bookmarkStart w:id="654" w:name="_Toc536626660"/>
      <w:bookmarkStart w:id="655" w:name="_Toc536626661"/>
      <w:bookmarkStart w:id="656" w:name="_Toc536626662"/>
      <w:bookmarkStart w:id="657" w:name="_Toc536626663"/>
      <w:bookmarkStart w:id="658" w:name="_Toc536626664"/>
      <w:bookmarkStart w:id="659" w:name="_Toc536626665"/>
      <w:bookmarkStart w:id="660" w:name="_Toc536626666"/>
      <w:bookmarkStart w:id="661" w:name="_Toc536626667"/>
      <w:bookmarkStart w:id="662" w:name="_Toc536626668"/>
      <w:bookmarkStart w:id="663" w:name="_Toc536626669"/>
      <w:bookmarkStart w:id="664" w:name="_Toc536626670"/>
      <w:bookmarkStart w:id="665" w:name="_Toc536626671"/>
      <w:bookmarkStart w:id="666" w:name="_Toc536626672"/>
      <w:bookmarkStart w:id="667" w:name="_Toc536626673"/>
      <w:bookmarkStart w:id="668" w:name="_Toc536626674"/>
      <w:bookmarkStart w:id="669" w:name="_Toc536626675"/>
      <w:bookmarkStart w:id="670" w:name="_Toc536626676"/>
      <w:bookmarkStart w:id="671" w:name="_Toc536626677"/>
      <w:bookmarkStart w:id="672" w:name="_Toc536626678"/>
      <w:bookmarkStart w:id="673" w:name="_Toc536626679"/>
      <w:bookmarkStart w:id="674" w:name="_Toc536626680"/>
      <w:bookmarkStart w:id="675" w:name="_Toc536626681"/>
      <w:bookmarkStart w:id="676" w:name="_Toc536626682"/>
      <w:bookmarkStart w:id="677" w:name="_Toc536626683"/>
      <w:bookmarkStart w:id="678" w:name="_Toc536626684"/>
      <w:bookmarkStart w:id="679" w:name="_Toc536626685"/>
      <w:bookmarkStart w:id="680" w:name="_Toc536626686"/>
      <w:bookmarkStart w:id="681" w:name="_Toc536626687"/>
      <w:bookmarkStart w:id="682" w:name="_Toc536626688"/>
      <w:bookmarkStart w:id="683" w:name="_Toc536626689"/>
      <w:bookmarkStart w:id="684" w:name="_Toc536626690"/>
      <w:bookmarkStart w:id="685" w:name="_Toc536626691"/>
      <w:bookmarkStart w:id="686" w:name="_Toc536626692"/>
      <w:bookmarkStart w:id="687" w:name="_Toc536626693"/>
      <w:bookmarkStart w:id="688" w:name="_Toc536626694"/>
      <w:bookmarkStart w:id="689" w:name="_Toc536626695"/>
      <w:bookmarkStart w:id="690" w:name="_Toc536626696"/>
      <w:bookmarkStart w:id="691" w:name="_Toc536626697"/>
      <w:bookmarkStart w:id="692" w:name="_Toc536626698"/>
      <w:bookmarkStart w:id="693" w:name="_Toc536626699"/>
      <w:bookmarkStart w:id="694" w:name="_Toc536626700"/>
      <w:bookmarkStart w:id="695" w:name="_Toc536626701"/>
      <w:bookmarkStart w:id="696" w:name="_Toc536626702"/>
      <w:bookmarkStart w:id="697" w:name="_Toc536626703"/>
      <w:bookmarkStart w:id="698" w:name="_Toc536626704"/>
      <w:bookmarkStart w:id="699" w:name="_Toc536626705"/>
      <w:bookmarkStart w:id="700" w:name="_Toc536626706"/>
      <w:bookmarkStart w:id="701" w:name="_Toc536626707"/>
      <w:bookmarkStart w:id="702" w:name="_Toc536626708"/>
      <w:bookmarkStart w:id="703" w:name="_Toc536626709"/>
      <w:bookmarkStart w:id="704" w:name="_Toc536626710"/>
      <w:bookmarkStart w:id="705" w:name="_Toc536626711"/>
      <w:bookmarkStart w:id="706" w:name="_Toc536626712"/>
      <w:bookmarkStart w:id="707" w:name="_Toc536626713"/>
      <w:bookmarkStart w:id="708" w:name="_Toc536626714"/>
      <w:bookmarkStart w:id="709" w:name="_Toc536626715"/>
      <w:bookmarkStart w:id="710" w:name="_Toc536626716"/>
      <w:bookmarkStart w:id="711" w:name="_Toc536626717"/>
      <w:bookmarkStart w:id="712" w:name="_Toc536626718"/>
      <w:bookmarkStart w:id="713" w:name="_Toc536626719"/>
      <w:bookmarkStart w:id="714" w:name="_Toc536626720"/>
      <w:bookmarkStart w:id="715" w:name="_Toc536626721"/>
      <w:bookmarkStart w:id="716" w:name="_Toc536626722"/>
      <w:bookmarkStart w:id="717" w:name="_Toc536626723"/>
      <w:bookmarkStart w:id="718" w:name="_Toc536626724"/>
      <w:bookmarkStart w:id="719" w:name="_Toc536626725"/>
      <w:bookmarkStart w:id="720" w:name="_Toc536626726"/>
      <w:bookmarkStart w:id="721" w:name="_Toc536626727"/>
      <w:bookmarkStart w:id="722" w:name="_Toc536626728"/>
      <w:bookmarkStart w:id="723" w:name="_Toc536626729"/>
      <w:bookmarkStart w:id="724" w:name="_Toc536626730"/>
      <w:bookmarkStart w:id="725" w:name="_Toc536626731"/>
      <w:bookmarkStart w:id="726" w:name="_Toc536626732"/>
      <w:bookmarkStart w:id="727" w:name="_Toc536626733"/>
      <w:bookmarkStart w:id="728" w:name="_Toc536626734"/>
      <w:bookmarkStart w:id="729" w:name="_Toc536626735"/>
      <w:bookmarkStart w:id="730" w:name="_Toc536626736"/>
      <w:bookmarkStart w:id="731" w:name="_Toc536626737"/>
      <w:bookmarkStart w:id="732" w:name="_Toc536626738"/>
      <w:bookmarkStart w:id="733" w:name="_Toc536626739"/>
      <w:bookmarkStart w:id="734" w:name="_Toc536626740"/>
      <w:bookmarkStart w:id="735" w:name="_Toc536626741"/>
      <w:bookmarkStart w:id="736" w:name="_Toc536626742"/>
      <w:bookmarkStart w:id="737" w:name="_Toc536626743"/>
      <w:bookmarkStart w:id="738" w:name="_Toc536626744"/>
      <w:bookmarkStart w:id="739" w:name="_Toc536626745"/>
      <w:bookmarkStart w:id="740" w:name="_Toc536626746"/>
      <w:bookmarkStart w:id="741" w:name="_Toc536626747"/>
      <w:bookmarkStart w:id="742" w:name="_Toc536626748"/>
      <w:bookmarkStart w:id="743" w:name="_Toc536626749"/>
      <w:bookmarkStart w:id="744" w:name="_Toc536626750"/>
      <w:bookmarkStart w:id="745" w:name="_Toc536626751"/>
      <w:bookmarkStart w:id="746" w:name="_Toc536626772"/>
      <w:bookmarkStart w:id="747" w:name="_Toc536626773"/>
      <w:bookmarkStart w:id="748" w:name="_Toc536626774"/>
      <w:bookmarkStart w:id="749" w:name="_Toc536626775"/>
      <w:bookmarkStart w:id="750" w:name="_Toc536626776"/>
      <w:bookmarkStart w:id="751" w:name="_Toc536626777"/>
      <w:bookmarkStart w:id="752" w:name="_Toc536626778"/>
      <w:bookmarkStart w:id="753" w:name="_Toc536626779"/>
      <w:bookmarkStart w:id="754" w:name="_Toc536626780"/>
      <w:bookmarkStart w:id="755" w:name="_Toc536626781"/>
      <w:bookmarkStart w:id="756" w:name="_Toc536626782"/>
      <w:bookmarkStart w:id="757" w:name="_Toc536626783"/>
      <w:bookmarkStart w:id="758" w:name="_Toc536626784"/>
      <w:bookmarkStart w:id="759" w:name="_Toc536626785"/>
      <w:bookmarkStart w:id="760" w:name="_Toc536626786"/>
      <w:bookmarkStart w:id="761" w:name="_Toc536626787"/>
      <w:bookmarkStart w:id="762" w:name="_Toc536626788"/>
      <w:bookmarkStart w:id="763" w:name="_Toc536626789"/>
      <w:bookmarkStart w:id="764" w:name="_Toc536626790"/>
      <w:bookmarkStart w:id="765" w:name="_Toc536626791"/>
      <w:bookmarkStart w:id="766" w:name="_Toc536626792"/>
      <w:bookmarkStart w:id="767" w:name="_Toc536626793"/>
      <w:bookmarkStart w:id="768" w:name="_Toc536626794"/>
      <w:bookmarkStart w:id="769" w:name="_Toc536626795"/>
      <w:bookmarkStart w:id="770" w:name="_Toc536626796"/>
      <w:bookmarkStart w:id="771" w:name="_Toc536626797"/>
      <w:bookmarkStart w:id="772" w:name="_Toc536626798"/>
      <w:bookmarkStart w:id="773" w:name="_Toc536626799"/>
      <w:bookmarkStart w:id="774" w:name="_Toc536626800"/>
      <w:bookmarkStart w:id="775" w:name="_Toc536626801"/>
      <w:bookmarkStart w:id="776" w:name="_Toc536626802"/>
      <w:bookmarkStart w:id="777" w:name="_Toc536626803"/>
      <w:bookmarkStart w:id="778" w:name="_Toc536626804"/>
      <w:bookmarkStart w:id="779" w:name="_Toc536626805"/>
      <w:bookmarkStart w:id="780" w:name="_Toc536626806"/>
      <w:bookmarkStart w:id="781" w:name="_Toc536626807"/>
      <w:bookmarkStart w:id="782" w:name="_Toc536626808"/>
      <w:bookmarkStart w:id="783" w:name="_Toc536626809"/>
      <w:bookmarkStart w:id="784" w:name="_Toc536626810"/>
      <w:bookmarkStart w:id="785" w:name="_Toc536626811"/>
      <w:bookmarkStart w:id="786" w:name="_Toc536626812"/>
      <w:bookmarkStart w:id="787" w:name="_Toc536626813"/>
      <w:bookmarkStart w:id="788" w:name="_Toc536626814"/>
      <w:bookmarkStart w:id="789" w:name="_Toc536626815"/>
      <w:bookmarkStart w:id="790" w:name="_Toc536626816"/>
      <w:bookmarkStart w:id="791" w:name="_Toc536626817"/>
      <w:bookmarkStart w:id="792" w:name="_Toc536626818"/>
      <w:bookmarkStart w:id="793" w:name="_Toc536626819"/>
      <w:bookmarkStart w:id="794" w:name="_Toc536626820"/>
      <w:bookmarkStart w:id="795" w:name="_Toc536626821"/>
      <w:bookmarkStart w:id="796" w:name="_Toc536626822"/>
      <w:bookmarkStart w:id="797" w:name="_Toc536626823"/>
      <w:bookmarkStart w:id="798" w:name="_Toc536626824"/>
      <w:bookmarkStart w:id="799" w:name="_Toc536626825"/>
      <w:bookmarkStart w:id="800" w:name="_Toc536626826"/>
      <w:bookmarkStart w:id="801" w:name="_Toc536626827"/>
      <w:bookmarkStart w:id="802" w:name="_Toc536626828"/>
      <w:bookmarkStart w:id="803" w:name="_Toc536626829"/>
      <w:bookmarkStart w:id="804" w:name="_Toc536626830"/>
      <w:bookmarkStart w:id="805" w:name="_Toc536626831"/>
      <w:bookmarkStart w:id="806" w:name="_Toc536626832"/>
      <w:bookmarkStart w:id="807" w:name="_Toc536626833"/>
      <w:bookmarkStart w:id="808" w:name="_Toc536626834"/>
      <w:bookmarkStart w:id="809" w:name="_Toc536626835"/>
      <w:bookmarkStart w:id="810" w:name="_Toc536626836"/>
      <w:bookmarkStart w:id="811" w:name="_Toc536626837"/>
      <w:bookmarkStart w:id="812" w:name="_Toc536626838"/>
      <w:bookmarkStart w:id="813" w:name="_Toc536626839"/>
      <w:bookmarkStart w:id="814" w:name="_Toc536626840"/>
      <w:bookmarkStart w:id="815" w:name="_Toc536626841"/>
      <w:bookmarkStart w:id="816" w:name="_Toc536626842"/>
      <w:bookmarkStart w:id="817" w:name="_Toc536626843"/>
      <w:bookmarkStart w:id="818" w:name="_Toc536626844"/>
      <w:bookmarkStart w:id="819" w:name="_Toc536626845"/>
      <w:bookmarkStart w:id="820" w:name="_Toc536626846"/>
      <w:bookmarkStart w:id="821" w:name="_Toc536626847"/>
      <w:bookmarkStart w:id="822" w:name="_Toc536626848"/>
      <w:bookmarkStart w:id="823" w:name="_Toc536626871"/>
      <w:bookmarkStart w:id="824" w:name="_Toc536626872"/>
      <w:bookmarkStart w:id="825" w:name="_Toc536626873"/>
      <w:bookmarkStart w:id="826" w:name="_Toc536626874"/>
      <w:bookmarkStart w:id="827" w:name="_Toc536626875"/>
      <w:bookmarkStart w:id="828" w:name="_Toc536626876"/>
      <w:bookmarkStart w:id="829" w:name="_Toc536626877"/>
      <w:bookmarkStart w:id="830" w:name="_Toc536626878"/>
      <w:bookmarkStart w:id="831" w:name="_Toc536626879"/>
      <w:bookmarkStart w:id="832" w:name="_Toc536626880"/>
      <w:bookmarkStart w:id="833" w:name="_Toc536626881"/>
      <w:bookmarkStart w:id="834" w:name="_Toc536626882"/>
      <w:bookmarkStart w:id="835" w:name="_Toc536626883"/>
      <w:bookmarkStart w:id="836" w:name="_Toc536626884"/>
      <w:bookmarkStart w:id="837" w:name="_Toc536626885"/>
      <w:bookmarkStart w:id="838" w:name="_Toc536626886"/>
      <w:bookmarkStart w:id="839" w:name="_Toc536626887"/>
      <w:bookmarkStart w:id="840" w:name="_Toc536626888"/>
      <w:bookmarkStart w:id="841" w:name="_Toc536626889"/>
      <w:bookmarkStart w:id="842" w:name="_Toc536626890"/>
      <w:bookmarkStart w:id="843" w:name="_Toc536626891"/>
      <w:bookmarkStart w:id="844" w:name="_Toc536626892"/>
      <w:bookmarkStart w:id="845" w:name="_Toc536626893"/>
      <w:bookmarkStart w:id="846" w:name="_Toc536626894"/>
      <w:bookmarkStart w:id="847" w:name="_Toc536626895"/>
      <w:bookmarkStart w:id="848" w:name="_Toc536626896"/>
      <w:bookmarkStart w:id="849" w:name="_Toc536626897"/>
      <w:bookmarkStart w:id="850" w:name="_Toc536626898"/>
      <w:bookmarkStart w:id="851" w:name="_Toc536626899"/>
      <w:bookmarkStart w:id="852" w:name="_Toc536626900"/>
      <w:bookmarkStart w:id="853" w:name="_Toc536626901"/>
      <w:bookmarkStart w:id="854" w:name="_Toc536626902"/>
      <w:bookmarkStart w:id="855" w:name="_Toc536626903"/>
      <w:bookmarkStart w:id="856" w:name="_Toc536626904"/>
      <w:bookmarkStart w:id="857" w:name="_Toc536626905"/>
      <w:bookmarkStart w:id="858" w:name="_Toc536626906"/>
      <w:bookmarkStart w:id="859" w:name="_Toc536626907"/>
      <w:bookmarkStart w:id="860" w:name="_Toc536626908"/>
      <w:bookmarkStart w:id="861" w:name="_Toc536626909"/>
      <w:bookmarkStart w:id="862" w:name="_Toc536626910"/>
      <w:bookmarkStart w:id="863" w:name="_Toc536626911"/>
      <w:bookmarkStart w:id="864" w:name="_Toc536626912"/>
      <w:bookmarkStart w:id="865" w:name="_Toc536626913"/>
      <w:bookmarkStart w:id="866" w:name="_Toc536626914"/>
      <w:bookmarkStart w:id="867" w:name="_Toc536626915"/>
      <w:bookmarkStart w:id="868" w:name="_Toc536626916"/>
      <w:bookmarkStart w:id="869" w:name="_Toc536626917"/>
      <w:bookmarkStart w:id="870" w:name="_Toc536626918"/>
      <w:bookmarkStart w:id="871" w:name="_Toc536626919"/>
      <w:bookmarkStart w:id="872" w:name="_Toc536626920"/>
      <w:bookmarkStart w:id="873" w:name="_Toc536626921"/>
      <w:bookmarkStart w:id="874" w:name="_Toc536626922"/>
      <w:bookmarkStart w:id="875" w:name="_Toc536626923"/>
      <w:bookmarkStart w:id="876" w:name="_Toc536626924"/>
      <w:bookmarkStart w:id="877" w:name="_Toc536626925"/>
      <w:bookmarkStart w:id="878" w:name="_Toc536626926"/>
      <w:bookmarkStart w:id="879" w:name="_Toc536626927"/>
      <w:bookmarkStart w:id="880" w:name="_Toc536626928"/>
      <w:bookmarkStart w:id="881" w:name="_Toc536626929"/>
      <w:bookmarkStart w:id="882" w:name="_Toc536626930"/>
      <w:bookmarkStart w:id="883" w:name="_Toc536626931"/>
      <w:bookmarkStart w:id="884" w:name="_Toc536626932"/>
      <w:bookmarkStart w:id="885" w:name="_Toc536626933"/>
      <w:bookmarkStart w:id="886" w:name="_Toc536626934"/>
      <w:bookmarkStart w:id="887" w:name="_Toc536626935"/>
      <w:bookmarkStart w:id="888" w:name="_Toc536626936"/>
      <w:bookmarkStart w:id="889" w:name="_Toc536626937"/>
      <w:bookmarkStart w:id="890" w:name="_Toc536626938"/>
      <w:bookmarkStart w:id="891" w:name="_Toc536626939"/>
      <w:bookmarkStart w:id="892" w:name="_Toc536626940"/>
      <w:bookmarkStart w:id="893" w:name="_Toc536626941"/>
      <w:bookmarkStart w:id="894" w:name="_Toc536626942"/>
      <w:bookmarkStart w:id="895" w:name="_Toc536626943"/>
      <w:bookmarkStart w:id="896" w:name="_Toc536626944"/>
      <w:bookmarkStart w:id="897" w:name="_Toc536626945"/>
      <w:bookmarkStart w:id="898" w:name="_Toc536626946"/>
      <w:bookmarkStart w:id="899" w:name="_Toc536626947"/>
      <w:bookmarkStart w:id="900" w:name="_Toc536626948"/>
      <w:bookmarkStart w:id="901" w:name="_Toc536626949"/>
      <w:bookmarkStart w:id="902" w:name="_Toc536626950"/>
      <w:bookmarkStart w:id="903" w:name="_Toc536626951"/>
      <w:bookmarkStart w:id="904" w:name="_Toc536626952"/>
      <w:bookmarkStart w:id="905" w:name="_Toc536626953"/>
      <w:bookmarkStart w:id="906" w:name="_Toc536626954"/>
      <w:bookmarkStart w:id="907" w:name="_Toc536626955"/>
      <w:bookmarkStart w:id="908" w:name="_Toc536626956"/>
      <w:bookmarkStart w:id="909" w:name="_Toc536626957"/>
      <w:bookmarkStart w:id="910" w:name="_Toc536626958"/>
      <w:bookmarkStart w:id="911" w:name="_Toc536626959"/>
      <w:bookmarkStart w:id="912" w:name="_Toc536626960"/>
      <w:bookmarkStart w:id="913" w:name="_Toc536626961"/>
      <w:bookmarkStart w:id="914" w:name="_Toc536626962"/>
      <w:bookmarkStart w:id="915" w:name="_Toc536626963"/>
      <w:bookmarkStart w:id="916" w:name="_Toc536626964"/>
      <w:bookmarkStart w:id="917" w:name="_Toc536626965"/>
      <w:bookmarkStart w:id="918" w:name="_Toc536626966"/>
      <w:bookmarkStart w:id="919" w:name="_Toc536626967"/>
      <w:bookmarkStart w:id="920" w:name="_Toc536626968"/>
      <w:bookmarkStart w:id="921" w:name="_Toc536626969"/>
      <w:bookmarkStart w:id="922" w:name="_Toc536626970"/>
      <w:bookmarkStart w:id="923" w:name="_Toc536626971"/>
      <w:bookmarkStart w:id="924" w:name="_Toc536626984"/>
      <w:bookmarkStart w:id="925" w:name="_Toc536626985"/>
      <w:bookmarkStart w:id="926" w:name="_Toc536626986"/>
      <w:bookmarkStart w:id="927" w:name="_Toc536626987"/>
      <w:bookmarkStart w:id="928" w:name="_Toc536626988"/>
      <w:bookmarkStart w:id="929" w:name="_Toc536626989"/>
      <w:bookmarkStart w:id="930" w:name="_Toc536626990"/>
      <w:bookmarkStart w:id="931" w:name="_Toc536626991"/>
      <w:bookmarkStart w:id="932" w:name="_Toc536626992"/>
      <w:bookmarkStart w:id="933" w:name="_Toc536626993"/>
      <w:bookmarkStart w:id="934" w:name="_Toc536626994"/>
      <w:bookmarkStart w:id="935" w:name="_Toc536626995"/>
      <w:bookmarkStart w:id="936" w:name="_Toc536626996"/>
      <w:bookmarkStart w:id="937" w:name="_Toc536626997"/>
      <w:bookmarkStart w:id="938" w:name="_Toc536626998"/>
      <w:bookmarkStart w:id="939" w:name="_Toc536626999"/>
      <w:bookmarkStart w:id="940" w:name="_Toc536627000"/>
      <w:bookmarkStart w:id="941" w:name="_Toc536627001"/>
      <w:bookmarkStart w:id="942" w:name="_Toc536627002"/>
      <w:bookmarkStart w:id="943" w:name="_Toc536627003"/>
      <w:bookmarkStart w:id="944" w:name="_Toc536627004"/>
      <w:bookmarkStart w:id="945" w:name="_Toc536627005"/>
      <w:bookmarkStart w:id="946" w:name="_Toc536627006"/>
      <w:bookmarkStart w:id="947" w:name="_Toc536627007"/>
      <w:bookmarkStart w:id="948" w:name="_Toc536627008"/>
      <w:bookmarkStart w:id="949" w:name="_Toc536627009"/>
      <w:bookmarkStart w:id="950" w:name="_Toc536627010"/>
      <w:bookmarkStart w:id="951" w:name="_Toc536627011"/>
      <w:bookmarkStart w:id="952" w:name="_Toc536627012"/>
      <w:bookmarkStart w:id="953" w:name="_Toc536627013"/>
      <w:bookmarkStart w:id="954" w:name="_Toc536627014"/>
      <w:bookmarkStart w:id="955" w:name="_Toc536627015"/>
      <w:bookmarkStart w:id="956" w:name="_Toc536627016"/>
      <w:bookmarkStart w:id="957" w:name="_Toc536627017"/>
      <w:bookmarkStart w:id="958" w:name="_Toc536627018"/>
      <w:bookmarkStart w:id="959" w:name="_Toc536627019"/>
      <w:bookmarkStart w:id="960" w:name="_Toc536627020"/>
      <w:bookmarkStart w:id="961" w:name="_Toc536627021"/>
      <w:bookmarkStart w:id="962" w:name="_Toc536627022"/>
      <w:bookmarkStart w:id="963" w:name="_Toc536627023"/>
      <w:bookmarkStart w:id="964" w:name="_Toc536627024"/>
      <w:bookmarkStart w:id="965" w:name="_Toc536627025"/>
      <w:bookmarkStart w:id="966" w:name="_Toc536627026"/>
      <w:bookmarkStart w:id="967" w:name="_Toc536627027"/>
      <w:bookmarkStart w:id="968" w:name="_Toc536627028"/>
      <w:bookmarkStart w:id="969" w:name="_Toc35796354"/>
      <w:bookmarkStart w:id="970" w:name="_Toc79657956"/>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r w:rsidRPr="009C3EAD">
        <w:rPr>
          <w:color w:val="000000" w:themeColor="text1"/>
        </w:rPr>
        <w:t>Biomass NUG and Energy from Waste (EFW) Contracts</w:t>
      </w:r>
      <w:bookmarkEnd w:id="969"/>
      <w:bookmarkEnd w:id="970"/>
    </w:p>
    <w:p w14:paraId="71BB2EA6" w14:textId="77777777" w:rsidR="00BB68D1" w:rsidRPr="009C3EAD" w:rsidRDefault="00BB68D1" w:rsidP="00BB68D1">
      <w:pPr>
        <w:pStyle w:val="BodyText"/>
      </w:pPr>
      <w:r w:rsidRPr="009C3EAD">
        <w:t xml:space="preserve">The </w:t>
      </w:r>
      <w:r w:rsidR="00065AD1">
        <w:t xml:space="preserve">IESO </w:t>
      </w:r>
      <w:r w:rsidRPr="009C3EAD">
        <w:t>has entered into individual procurement contracts for renewable generation supplied by Biomass Non-Utility Generation (NUG) and Energy from Waste (EFW) suppliers.</w:t>
      </w:r>
    </w:p>
    <w:p w14:paraId="34F98606" w14:textId="77777777" w:rsidR="00BB68D1" w:rsidRDefault="00BB68D1" w:rsidP="00BB68D1">
      <w:pPr>
        <w:pStyle w:val="BodyText"/>
      </w:pPr>
      <w:r w:rsidRPr="009C3EAD">
        <w:t xml:space="preserve">These contracts are not part of any pre-existing </w:t>
      </w:r>
      <w:r w:rsidR="00065AD1">
        <w:t xml:space="preserve">IESO </w:t>
      </w:r>
      <w:r w:rsidRPr="009C3EAD">
        <w:t xml:space="preserve">programs.  Each contract will be settled directly by the respective Local Distribution Company (LDC).  The LDC will submit the difference between the contracted price and the wholesale market price to the </w:t>
      </w:r>
      <w:r w:rsidRPr="009C3EAD">
        <w:rPr>
          <w:i/>
        </w:rPr>
        <w:t>IESO</w:t>
      </w:r>
      <w:r w:rsidRPr="009C3EAD">
        <w:t xml:space="preserve"> on a monthly basis.  The information will be processed as a manual line item for the last </w:t>
      </w:r>
      <w:r w:rsidRPr="009C3EAD">
        <w:rPr>
          <w:i/>
        </w:rPr>
        <w:t>trading day</w:t>
      </w:r>
      <w:r w:rsidRPr="009C3EAD">
        <w:t xml:space="preserve"> of the month.</w:t>
      </w:r>
    </w:p>
    <w:p w14:paraId="6397676C" w14:textId="77777777" w:rsidR="00BB68D1" w:rsidRDefault="00BB68D1" w:rsidP="00BB68D1">
      <w:pPr>
        <w:pStyle w:val="BodyText"/>
      </w:pPr>
      <w:r>
        <w:t xml:space="preserve">Biomass NUG claims will be represented under </w:t>
      </w:r>
      <w:r>
        <w:rPr>
          <w:i/>
        </w:rPr>
        <w:t xml:space="preserve">charge type </w:t>
      </w:r>
      <w:r>
        <w:t xml:space="preserve">1418 “Biomass Non-Utility Generation Contracts Settlement Amount” with the corresponding balancing </w:t>
      </w:r>
      <w:r>
        <w:rPr>
          <w:i/>
        </w:rPr>
        <w:t xml:space="preserve">charge type </w:t>
      </w:r>
      <w:r>
        <w:t>1468 “Biomass Non-Utility Generation Contracts Balancing Amount”.</w:t>
      </w:r>
    </w:p>
    <w:p w14:paraId="426792DE" w14:textId="77777777" w:rsidR="00BB68D1" w:rsidRDefault="00BB68D1" w:rsidP="00BB68D1">
      <w:pPr>
        <w:pStyle w:val="BodyText"/>
      </w:pPr>
      <w:r>
        <w:t xml:space="preserve">Energy from Waste claims will be represented under </w:t>
      </w:r>
      <w:r>
        <w:rPr>
          <w:i/>
        </w:rPr>
        <w:t xml:space="preserve">charge type </w:t>
      </w:r>
      <w:r>
        <w:t xml:space="preserve">1419 “Energy from Waste (EFW) Contracts Settlement Amount” with the corresponding balancing </w:t>
      </w:r>
      <w:r>
        <w:rPr>
          <w:i/>
        </w:rPr>
        <w:t xml:space="preserve">charge type </w:t>
      </w:r>
      <w:r>
        <w:t>1469 “Energy from Waste (EFW) Contracts Balancing Amount”.</w:t>
      </w:r>
    </w:p>
    <w:p w14:paraId="1A7A396D" w14:textId="77777777" w:rsidR="00BB68D1" w:rsidRDefault="00BB68D1" w:rsidP="00BB68D1">
      <w:pPr>
        <w:pStyle w:val="BodyText"/>
      </w:pPr>
      <w:r>
        <w:t>The contract payments will be recovered through the global adjustment.</w:t>
      </w:r>
    </w:p>
    <w:p w14:paraId="5DF9B7DA" w14:textId="77777777" w:rsidR="00BB68D1" w:rsidRDefault="00BB68D1" w:rsidP="00BB68D1">
      <w:pPr>
        <w:pStyle w:val="BodyText"/>
      </w:pPr>
      <w:r>
        <w:t>For more information on these contracts, refer to the following links:</w:t>
      </w:r>
    </w:p>
    <w:p w14:paraId="500F1B4F" w14:textId="77777777" w:rsidR="00BB68D1" w:rsidRDefault="00BB68D1" w:rsidP="008D44B8">
      <w:pPr>
        <w:pStyle w:val="BodyText"/>
        <w:spacing w:after="0"/>
      </w:pPr>
      <w:r>
        <w:t>Biomass Non-Utility Generation Contracts:</w:t>
      </w:r>
    </w:p>
    <w:p w14:paraId="6E977BDD" w14:textId="77777777" w:rsidR="00BB68D1" w:rsidRDefault="00BB68D1" w:rsidP="008D44B8">
      <w:pPr>
        <w:pStyle w:val="BodyText"/>
        <w:spacing w:before="0"/>
      </w:pPr>
      <w:r w:rsidRPr="00235A6A">
        <w:t>http://www.powerauthority.on.ca/about-us/directives-opa-minister-energy-and-infrastructure</w:t>
      </w:r>
    </w:p>
    <w:p w14:paraId="4477C924" w14:textId="77777777" w:rsidR="00BB68D1" w:rsidRDefault="00BB68D1" w:rsidP="008D44B8">
      <w:pPr>
        <w:pStyle w:val="BodyText"/>
        <w:spacing w:before="160" w:after="0"/>
      </w:pPr>
      <w:r>
        <w:t>Energy from Waste Generation:</w:t>
      </w:r>
    </w:p>
    <w:p w14:paraId="426C4DA8" w14:textId="77777777" w:rsidR="00BB68D1" w:rsidRDefault="00BB68D1" w:rsidP="008D44B8">
      <w:pPr>
        <w:pStyle w:val="BodyText"/>
        <w:spacing w:before="0" w:after="0"/>
      </w:pPr>
      <w:r w:rsidRPr="00235A6A">
        <w:t>http://www.powerauthority.on.ca/current-electricity-contracts/efw</w:t>
      </w:r>
    </w:p>
    <w:p w14:paraId="4FEC0F3B" w14:textId="77777777" w:rsidR="0013093C" w:rsidRPr="00E03221" w:rsidRDefault="008D44B8" w:rsidP="008D44B8">
      <w:pPr>
        <w:pStyle w:val="BodyText"/>
        <w:spacing w:before="0"/>
        <w:rPr>
          <w:rStyle w:val="Hyperlink"/>
          <w:color w:val="auto"/>
        </w:rPr>
      </w:pPr>
      <w:r w:rsidRPr="00235A6A">
        <w:t>http://www.powerauthority.on.ca/sites/default/files/page/8662_dec_19_08.pdf</w:t>
      </w:r>
      <w:r w:rsidR="0013093C">
        <w:rPr>
          <w:rStyle w:val="Hyperlink"/>
        </w:rPr>
        <w:t xml:space="preserve"> </w:t>
      </w:r>
    </w:p>
    <w:p w14:paraId="2E11252C" w14:textId="283D19A2" w:rsidR="00D751AA" w:rsidRDefault="00D751AA" w:rsidP="00D751AA">
      <w:pPr>
        <w:pStyle w:val="Heading3"/>
      </w:pPr>
      <w:bookmarkStart w:id="971" w:name="_Toc35796355"/>
      <w:bookmarkStart w:id="972" w:name="_Toc79657957"/>
      <w:r>
        <w:t>Capacity Obligations</w:t>
      </w:r>
      <w:bookmarkEnd w:id="971"/>
      <w:bookmarkEnd w:id="972"/>
    </w:p>
    <w:p w14:paraId="4EECFE86" w14:textId="28C58B97" w:rsidR="00CD1FDE" w:rsidRPr="00A71E1E" w:rsidRDefault="4E46A018" w:rsidP="00CD1FDE">
      <w:r>
        <w:t xml:space="preserve">The </w:t>
      </w:r>
      <w:r w:rsidRPr="61AFAC0F">
        <w:rPr>
          <w:i/>
          <w:iCs/>
        </w:rPr>
        <w:t>settlement</w:t>
      </w:r>
      <w:r>
        <w:t xml:space="preserve"> of </w:t>
      </w:r>
      <w:r w:rsidRPr="61AFAC0F">
        <w:rPr>
          <w:i/>
          <w:iCs/>
        </w:rPr>
        <w:t xml:space="preserve">capacity obligations </w:t>
      </w:r>
      <w:r>
        <w:t xml:space="preserve">and non-performance charges in this section apply only to </w:t>
      </w:r>
      <w:r w:rsidRPr="61AFAC0F">
        <w:rPr>
          <w:i/>
          <w:iCs/>
        </w:rPr>
        <w:t xml:space="preserve">capacity market participants </w:t>
      </w:r>
      <w:ins w:id="973" w:author="Author">
        <w:r w:rsidR="54EE2A71" w:rsidRPr="61AFAC0F">
          <w:rPr>
            <w:i/>
            <w:iCs/>
          </w:rPr>
          <w:t>(CMPs)</w:t>
        </w:r>
        <w:r w:rsidR="54EE2A71">
          <w:t xml:space="preserve"> </w:t>
        </w:r>
      </w:ins>
      <w:r>
        <w:t xml:space="preserve">with </w:t>
      </w:r>
      <w:r w:rsidRPr="61AFAC0F">
        <w:rPr>
          <w:i/>
          <w:iCs/>
        </w:rPr>
        <w:t>capacity obligations</w:t>
      </w:r>
      <w:r w:rsidR="36A26B09" w:rsidRPr="61AFAC0F">
        <w:rPr>
          <w:i/>
          <w:iCs/>
        </w:rPr>
        <w:t xml:space="preserve"> </w:t>
      </w:r>
      <w:r>
        <w:t xml:space="preserve">acquired through a </w:t>
      </w:r>
      <w:r w:rsidRPr="61AFAC0F">
        <w:rPr>
          <w:i/>
          <w:iCs/>
        </w:rPr>
        <w:t>capacity auction, or</w:t>
      </w:r>
      <w:r>
        <w:t xml:space="preserve"> via a full or partial </w:t>
      </w:r>
      <w:r w:rsidRPr="61AFAC0F">
        <w:rPr>
          <w:i/>
          <w:iCs/>
        </w:rPr>
        <w:t>capacity obligation</w:t>
      </w:r>
      <w:r>
        <w:t xml:space="preserve"> transfer.  For more information about the </w:t>
      </w:r>
      <w:r w:rsidRPr="61AFAC0F">
        <w:rPr>
          <w:i/>
          <w:iCs/>
        </w:rPr>
        <w:t>capacity auction</w:t>
      </w:r>
      <w:del w:id="974" w:author="Author">
        <w:r w:rsidR="00CD1FDE" w:rsidRPr="00A71E1E">
          <w:rPr>
            <w:i/>
          </w:rPr>
          <w:delText>s</w:delText>
        </w:r>
      </w:del>
      <w:r>
        <w:t>, please refer to Market Rules Chapter 7 and Market Manual, Part 12: Capacity Auctions.</w:t>
      </w:r>
    </w:p>
    <w:p w14:paraId="74ED3198" w14:textId="77777777" w:rsidR="00CD1FDE" w:rsidRPr="00A71E1E" w:rsidRDefault="00CD1FDE" w:rsidP="00133618">
      <w:pPr>
        <w:pStyle w:val="Heading4"/>
      </w:pPr>
      <w:r w:rsidRPr="00A71E1E">
        <w:t>Settlement Timelines</w:t>
      </w:r>
    </w:p>
    <w:p w14:paraId="4A948908" w14:textId="2A77B060" w:rsidR="00CD1FDE" w:rsidRPr="00A410AE" w:rsidRDefault="00CD1FDE" w:rsidP="61AFAC0F">
      <w:pPr>
        <w:spacing w:before="120"/>
        <w:rPr>
          <w:i/>
          <w:iCs/>
        </w:rPr>
      </w:pPr>
      <w:del w:id="975" w:author="Author">
        <w:r w:rsidRPr="00A71E1E">
          <w:rPr>
            <w:i/>
          </w:rPr>
          <w:delText>Capacity market participants (</w:delText>
        </w:r>
      </w:del>
      <w:r w:rsidR="4E46A018" w:rsidRPr="61AFAC0F">
        <w:rPr>
          <w:i/>
          <w:iCs/>
        </w:rPr>
        <w:t>CMPs</w:t>
      </w:r>
      <w:del w:id="976" w:author="Author">
        <w:r w:rsidRPr="00A71E1E">
          <w:rPr>
            <w:i/>
          </w:rPr>
          <w:delText>)</w:delText>
        </w:r>
      </w:del>
      <w:r w:rsidR="4E46A018">
        <w:t xml:space="preserve"> with </w:t>
      </w:r>
      <w:r w:rsidR="4E46A018" w:rsidRPr="61AFAC0F">
        <w:rPr>
          <w:i/>
          <w:iCs/>
        </w:rPr>
        <w:t>capacity obligations</w:t>
      </w:r>
      <w:r w:rsidR="4E46A018">
        <w:t xml:space="preserve"> will be settled for payments and non-performance charges using the </w:t>
      </w:r>
      <w:r w:rsidR="4E46A018" w:rsidRPr="61AFAC0F">
        <w:rPr>
          <w:i/>
          <w:iCs/>
        </w:rPr>
        <w:t>physical markets</w:t>
      </w:r>
      <w:r w:rsidR="4E46A018">
        <w:t xml:space="preserve"> </w:t>
      </w:r>
      <w:r w:rsidR="4E46A018" w:rsidRPr="61AFAC0F">
        <w:rPr>
          <w:i/>
          <w:iCs/>
        </w:rPr>
        <w:t>settlement process</w:t>
      </w:r>
      <w:r w:rsidR="4E46A018">
        <w:t xml:space="preserve">.  All </w:t>
      </w:r>
      <w:r w:rsidR="4E46A018" w:rsidRPr="61AFAC0F">
        <w:rPr>
          <w:i/>
          <w:iCs/>
        </w:rPr>
        <w:t>settlement</w:t>
      </w:r>
      <w:r w:rsidR="4E46A018">
        <w:t xml:space="preserve"> charges described in section 1.6.26 for a commitment month (i.e. a month within the </w:t>
      </w:r>
      <w:r w:rsidR="4E46A018" w:rsidRPr="61AFAC0F">
        <w:rPr>
          <w:i/>
          <w:iCs/>
        </w:rPr>
        <w:t>obligation period</w:t>
      </w:r>
      <w:r w:rsidR="4E46A018">
        <w:t xml:space="preserve">) will appear on the month-end </w:t>
      </w:r>
      <w:r w:rsidR="4E46A018" w:rsidRPr="61AFAC0F">
        <w:rPr>
          <w:i/>
          <w:iCs/>
        </w:rPr>
        <w:t>preliminary settlement statement</w:t>
      </w:r>
      <w:r w:rsidR="4E46A018">
        <w:t xml:space="preserve"> following such commitment month, resulting in a one-month lag.  For example, the </w:t>
      </w:r>
      <w:r w:rsidR="4E46A018" w:rsidRPr="61AFAC0F">
        <w:rPr>
          <w:i/>
          <w:iCs/>
        </w:rPr>
        <w:t>settlement</w:t>
      </w:r>
      <w:r w:rsidR="4E46A018">
        <w:t xml:space="preserve"> for the month of May would be settled on the June 30</w:t>
      </w:r>
      <w:r w:rsidR="4E46A018" w:rsidRPr="61AFAC0F">
        <w:rPr>
          <w:vertAlign w:val="superscript"/>
        </w:rPr>
        <w:t>th</w:t>
      </w:r>
      <w:r w:rsidR="4E46A018">
        <w:t xml:space="preserve"> </w:t>
      </w:r>
      <w:r w:rsidR="4E46A018" w:rsidRPr="61AFAC0F">
        <w:rPr>
          <w:i/>
          <w:iCs/>
        </w:rPr>
        <w:t>preliminary settlement statement</w:t>
      </w:r>
      <w:r w:rsidR="4E46A018">
        <w:t xml:space="preserve">.  The one-month lag is necessary in order to allow </w:t>
      </w:r>
      <w:del w:id="977" w:author="Author">
        <w:r w:rsidRPr="00A71E1E">
          <w:delText>-</w:delText>
        </w:r>
        <w:r w:rsidRPr="00A71E1E">
          <w:rPr>
            <w:i/>
          </w:rPr>
          <w:delText>capacity market participants</w:delText>
        </w:r>
      </w:del>
      <w:ins w:id="978" w:author="Author">
        <w:r w:rsidR="570074F5" w:rsidRPr="61AFAC0F">
          <w:rPr>
            <w:i/>
            <w:iCs/>
          </w:rPr>
          <w:t>CMP</w:t>
        </w:r>
        <w:r w:rsidR="4E46A018" w:rsidRPr="61AFAC0F">
          <w:rPr>
            <w:i/>
            <w:iCs/>
          </w:rPr>
          <w:t>s</w:t>
        </w:r>
      </w:ins>
      <w:r w:rsidR="4E46A018">
        <w:t xml:space="preserve">, who are required to submit measurement data (see section 1.6.26.3.3 Administration Charges), sufficient time to provide their data for </w:t>
      </w:r>
      <w:r w:rsidR="4E46A018" w:rsidRPr="61AFAC0F">
        <w:rPr>
          <w:i/>
          <w:iCs/>
        </w:rPr>
        <w:t>settlement</w:t>
      </w:r>
      <w:r w:rsidR="4E46A018">
        <w:t xml:space="preserve"> purposes.  </w:t>
      </w:r>
    </w:p>
    <w:p w14:paraId="74D8D228" w14:textId="752FFE0A" w:rsidR="00CD1FDE" w:rsidRDefault="00CD1FDE" w:rsidP="00CD1FDE">
      <w:r w:rsidRPr="00A71E1E">
        <w:t>Any charges related to a buy-out process</w:t>
      </w:r>
      <w:r>
        <w:t xml:space="preserve"> </w:t>
      </w:r>
      <w:r w:rsidRPr="00A71E1E">
        <w:t xml:space="preserve">will be settled using the </w:t>
      </w:r>
      <w:r w:rsidRPr="00A71E1E">
        <w:rPr>
          <w:i/>
        </w:rPr>
        <w:t>physical markets</w:t>
      </w:r>
      <w:r w:rsidRPr="00A71E1E">
        <w:t xml:space="preserve"> </w:t>
      </w:r>
      <w:r w:rsidRPr="00A71E1E">
        <w:rPr>
          <w:i/>
        </w:rPr>
        <w:t>settlement process</w:t>
      </w:r>
      <w:r w:rsidRPr="00A71E1E">
        <w:t xml:space="preserve"> and will be settled on the next available month-end </w:t>
      </w:r>
      <w:r w:rsidRPr="00A71E1E">
        <w:rPr>
          <w:i/>
        </w:rPr>
        <w:t>preliminary settlement statement</w:t>
      </w:r>
      <w:r w:rsidRPr="00A71E1E">
        <w:t>.</w:t>
      </w:r>
      <w:r>
        <w:t xml:space="preserve"> </w:t>
      </w:r>
    </w:p>
    <w:p w14:paraId="3D034CC8" w14:textId="77777777" w:rsidR="00CD1FDE" w:rsidRPr="00A71E1E" w:rsidRDefault="00CD1FDE" w:rsidP="00133618">
      <w:pPr>
        <w:pStyle w:val="Heading4"/>
      </w:pPr>
      <w:r w:rsidRPr="00A71E1E">
        <w:t>Availability Payments</w:t>
      </w:r>
    </w:p>
    <w:p w14:paraId="42A55F0F" w14:textId="7FC5095A" w:rsidR="00CD1FDE" w:rsidRPr="00A71E1E" w:rsidRDefault="4E46A018" w:rsidP="61AFAC0F">
      <w:pPr>
        <w:spacing w:before="120"/>
        <w:rPr>
          <w:rFonts w:eastAsiaTheme="minorEastAsia"/>
        </w:rPr>
      </w:pPr>
      <w:r w:rsidRPr="61AFAC0F">
        <w:rPr>
          <w:i/>
          <w:iCs/>
        </w:rPr>
        <w:t>CMP</w:t>
      </w:r>
      <w:r>
        <w:t xml:space="preserve">s </w:t>
      </w:r>
      <w:r w:rsidR="00B26415">
        <w:t xml:space="preserve">with </w:t>
      </w:r>
      <w:r w:rsidR="00B26415" w:rsidRPr="00B26415">
        <w:rPr>
          <w:i/>
        </w:rPr>
        <w:t>capacity obligation</w:t>
      </w:r>
      <w:del w:id="979" w:author="Author">
        <w:r w:rsidR="00CD1FDE" w:rsidRPr="00A71E1E">
          <w:rPr>
            <w:i/>
          </w:rPr>
          <w:delText>s</w:delText>
        </w:r>
      </w:del>
      <w:r w:rsidR="00B26415">
        <w:t xml:space="preserve"> </w:t>
      </w:r>
      <w:r>
        <w:t xml:space="preserve">will be paid a </w:t>
      </w:r>
      <w:r w:rsidR="00771211">
        <w:t>monthly</w:t>
      </w:r>
      <w:r>
        <w:t xml:space="preserve"> availability payment </w:t>
      </w:r>
      <w:del w:id="980" w:author="Author">
        <w:r w:rsidR="00CD1FDE" w:rsidRPr="00A71E1E">
          <w:delText>to provide</w:delText>
        </w:r>
      </w:del>
      <w:ins w:id="981" w:author="Author">
        <w:r w:rsidR="7A8C013E" w:rsidRPr="61AFAC0F">
          <w:rPr>
            <w:szCs w:val="22"/>
          </w:rPr>
          <w:t xml:space="preserve">based on their </w:t>
        </w:r>
        <w:r w:rsidR="00EC34DF">
          <w:rPr>
            <w:i/>
            <w:iCs/>
            <w:szCs w:val="22"/>
          </w:rPr>
          <w:t>capacity obligation</w:t>
        </w:r>
        <w:r w:rsidR="7A8C013E">
          <w:t xml:space="preserve"> </w:t>
        </w:r>
        <w:r w:rsidR="6FEFB27A">
          <w:t>for providing</w:t>
        </w:r>
      </w:ins>
      <w:r w:rsidR="6FEFB27A">
        <w:t xml:space="preserve"> </w:t>
      </w:r>
      <w:r w:rsidRPr="61AFAC0F">
        <w:rPr>
          <w:i/>
          <w:iCs/>
        </w:rPr>
        <w:t>auction capacity</w:t>
      </w:r>
      <w:r>
        <w:t xml:space="preserve">.  </w:t>
      </w:r>
      <w:r w:rsidRPr="61AFAC0F">
        <w:rPr>
          <w:rFonts w:eastAsiaTheme="minorEastAsia"/>
        </w:rPr>
        <w:t xml:space="preserve">The IESO uses </w:t>
      </w:r>
      <w:r w:rsidRPr="61AFAC0F">
        <w:rPr>
          <w:rFonts w:eastAsiaTheme="minorEastAsia"/>
          <w:i/>
          <w:iCs/>
        </w:rPr>
        <w:t>charge type</w:t>
      </w:r>
      <w:r w:rsidRPr="61AFAC0F">
        <w:rPr>
          <w:rFonts w:eastAsiaTheme="minorEastAsia"/>
        </w:rPr>
        <w:t xml:space="preserve"> 1314 “Capacity Obligation – Availability Payment” to settle the availability payments to </w:t>
      </w:r>
      <w:r w:rsidRPr="61AFAC0F">
        <w:rPr>
          <w:rFonts w:eastAsiaTheme="minorEastAsia"/>
          <w:i/>
          <w:iCs/>
        </w:rPr>
        <w:t>CMPs</w:t>
      </w:r>
      <w:r w:rsidRPr="61AFAC0F">
        <w:rPr>
          <w:rFonts w:eastAsiaTheme="minorEastAsia"/>
        </w:rPr>
        <w:t xml:space="preserve">. </w:t>
      </w:r>
    </w:p>
    <w:p w14:paraId="4504C977" w14:textId="42F453E5" w:rsidR="00CD1FDE" w:rsidRPr="005E553C" w:rsidRDefault="4E46A018" w:rsidP="00133618">
      <w:pPr>
        <w:pStyle w:val="Heading4"/>
        <w:numPr>
          <w:ilvl w:val="0"/>
          <w:numId w:val="0"/>
        </w:numPr>
        <w:ind w:left="90"/>
      </w:pPr>
      <w:r>
        <w:t>1.6.26.2A</w:t>
      </w:r>
      <w:r>
        <w:tab/>
      </w:r>
      <w:ins w:id="982" w:author="Author">
        <w:r w:rsidR="3F0D8403">
          <w:t xml:space="preserve"> Out of Market </w:t>
        </w:r>
      </w:ins>
      <w:r>
        <w:t xml:space="preserve">Payments for </w:t>
      </w:r>
      <w:ins w:id="983" w:author="Author">
        <w:r w:rsidR="002E4A83">
          <w:t xml:space="preserve">Dispatch </w:t>
        </w:r>
      </w:ins>
      <w:r w:rsidR="3347976D">
        <w:t>T</w:t>
      </w:r>
      <w:r>
        <w:t xml:space="preserve">est </w:t>
      </w:r>
      <w:r w:rsidR="3347976D">
        <w:t>A</w:t>
      </w:r>
      <w:r>
        <w:t>ctivation</w:t>
      </w:r>
      <w:ins w:id="984" w:author="Author">
        <w:r w:rsidR="0C3CA8AE">
          <w:t>s</w:t>
        </w:r>
      </w:ins>
      <w:r>
        <w:t xml:space="preserve"> and </w:t>
      </w:r>
      <w:r w:rsidR="3347976D">
        <w:t>E</w:t>
      </w:r>
      <w:r>
        <w:t xml:space="preserve">mergency </w:t>
      </w:r>
      <w:r w:rsidR="3347976D">
        <w:t>O</w:t>
      </w:r>
      <w:r>
        <w:t xml:space="preserve">perating </w:t>
      </w:r>
      <w:r w:rsidR="3347976D">
        <w:t>S</w:t>
      </w:r>
      <w:r>
        <w:t xml:space="preserve">tate </w:t>
      </w:r>
      <w:r w:rsidR="00260733">
        <w:t>A</w:t>
      </w:r>
      <w:r w:rsidR="00CD1FDE" w:rsidRPr="00B93D53">
        <w:t>ctivation</w:t>
      </w:r>
      <w:r w:rsidR="00851C01">
        <w:t>s</w:t>
      </w:r>
    </w:p>
    <w:p w14:paraId="7B63DC1C" w14:textId="2C906035" w:rsidR="00CD1FDE" w:rsidRDefault="00CD1FDE" w:rsidP="00A410AE">
      <w:pPr>
        <w:pStyle w:val="BodyText"/>
      </w:pPr>
      <w:r w:rsidRPr="006F7E37">
        <w:rPr>
          <w:i/>
        </w:rPr>
        <w:t>Hourly</w:t>
      </w:r>
      <w:r w:rsidRPr="6908EE7F">
        <w:rPr>
          <w:i/>
          <w:iCs/>
        </w:rPr>
        <w:t xml:space="preserve"> demand response</w:t>
      </w:r>
      <w:r>
        <w:t xml:space="preserve"> </w:t>
      </w:r>
      <w:r w:rsidRPr="6908EE7F">
        <w:rPr>
          <w:i/>
          <w:iCs/>
        </w:rPr>
        <w:t>resources</w:t>
      </w:r>
      <w:r>
        <w:t xml:space="preserve"> will be compensated when they are activated out of market to provide </w:t>
      </w:r>
      <w:r w:rsidRPr="6908EE7F">
        <w:rPr>
          <w:i/>
          <w:iCs/>
        </w:rPr>
        <w:t>demand response capacity</w:t>
      </w:r>
      <w:r>
        <w:t xml:space="preserve"> either for a </w:t>
      </w:r>
      <w:ins w:id="985" w:author="Author">
        <w:r w:rsidR="007D7173" w:rsidRPr="6908EE7F">
          <w:rPr>
            <w:i/>
            <w:iCs/>
          </w:rPr>
          <w:t xml:space="preserve">capacity auction dispatch </w:t>
        </w:r>
      </w:ins>
      <w:r w:rsidRPr="6908EE7F">
        <w:rPr>
          <w:i/>
          <w:iCs/>
        </w:rPr>
        <w:t>test</w:t>
      </w:r>
      <w:r>
        <w:t xml:space="preserve"> activation or an activation leading up to or during an </w:t>
      </w:r>
      <w:r w:rsidRPr="6908EE7F">
        <w:rPr>
          <w:i/>
          <w:iCs/>
        </w:rPr>
        <w:t>emergency operating state</w:t>
      </w:r>
      <w:r>
        <w:t xml:space="preserve"> pursuant to Market Rules, Chapter 9, Section 4.7J.5.</w:t>
      </w:r>
    </w:p>
    <w:p w14:paraId="41001250" w14:textId="77777777" w:rsidR="00CD1FDE" w:rsidRDefault="00CD1FDE" w:rsidP="00A410AE">
      <w:pPr>
        <w:pStyle w:val="BodyText"/>
      </w:pPr>
      <w:r>
        <w:t xml:space="preserve">Please refer to the IESO Charge Types and Equations and the section 1.6.26.3.1 </w:t>
      </w:r>
      <w:r w:rsidRPr="006F7E37">
        <w:t xml:space="preserve">below </w:t>
      </w:r>
      <w:r>
        <w:t>for the calculation of these payments</w:t>
      </w:r>
      <w:r w:rsidRPr="006F7E37">
        <w:t>.</w:t>
      </w:r>
    </w:p>
    <w:p w14:paraId="3ACB4F85" w14:textId="4C6E5992" w:rsidR="00CD1FDE" w:rsidRDefault="00CD1FDE" w:rsidP="00CD1FDE">
      <w:pPr>
        <w:pStyle w:val="BodyText"/>
      </w:pPr>
      <w:r>
        <w:t xml:space="preserve">For each hour of the </w:t>
      </w:r>
      <w:ins w:id="986" w:author="Author">
        <w:r w:rsidR="007D7173" w:rsidRPr="6908EE7F">
          <w:rPr>
            <w:i/>
            <w:iCs/>
          </w:rPr>
          <w:t xml:space="preserve">capacity auction dispatch </w:t>
        </w:r>
      </w:ins>
      <w:r w:rsidRPr="6908EE7F">
        <w:rPr>
          <w:i/>
          <w:iCs/>
        </w:rPr>
        <w:t>test</w:t>
      </w:r>
      <w:r>
        <w:t xml:space="preserve"> activation or an activation leading up to or during an </w:t>
      </w:r>
      <w:r w:rsidRPr="6908EE7F">
        <w:rPr>
          <w:i/>
          <w:iCs/>
        </w:rPr>
        <w:t>emergency operating state</w:t>
      </w:r>
      <w:r>
        <w:t xml:space="preserve">, the </w:t>
      </w:r>
      <w:r w:rsidRPr="6908EE7F">
        <w:rPr>
          <w:i/>
          <w:iCs/>
        </w:rPr>
        <w:t>capacity auction resource</w:t>
      </w:r>
      <w:r>
        <w:t xml:space="preserve"> will receive a payment based on the measured </w:t>
      </w:r>
      <w:r w:rsidRPr="6908EE7F">
        <w:rPr>
          <w:i/>
          <w:iCs/>
        </w:rPr>
        <w:t>demand response capacity</w:t>
      </w:r>
      <w:r>
        <w:t xml:space="preserve">. Payments related to </w:t>
      </w:r>
      <w:del w:id="987" w:author="Author">
        <w:r>
          <w:delText>out of market</w:delText>
        </w:r>
      </w:del>
      <w:ins w:id="988" w:author="Author">
        <w:r w:rsidR="3EE56548" w:rsidRPr="00851C01">
          <w:rPr>
            <w:i/>
            <w:iCs/>
          </w:rPr>
          <w:t xml:space="preserve">capacity auction </w:t>
        </w:r>
        <w:r w:rsidR="3F1CA23A" w:rsidRPr="00851C01">
          <w:rPr>
            <w:i/>
            <w:iCs/>
          </w:rPr>
          <w:t>dispatch</w:t>
        </w:r>
      </w:ins>
      <w:r w:rsidR="3F1CA23A" w:rsidRPr="00851C01">
        <w:rPr>
          <w:i/>
          <w:iCs/>
        </w:rPr>
        <w:t xml:space="preserve"> </w:t>
      </w:r>
      <w:r w:rsidRPr="00851C01">
        <w:rPr>
          <w:i/>
          <w:iCs/>
        </w:rPr>
        <w:t>test</w:t>
      </w:r>
      <w:r>
        <w:t xml:space="preserve"> activations will be based on a pre-determined rate and the measured </w:t>
      </w:r>
      <w:r w:rsidRPr="6908EE7F">
        <w:rPr>
          <w:i/>
          <w:iCs/>
        </w:rPr>
        <w:t>demand response capacity</w:t>
      </w:r>
      <w:r>
        <w:t xml:space="preserve">. Payments related to an out of market activation leading up to </w:t>
      </w:r>
      <w:del w:id="989" w:author="Author">
        <w:r>
          <w:delText>and/</w:delText>
        </w:r>
      </w:del>
      <w:r>
        <w:t xml:space="preserve">or during an </w:t>
      </w:r>
      <w:r w:rsidRPr="6908EE7F">
        <w:rPr>
          <w:i/>
          <w:iCs/>
        </w:rPr>
        <w:t>emergency operating state</w:t>
      </w:r>
      <w:r>
        <w:t xml:space="preserve"> will be based on the measured </w:t>
      </w:r>
      <w:r w:rsidRPr="6908EE7F">
        <w:rPr>
          <w:i/>
          <w:iCs/>
        </w:rPr>
        <w:t>demand response capacity</w:t>
      </w:r>
      <w:r>
        <w:t xml:space="preserve"> and the difference between submitted </w:t>
      </w:r>
      <w:r w:rsidRPr="6908EE7F">
        <w:rPr>
          <w:i/>
          <w:iCs/>
        </w:rPr>
        <w:t>real-time</w:t>
      </w:r>
      <w:r>
        <w:t xml:space="preserve"> </w:t>
      </w:r>
      <w:r w:rsidRPr="6908EE7F">
        <w:rPr>
          <w:i/>
          <w:iCs/>
        </w:rPr>
        <w:t>demand response energy bids</w:t>
      </w:r>
      <w:r>
        <w:t xml:space="preserve"> cost and </w:t>
      </w:r>
      <w:r w:rsidRPr="6908EE7F">
        <w:rPr>
          <w:i/>
          <w:iCs/>
        </w:rPr>
        <w:t>Hourly Ontario Energy Price</w:t>
      </w:r>
      <w:r>
        <w:t xml:space="preserve"> as applicable for each hour of the activation.</w:t>
      </w:r>
    </w:p>
    <w:p w14:paraId="09A6BCE5" w14:textId="406F1DBD" w:rsidR="00371709" w:rsidRPr="00371709" w:rsidRDefault="00371709" w:rsidP="00CD1FDE">
      <w:pPr>
        <w:pStyle w:val="BodyText"/>
        <w:rPr>
          <w:i/>
        </w:rPr>
      </w:pPr>
      <w:r>
        <w:t xml:space="preserve">The measured </w:t>
      </w:r>
      <w:r w:rsidRPr="004A1D1A">
        <w:rPr>
          <w:i/>
        </w:rPr>
        <w:t>demand response capacity</w:t>
      </w:r>
      <w:r>
        <w:t xml:space="preserve"> for each hour shall be capped at the lesser of the </w:t>
      </w:r>
      <w:r w:rsidR="004030B6" w:rsidRPr="74EF2A53">
        <w:rPr>
          <w:i/>
          <w:iCs/>
        </w:rPr>
        <w:t>capacity obligation</w:t>
      </w:r>
      <w:del w:id="990" w:author="Author">
        <w:r>
          <w:delText>,</w:delText>
        </w:r>
      </w:del>
      <w:ins w:id="991" w:author="Author">
        <w:r>
          <w:t xml:space="preserve">, </w:t>
        </w:r>
        <w:r w:rsidR="002E4A83">
          <w:t>the</w:t>
        </w:r>
      </w:ins>
      <w:r w:rsidR="002E4A83">
        <w:t xml:space="preserve"> </w:t>
      </w:r>
      <w:r w:rsidRPr="59006941">
        <w:rPr>
          <w:i/>
        </w:rPr>
        <w:t>HDR resource’</w:t>
      </w:r>
      <w:r w:rsidRPr="00927FBC">
        <w:t>s registered</w:t>
      </w:r>
      <w:r w:rsidRPr="00E33485">
        <w:rPr>
          <w:i/>
        </w:rPr>
        <w:t xml:space="preserve"> </w:t>
      </w:r>
      <w:r w:rsidRPr="00525524">
        <w:t>capability</w:t>
      </w:r>
      <w:r>
        <w:t>,</w:t>
      </w:r>
      <w:ins w:id="992" w:author="Author">
        <w:r>
          <w:t xml:space="preserve"> </w:t>
        </w:r>
        <w:r w:rsidR="002E4A83">
          <w:t>the</w:t>
        </w:r>
      </w:ins>
      <w:r w:rsidR="002E4A83">
        <w:t xml:space="preserve"> </w:t>
      </w:r>
      <w:r>
        <w:t xml:space="preserve">maximum quantity of the </w:t>
      </w:r>
      <w:r w:rsidRPr="00F5768A">
        <w:rPr>
          <w:i/>
        </w:rPr>
        <w:t>demand response energy bid</w:t>
      </w:r>
      <w:r>
        <w:rPr>
          <w:i/>
        </w:rPr>
        <w:t xml:space="preserve"> </w:t>
      </w:r>
      <w:r w:rsidRPr="00723D77">
        <w:t>for the resource</w:t>
      </w:r>
      <w:r>
        <w:t xml:space="preserve">, and the quantity of </w:t>
      </w:r>
      <w:r w:rsidRPr="004A1D1A">
        <w:rPr>
          <w:i/>
        </w:rPr>
        <w:t>auction capacity</w:t>
      </w:r>
      <w:r>
        <w:t xml:space="preserve"> that the resource was activated for</w:t>
      </w:r>
      <w:r>
        <w:rPr>
          <w:i/>
        </w:rPr>
        <w:t xml:space="preserve">. </w:t>
      </w:r>
    </w:p>
    <w:p w14:paraId="24B66D98" w14:textId="2C78B8D4" w:rsidR="00CD1FDE" w:rsidRPr="00132E8C" w:rsidRDefault="00CD1FDE" w:rsidP="00CD1FDE">
      <w:pPr>
        <w:pStyle w:val="BodyText"/>
      </w:pPr>
      <w:r w:rsidRPr="00132E8C">
        <w:t xml:space="preserve">For greater clarity, if measurement data for any interval is missing (i.e. measurement data was not submitted to the IESO), the payment for that hour will be </w:t>
      </w:r>
      <w:r>
        <w:t>$</w:t>
      </w:r>
      <w:r w:rsidRPr="00132E8C">
        <w:t>0.</w:t>
      </w:r>
    </w:p>
    <w:p w14:paraId="0597369D" w14:textId="01D4C47D" w:rsidR="00FA6AE8" w:rsidRPr="0015717E" w:rsidRDefault="00CD1FDE" w:rsidP="00A410AE">
      <w:pPr>
        <w:pStyle w:val="BodyText"/>
      </w:pPr>
      <w:r>
        <w:t xml:space="preserve">The IESO uses </w:t>
      </w:r>
      <w:r w:rsidRPr="6908EE7F">
        <w:rPr>
          <w:i/>
          <w:iCs/>
        </w:rPr>
        <w:t>charge type</w:t>
      </w:r>
      <w:r>
        <w:t xml:space="preserve"> 1320 “Capacity Obligation – Out of Market Activation Payment” to compensate </w:t>
      </w:r>
      <w:r w:rsidRPr="6908EE7F">
        <w:rPr>
          <w:i/>
          <w:iCs/>
        </w:rPr>
        <w:t>HDR resources</w:t>
      </w:r>
      <w:r>
        <w:t xml:space="preserve"> when they are activated for a </w:t>
      </w:r>
      <w:ins w:id="993" w:author="Author">
        <w:r w:rsidR="007D7173" w:rsidRPr="6908EE7F">
          <w:rPr>
            <w:i/>
            <w:iCs/>
          </w:rPr>
          <w:t xml:space="preserve">capacity auction dispatch </w:t>
        </w:r>
      </w:ins>
      <w:r w:rsidRPr="6908EE7F">
        <w:rPr>
          <w:i/>
          <w:iCs/>
        </w:rPr>
        <w:t>test</w:t>
      </w:r>
      <w:r>
        <w:t xml:space="preserve"> or </w:t>
      </w:r>
      <w:del w:id="994" w:author="Author">
        <w:r>
          <w:delText>during an</w:delText>
        </w:r>
      </w:del>
      <w:ins w:id="995" w:author="Author">
        <w:r w:rsidR="00E6388D">
          <w:t>event</w:t>
        </w:r>
      </w:ins>
      <w:r w:rsidR="52CCF645">
        <w:t xml:space="preserve"> </w:t>
      </w:r>
      <w:r w:rsidRPr="6908EE7F">
        <w:rPr>
          <w:i/>
          <w:iCs/>
        </w:rPr>
        <w:t>emergency operating state</w:t>
      </w:r>
      <w:ins w:id="996" w:author="Author">
        <w:r w:rsidR="00DE2CF3" w:rsidRPr="6908EE7F">
          <w:rPr>
            <w:i/>
            <w:iCs/>
          </w:rPr>
          <w:t xml:space="preserve"> activation</w:t>
        </w:r>
      </w:ins>
      <w:r>
        <w:t>.</w:t>
      </w:r>
    </w:p>
    <w:p w14:paraId="1516E913" w14:textId="77777777" w:rsidR="00CD1FDE" w:rsidRPr="00A71E1E" w:rsidRDefault="00CD1FDE" w:rsidP="00133618">
      <w:pPr>
        <w:pStyle w:val="Heading4"/>
      </w:pPr>
      <w:r w:rsidRPr="00A71E1E">
        <w:t>Non-Performance Charges</w:t>
      </w:r>
    </w:p>
    <w:p w14:paraId="2AF82EAF" w14:textId="3F7F0490" w:rsidR="00CD1FDE" w:rsidRPr="00A71E1E" w:rsidRDefault="00CD1FDE" w:rsidP="00CD1FDE">
      <w:pPr>
        <w:spacing w:before="120"/>
      </w:pPr>
      <w:r w:rsidRPr="00A71E1E">
        <w:t xml:space="preserve">Non-performance charges apply when </w:t>
      </w:r>
      <w:r w:rsidRPr="59006941">
        <w:rPr>
          <w:i/>
        </w:rPr>
        <w:t>CMP</w:t>
      </w:r>
      <w:r w:rsidRPr="00A71E1E">
        <w:t xml:space="preserve">s with </w:t>
      </w:r>
      <w:r w:rsidRPr="00A71E1E">
        <w:rPr>
          <w:i/>
        </w:rPr>
        <w:t>capacity obligations</w:t>
      </w:r>
      <w:r w:rsidRPr="00A71E1E">
        <w:t xml:space="preserve"> fail to fulfil the </w:t>
      </w:r>
      <w:r w:rsidRPr="00A71E1E">
        <w:rPr>
          <w:i/>
        </w:rPr>
        <w:t>energy market</w:t>
      </w:r>
      <w:r w:rsidRPr="00A71E1E">
        <w:t xml:space="preserve"> participation requirements as described in Section </w:t>
      </w:r>
      <w:r w:rsidR="000B2122" w:rsidRPr="00851C01">
        <w:t>5.3</w:t>
      </w:r>
      <w:r w:rsidRPr="00851C01">
        <w:t xml:space="preserve"> of Market Manual, Part 12:</w:t>
      </w:r>
      <w:r w:rsidRPr="00A71E1E">
        <w:t xml:space="preserve">  Capacity Auctions.  This sub-section 1.6.26.3 outlines how the </w:t>
      </w:r>
      <w:r w:rsidRPr="00A71E1E">
        <w:rPr>
          <w:i/>
        </w:rPr>
        <w:t>IESO</w:t>
      </w:r>
      <w:r w:rsidRPr="00A71E1E">
        <w:t xml:space="preserve"> determines and calculates the following non-performance charges:</w:t>
      </w:r>
    </w:p>
    <w:p w14:paraId="0E23AC92" w14:textId="613726C8" w:rsidR="00CD1FDE" w:rsidRPr="00A71E1E" w:rsidRDefault="4E46A018" w:rsidP="00CD1FDE">
      <w:pPr>
        <w:pStyle w:val="ListParagraph"/>
        <w:numPr>
          <w:ilvl w:val="0"/>
          <w:numId w:val="117"/>
        </w:numPr>
        <w:spacing w:after="200" w:line="276" w:lineRule="auto"/>
      </w:pPr>
      <w:r>
        <w:t>Availability charges (i.e. when availability requirements are not met);</w:t>
      </w:r>
    </w:p>
    <w:p w14:paraId="101C1354" w14:textId="3CE11B08" w:rsidR="6B5CBB75" w:rsidRDefault="1EC7E23C" w:rsidP="2100A187">
      <w:pPr>
        <w:pStyle w:val="ListParagraph"/>
        <w:numPr>
          <w:ilvl w:val="0"/>
          <w:numId w:val="117"/>
        </w:numPr>
        <w:spacing w:after="200" w:line="276" w:lineRule="auto"/>
        <w:rPr>
          <w:ins w:id="997" w:author="Author"/>
          <w:szCs w:val="22"/>
        </w:rPr>
      </w:pPr>
      <w:ins w:id="998" w:author="Author">
        <w:r>
          <w:t xml:space="preserve">Augmented </w:t>
        </w:r>
        <w:r w:rsidR="0CC89B0E">
          <w:t>a</w:t>
        </w:r>
        <w:r w:rsidR="0FE1CD71">
          <w:t>vailability charges (i.e. when availability requirements</w:t>
        </w:r>
        <w:r w:rsidR="5CDF0B79">
          <w:t xml:space="preserve"> are not met to the </w:t>
        </w:r>
        <w:r w:rsidR="5CDF0B79" w:rsidRPr="6908EE7F">
          <w:rPr>
            <w:i/>
            <w:iCs/>
          </w:rPr>
          <w:t>cleared UCAP</w:t>
        </w:r>
        <w:r w:rsidR="1B764C38">
          <w:t xml:space="preserve"> </w:t>
        </w:r>
        <w:r w:rsidR="36185BEE">
          <w:t xml:space="preserve">for </w:t>
        </w:r>
        <w:r w:rsidR="406E3840">
          <w:t xml:space="preserve">a </w:t>
        </w:r>
        <w:r w:rsidR="36185BEE">
          <w:t xml:space="preserve">declaration or </w:t>
        </w:r>
        <w:r w:rsidR="5BAE0C84">
          <w:t xml:space="preserve">a </w:t>
        </w:r>
        <w:r w:rsidR="36185BEE">
          <w:t xml:space="preserve">potential declaration </w:t>
        </w:r>
        <w:r w:rsidR="4A345C64">
          <w:t xml:space="preserve">of </w:t>
        </w:r>
        <w:r w:rsidR="36185BEE" w:rsidRPr="00851C01">
          <w:t>an emergency operating state</w:t>
        </w:r>
        <w:r w:rsidR="36185BEE">
          <w:t xml:space="preserve"> </w:t>
        </w:r>
        <w:r w:rsidR="00FDC008">
          <w:t>or after a</w:t>
        </w:r>
        <w:r w:rsidR="0D52E277">
          <w:t>n HDR</w:t>
        </w:r>
        <w:r w:rsidR="00FDC008">
          <w:t xml:space="preserve"> resource has </w:t>
        </w:r>
        <w:r w:rsidR="1E6E2F97">
          <w:t>received</w:t>
        </w:r>
        <w:r w:rsidR="00FDC008">
          <w:t xml:space="preserve"> a standby </w:t>
        </w:r>
        <w:r w:rsidR="6B5CBB75">
          <w:t>notification</w:t>
        </w:r>
        <w:r w:rsidR="7F71E0E9" w:rsidRPr="6908EE7F">
          <w:rPr>
            <w:i/>
            <w:iCs/>
          </w:rPr>
          <w:t>)</w:t>
        </w:r>
        <w:r w:rsidR="0FE1CD71">
          <w:t>;</w:t>
        </w:r>
      </w:ins>
    </w:p>
    <w:p w14:paraId="09A00AF9" w14:textId="77777777" w:rsidR="00CD1FDE" w:rsidRPr="00A71E1E" w:rsidRDefault="00CD1FDE" w:rsidP="00CD1FDE">
      <w:pPr>
        <w:pStyle w:val="ListParagraph"/>
        <w:numPr>
          <w:ilvl w:val="0"/>
          <w:numId w:val="117"/>
        </w:numPr>
        <w:spacing w:after="200" w:line="276" w:lineRule="auto"/>
      </w:pPr>
      <w:r w:rsidRPr="00A71E1E">
        <w:t>Administration charges (i.e. when measurement data are not submitted by the deadline);</w:t>
      </w:r>
    </w:p>
    <w:p w14:paraId="5BD1B332" w14:textId="7DD9A933" w:rsidR="00CD1FDE" w:rsidRPr="00A71E1E" w:rsidRDefault="4E46A018" w:rsidP="61AFAC0F">
      <w:pPr>
        <w:pStyle w:val="ListParagraph"/>
        <w:numPr>
          <w:ilvl w:val="0"/>
          <w:numId w:val="117"/>
        </w:numPr>
        <w:spacing w:after="200" w:line="276" w:lineRule="auto"/>
      </w:pPr>
      <w:r>
        <w:t xml:space="preserve">Dispatch charges (i.e. when </w:t>
      </w:r>
      <w:r w:rsidRPr="6908EE7F">
        <w:rPr>
          <w:i/>
          <w:iCs/>
        </w:rPr>
        <w:t>dispatch instructions</w:t>
      </w:r>
      <w:r>
        <w:t xml:space="preserve"> were not followed); and</w:t>
      </w:r>
    </w:p>
    <w:p w14:paraId="6075F8D0" w14:textId="5A82A74E" w:rsidR="00A6337C" w:rsidRPr="00A6337C" w:rsidRDefault="4E46A018" w:rsidP="61AFAC0F">
      <w:pPr>
        <w:pStyle w:val="ListParagraph"/>
        <w:numPr>
          <w:ilvl w:val="0"/>
          <w:numId w:val="117"/>
        </w:numPr>
        <w:spacing w:before="240" w:after="200"/>
        <w:rPr>
          <w:ins w:id="999" w:author="Author"/>
          <w:szCs w:val="22"/>
        </w:rPr>
      </w:pPr>
      <w:r>
        <w:t xml:space="preserve">Capacity charges (i.e. when failing to deliver capacity in the </w:t>
      </w:r>
      <w:r w:rsidRPr="61AFAC0F">
        <w:rPr>
          <w:i/>
          <w:iCs/>
        </w:rPr>
        <w:t xml:space="preserve">energy market </w:t>
      </w:r>
      <w:r>
        <w:t xml:space="preserve">during a </w:t>
      </w:r>
      <w:del w:id="1000" w:author="Author">
        <w:r w:rsidR="00CD1FDE" w:rsidRPr="00A71E1E">
          <w:delText>test</w:delText>
        </w:r>
      </w:del>
      <w:ins w:id="1001" w:author="Author">
        <w:r w:rsidR="6B086932" w:rsidRPr="00851C01">
          <w:rPr>
            <w:i/>
            <w:iCs/>
          </w:rPr>
          <w:t xml:space="preserve">capacity auction capacity </w:t>
        </w:r>
        <w:r w:rsidRPr="00851C01">
          <w:rPr>
            <w:i/>
            <w:iCs/>
          </w:rPr>
          <w:t>test</w:t>
        </w:r>
        <w:r>
          <w:t xml:space="preserve"> </w:t>
        </w:r>
        <w:r w:rsidR="1DC4ADC9">
          <w:t xml:space="preserve">- to the </w:t>
        </w:r>
        <w:r w:rsidR="1DC4ADC9" w:rsidRPr="61AFAC0F">
          <w:rPr>
            <w:i/>
            <w:iCs/>
          </w:rPr>
          <w:t>cleared ICAP</w:t>
        </w:r>
        <w:r>
          <w:t>).</w:t>
        </w:r>
      </w:ins>
    </w:p>
    <w:p w14:paraId="78A69270" w14:textId="68A4530E" w:rsidR="00A6337C" w:rsidRPr="00A6337C" w:rsidRDefault="00A6337C" w:rsidP="61AFAC0F">
      <w:pPr>
        <w:pStyle w:val="ListParagraph"/>
        <w:numPr>
          <w:ilvl w:val="0"/>
          <w:numId w:val="117"/>
        </w:numPr>
        <w:spacing w:before="240" w:after="200"/>
        <w:rPr>
          <w:ins w:id="1002" w:author="Author"/>
          <w:szCs w:val="22"/>
        </w:rPr>
      </w:pPr>
      <w:ins w:id="1003" w:author="Author">
        <w:r>
          <w:t>Capacity call failure charge</w:t>
        </w:r>
        <w:r w:rsidR="00BC24DB">
          <w:t xml:space="preserve"> (i.e. when failing to deliver capacity in response to a capacity call)</w:t>
        </w:r>
      </w:ins>
    </w:p>
    <w:p w14:paraId="16D45C9C" w14:textId="061DF269" w:rsidR="00CD1FDE" w:rsidRDefault="00A6337C" w:rsidP="61AFAC0F">
      <w:pPr>
        <w:pStyle w:val="ListParagraph"/>
        <w:numPr>
          <w:ilvl w:val="0"/>
          <w:numId w:val="117"/>
        </w:numPr>
        <w:spacing w:before="240" w:after="200"/>
        <w:rPr>
          <w:ins w:id="1004" w:author="Author"/>
          <w:szCs w:val="22"/>
        </w:rPr>
      </w:pPr>
      <w:ins w:id="1005" w:author="Author">
        <w:r>
          <w:t>Capacity deficiency charge</w:t>
        </w:r>
        <w:r w:rsidR="00BC24DB">
          <w:t xml:space="preserve"> (i.e. when MWs secured under the </w:t>
        </w:r>
        <w:r w:rsidR="00BC24DB">
          <w:rPr>
            <w:i/>
          </w:rPr>
          <w:t>capacity obligation</w:t>
        </w:r>
        <w:r w:rsidR="00BC24DB">
          <w:t xml:space="preserve"> are otherwise committed during the </w:t>
        </w:r>
        <w:r w:rsidR="00BC24DB">
          <w:rPr>
            <w:i/>
          </w:rPr>
          <w:t>obligation period)</w:t>
        </w:r>
      </w:ins>
    </w:p>
    <w:p w14:paraId="0473ED3E" w14:textId="7ACD4999" w:rsidR="00FA6AE8" w:rsidRPr="00B47716" w:rsidRDefault="00FA6AE8" w:rsidP="0041719B">
      <w:pPr>
        <w:spacing w:after="200"/>
        <w:rPr>
          <w:ins w:id="1006" w:author="Author"/>
        </w:rPr>
      </w:pPr>
      <w:ins w:id="1007" w:author="Author">
        <w:r w:rsidRPr="00B47716">
          <w:rPr>
            <w:i/>
          </w:rPr>
          <w:t>CMPs</w:t>
        </w:r>
        <w:r w:rsidRPr="00B47716">
          <w:t xml:space="preserve"> </w:t>
        </w:r>
        <w:r w:rsidR="00B47716" w:rsidRPr="00B47716">
          <w:t xml:space="preserve">with </w:t>
        </w:r>
        <w:r w:rsidR="00B47716" w:rsidRPr="001622B1">
          <w:rPr>
            <w:i/>
          </w:rPr>
          <w:t>capacity obligations</w:t>
        </w:r>
        <w:r w:rsidR="00B47716" w:rsidRPr="00B47716">
          <w:t xml:space="preserve"> </w:t>
        </w:r>
        <w:r w:rsidRPr="00B47716">
          <w:t>are eligible to receive a</w:t>
        </w:r>
        <w:r w:rsidR="007A243C">
          <w:t>n availability</w:t>
        </w:r>
        <w:r w:rsidR="00BD29B5">
          <w:t xml:space="preserve"> charge</w:t>
        </w:r>
        <w:r w:rsidRPr="00B47716">
          <w:t xml:space="preserve"> </w:t>
        </w:r>
        <w:r w:rsidR="00B47716" w:rsidRPr="00B47716">
          <w:t>true-</w:t>
        </w:r>
        <w:r w:rsidRPr="00B47716">
          <w:t xml:space="preserve">up payment </w:t>
        </w:r>
        <w:r w:rsidR="00B47716" w:rsidRPr="00B47716">
          <w:t xml:space="preserve">to compensate for their availability charge </w:t>
        </w:r>
        <w:r w:rsidRPr="00B47716">
          <w:t xml:space="preserve">as detailed in section </w:t>
        </w:r>
        <w:r w:rsidR="00BD29B5">
          <w:fldChar w:fldCharType="begin"/>
        </w:r>
        <w:r w:rsidR="00BD29B5">
          <w:instrText xml:space="preserve"> REF _Ref88163843 \r \h </w:instrText>
        </w:r>
      </w:ins>
      <w:ins w:id="1008" w:author="Author">
        <w:r w:rsidR="00BD29B5">
          <w:fldChar w:fldCharType="separate"/>
        </w:r>
        <w:r w:rsidR="00BD29B5">
          <w:t>1.6.26.3.2A</w:t>
        </w:r>
        <w:r w:rsidR="00BD29B5">
          <w:fldChar w:fldCharType="end"/>
        </w:r>
      </w:ins>
    </w:p>
    <w:p w14:paraId="2E7D1126" w14:textId="5DBD08AE" w:rsidR="005E193C" w:rsidRDefault="005E193C" w:rsidP="4A8005C4">
      <w:pPr>
        <w:rPr>
          <w:ins w:id="1009" w:author="Author"/>
        </w:rPr>
        <w:sectPr w:rsidR="005E193C" w:rsidSect="00F74C0A">
          <w:headerReference w:type="even" r:id="rId45"/>
          <w:headerReference w:type="default" r:id="rId46"/>
          <w:footerReference w:type="even" r:id="rId47"/>
          <w:footerReference w:type="default" r:id="rId48"/>
          <w:pgSz w:w="12240" w:h="15840" w:code="1"/>
          <w:pgMar w:top="1440" w:right="1440" w:bottom="1440" w:left="1800" w:header="720" w:footer="720" w:gutter="0"/>
          <w:pgNumType w:chapSep="enDash"/>
          <w:cols w:space="720"/>
          <w:docGrid w:linePitch="299"/>
        </w:sectPr>
      </w:pPr>
    </w:p>
    <w:p w14:paraId="6BF17F2C" w14:textId="6F8B2C1B" w:rsidR="00CD1FDE" w:rsidRPr="00A71E1E" w:rsidRDefault="00CD1FDE" w:rsidP="00CD1FDE">
      <w:r w:rsidRPr="00A71E1E">
        <w:t xml:space="preserve">Although all non-performance charges are detailed in this sub-section, not all charges apply to all participating resources.  Below is a list of non-performance charges </w:t>
      </w:r>
      <w:r>
        <w:t xml:space="preserve">applicable to </w:t>
      </w:r>
      <w:r w:rsidRPr="00A71E1E">
        <w:t xml:space="preserve">the </w:t>
      </w:r>
      <w:r>
        <w:t xml:space="preserve">resources with a </w:t>
      </w:r>
      <w:r w:rsidRPr="005E74D8">
        <w:rPr>
          <w:i/>
        </w:rPr>
        <w:t>capacity obligation</w:t>
      </w:r>
      <w:r w:rsidRPr="00A71E1E">
        <w:t xml:space="preserve">: </w:t>
      </w:r>
    </w:p>
    <w:p w14:paraId="2AA8A529" w14:textId="3396802E" w:rsidR="00CD1FDE" w:rsidRPr="00A71E1E" w:rsidRDefault="6F5A6A7C" w:rsidP="2100A187">
      <w:pPr>
        <w:pStyle w:val="ListParagraph"/>
        <w:numPr>
          <w:ilvl w:val="0"/>
          <w:numId w:val="119"/>
        </w:numPr>
        <w:spacing w:after="200" w:line="276" w:lineRule="auto"/>
        <w:rPr>
          <w:szCs w:val="22"/>
        </w:rPr>
      </w:pPr>
      <w:r w:rsidRPr="6908EE7F">
        <w:rPr>
          <w:i/>
          <w:iCs/>
        </w:rPr>
        <w:t xml:space="preserve">Capacity dispatchable load resources </w:t>
      </w:r>
      <w:r>
        <w:t>and</w:t>
      </w:r>
      <w:r w:rsidRPr="6908EE7F">
        <w:rPr>
          <w:i/>
          <w:iCs/>
        </w:rPr>
        <w:t xml:space="preserve"> capacity generation resources</w:t>
      </w:r>
      <w:r>
        <w:t xml:space="preserve"> (subject to availability charges</w:t>
      </w:r>
      <w:ins w:id="1010" w:author="Author">
        <w:r w:rsidR="25F4B822">
          <w:t xml:space="preserve">, </w:t>
        </w:r>
        <w:r w:rsidR="47C8FE27">
          <w:t xml:space="preserve">augmented </w:t>
        </w:r>
        <w:r w:rsidR="25F4B822">
          <w:t>availability charges</w:t>
        </w:r>
        <w:r w:rsidR="5D81B341">
          <w:t>,</w:t>
        </w:r>
      </w:ins>
      <w:r w:rsidR="5D81B341">
        <w:t xml:space="preserve"> </w:t>
      </w:r>
      <w:r>
        <w:t xml:space="preserve">and capacity charges); and </w:t>
      </w:r>
    </w:p>
    <w:p w14:paraId="22D4D835" w14:textId="77777777" w:rsidR="00CD1FDE" w:rsidRPr="00A71E1E" w:rsidRDefault="00CD1FDE" w:rsidP="006B5440">
      <w:pPr>
        <w:pStyle w:val="ListParagraph"/>
        <w:numPr>
          <w:ilvl w:val="0"/>
          <w:numId w:val="119"/>
        </w:numPr>
        <w:spacing w:after="200" w:line="276" w:lineRule="auto"/>
      </w:pPr>
      <w:r w:rsidRPr="00A71E1E">
        <w:rPr>
          <w:i/>
        </w:rPr>
        <w:t>Hourly demand response</w:t>
      </w:r>
      <w:r w:rsidRPr="00A71E1E">
        <w:t xml:space="preserve"> (HDR) </w:t>
      </w:r>
      <w:r w:rsidRPr="00A410AE">
        <w:rPr>
          <w:i/>
        </w:rPr>
        <w:t>resources</w:t>
      </w:r>
      <w:r w:rsidRPr="00A71E1E">
        <w:t>:</w:t>
      </w:r>
    </w:p>
    <w:p w14:paraId="5A773993" w14:textId="77777777" w:rsidR="00CD1FDE" w:rsidRPr="00A71E1E" w:rsidRDefault="00CD1FDE" w:rsidP="006B5440">
      <w:pPr>
        <w:pStyle w:val="ListParagraph"/>
        <w:numPr>
          <w:ilvl w:val="1"/>
          <w:numId w:val="119"/>
        </w:numPr>
        <w:spacing w:after="200" w:line="276" w:lineRule="auto"/>
      </w:pPr>
      <w:r w:rsidRPr="00A71E1E">
        <w:t xml:space="preserve">C&amp;I HDR: Consisting of industrial, commercial, institutional (C&amp;I) class and/or non-dispatchable contributor loads (subject to all non-performance charges); and </w:t>
      </w:r>
    </w:p>
    <w:p w14:paraId="2AE8B1D1" w14:textId="3D4FB6A3" w:rsidR="00CD1FDE" w:rsidRDefault="6F5A6A7C" w:rsidP="2100A187">
      <w:pPr>
        <w:pStyle w:val="ListParagraph"/>
        <w:numPr>
          <w:ilvl w:val="1"/>
          <w:numId w:val="119"/>
        </w:numPr>
        <w:spacing w:after="200" w:line="276" w:lineRule="auto"/>
        <w:rPr>
          <w:szCs w:val="22"/>
        </w:rPr>
      </w:pPr>
      <w:r>
        <w:t>Residential HDR: Consisting of residential class contributor loads (subject to availability charges,</w:t>
      </w:r>
      <w:r w:rsidR="61E129CB">
        <w:t xml:space="preserve"> </w:t>
      </w:r>
      <w:ins w:id="1011" w:author="Author">
        <w:r w:rsidR="2B6DB840">
          <w:t xml:space="preserve">augmented </w:t>
        </w:r>
        <w:r w:rsidR="61E129CB">
          <w:t>availability charges,</w:t>
        </w:r>
        <w:r>
          <w:t xml:space="preserve"> </w:t>
        </w:r>
      </w:ins>
      <w:r>
        <w:t>administration charges and capacity charges).</w:t>
      </w:r>
    </w:p>
    <w:p w14:paraId="3BFA6A9B" w14:textId="393F86A8" w:rsidR="00CD1FDE" w:rsidRPr="008B18B2" w:rsidRDefault="00CD1FDE" w:rsidP="2100A187">
      <w:pPr>
        <w:pStyle w:val="ListParagraph"/>
        <w:numPr>
          <w:ilvl w:val="0"/>
          <w:numId w:val="119"/>
        </w:numPr>
        <w:spacing w:after="200" w:line="276" w:lineRule="auto"/>
        <w:rPr>
          <w:szCs w:val="22"/>
        </w:rPr>
      </w:pPr>
      <w:del w:id="1012" w:author="Author">
        <w:r>
          <w:rPr>
            <w:i/>
          </w:rPr>
          <w:delText xml:space="preserve">Capacity </w:delText>
        </w:r>
      </w:del>
      <w:ins w:id="1013" w:author="Author">
        <w:r w:rsidR="5CBDA310" w:rsidRPr="6908EE7F">
          <w:rPr>
            <w:i/>
            <w:iCs/>
          </w:rPr>
          <w:t>System</w:t>
        </w:r>
        <w:r w:rsidR="301EF6FA" w:rsidRPr="6908EE7F">
          <w:rPr>
            <w:i/>
            <w:iCs/>
          </w:rPr>
          <w:t>-</w:t>
        </w:r>
        <w:r w:rsidR="7DF8AED0" w:rsidRPr="6908EE7F">
          <w:rPr>
            <w:i/>
            <w:iCs/>
          </w:rPr>
          <w:t>b</w:t>
        </w:r>
        <w:r w:rsidR="1D1E3DCD" w:rsidRPr="6908EE7F">
          <w:rPr>
            <w:i/>
            <w:iCs/>
          </w:rPr>
          <w:t>acked</w:t>
        </w:r>
        <w:r w:rsidR="5CBDA310" w:rsidRPr="6908EE7F">
          <w:rPr>
            <w:i/>
            <w:iCs/>
          </w:rPr>
          <w:t xml:space="preserve"> </w:t>
        </w:r>
        <w:r w:rsidR="7DF8AED0" w:rsidRPr="6908EE7F">
          <w:rPr>
            <w:i/>
            <w:iCs/>
          </w:rPr>
          <w:t>c</w:t>
        </w:r>
        <w:r w:rsidR="6F5A6A7C" w:rsidRPr="6908EE7F">
          <w:rPr>
            <w:i/>
            <w:iCs/>
          </w:rPr>
          <w:t xml:space="preserve">apacity </w:t>
        </w:r>
      </w:ins>
      <w:r w:rsidR="6F5A6A7C" w:rsidRPr="6908EE7F">
        <w:rPr>
          <w:i/>
          <w:iCs/>
        </w:rPr>
        <w:t xml:space="preserve">import </w:t>
      </w:r>
      <w:r w:rsidR="15EC1F3B" w:rsidRPr="6908EE7F">
        <w:rPr>
          <w:i/>
          <w:iCs/>
        </w:rPr>
        <w:t>r</w:t>
      </w:r>
      <w:r w:rsidR="6F5A6A7C" w:rsidRPr="6908EE7F">
        <w:rPr>
          <w:i/>
          <w:iCs/>
        </w:rPr>
        <w:t>esources</w:t>
      </w:r>
      <w:r w:rsidR="6F5A6A7C">
        <w:t xml:space="preserve"> (subject to availability charges</w:t>
      </w:r>
      <w:ins w:id="1014" w:author="Author">
        <w:r w:rsidR="748367A2">
          <w:t xml:space="preserve">, </w:t>
        </w:r>
        <w:r w:rsidR="1DC9AD91">
          <w:t xml:space="preserve">augmented </w:t>
        </w:r>
        <w:r w:rsidR="748367A2">
          <w:t>availability charges</w:t>
        </w:r>
        <w:r w:rsidR="14BDA442">
          <w:t>,</w:t>
        </w:r>
      </w:ins>
      <w:r w:rsidR="14BDA442">
        <w:t xml:space="preserve"> </w:t>
      </w:r>
      <w:r w:rsidR="70CD7239" w:rsidRPr="008B18B2">
        <w:t>and capacity charges</w:t>
      </w:r>
      <w:r w:rsidR="6F5A6A7C" w:rsidRPr="008B18B2">
        <w:t>)</w:t>
      </w:r>
    </w:p>
    <w:p w14:paraId="7E41C43B" w14:textId="29ADFE56" w:rsidR="00D428B6" w:rsidRDefault="45ABAEA1" w:rsidP="2100A187">
      <w:pPr>
        <w:pStyle w:val="ListParagraph"/>
        <w:numPr>
          <w:ilvl w:val="0"/>
          <w:numId w:val="119"/>
        </w:numPr>
        <w:spacing w:after="200" w:line="276" w:lineRule="auto"/>
        <w:rPr>
          <w:ins w:id="1015" w:author="Author"/>
          <w:szCs w:val="22"/>
        </w:rPr>
      </w:pPr>
      <w:ins w:id="1016" w:author="Author">
        <w:r w:rsidRPr="6908EE7F">
          <w:rPr>
            <w:i/>
            <w:iCs/>
          </w:rPr>
          <w:t>Generator</w:t>
        </w:r>
        <w:r w:rsidR="38B39A28" w:rsidRPr="6908EE7F">
          <w:rPr>
            <w:i/>
            <w:iCs/>
          </w:rPr>
          <w:t>-</w:t>
        </w:r>
        <w:r w:rsidRPr="6908EE7F">
          <w:rPr>
            <w:i/>
            <w:iCs/>
          </w:rPr>
          <w:t xml:space="preserve">backed capacity import </w:t>
        </w:r>
        <w:r w:rsidR="7DF8AED0" w:rsidRPr="6908EE7F">
          <w:rPr>
            <w:i/>
            <w:iCs/>
          </w:rPr>
          <w:t>r</w:t>
        </w:r>
        <w:r w:rsidRPr="6908EE7F">
          <w:rPr>
            <w:i/>
            <w:iCs/>
          </w:rPr>
          <w:t>esources</w:t>
        </w:r>
        <w:r w:rsidR="301EF6FA" w:rsidRPr="6908EE7F">
          <w:rPr>
            <w:i/>
            <w:iCs/>
          </w:rPr>
          <w:t xml:space="preserve"> </w:t>
        </w:r>
        <w:r w:rsidR="301EF6FA">
          <w:t>(</w:t>
        </w:r>
        <w:r>
          <w:t xml:space="preserve">subject to availability charges, </w:t>
        </w:r>
        <w:r w:rsidR="5664CB89">
          <w:t xml:space="preserve">augmented </w:t>
        </w:r>
        <w:r w:rsidR="163B869B">
          <w:t>availability charges,</w:t>
        </w:r>
        <w:r w:rsidR="5F961AA1">
          <w:t xml:space="preserve"> </w:t>
        </w:r>
        <w:r>
          <w:t>capacity charges, administration charges</w:t>
        </w:r>
        <w:r w:rsidR="00BC24DB">
          <w:t xml:space="preserve">, capacity call failure charges, </w:t>
        </w:r>
        <w:r w:rsidR="00685C45">
          <w:t xml:space="preserve">and </w:t>
        </w:r>
        <w:r w:rsidR="00BC24DB">
          <w:t>capacity deficiency charges</w:t>
        </w:r>
        <w:r>
          <w:t>)</w:t>
        </w:r>
      </w:ins>
    </w:p>
    <w:p w14:paraId="10D88152" w14:textId="1151DFDA" w:rsidR="00CD1FDE" w:rsidRPr="003E393C" w:rsidRDefault="00CD1FDE" w:rsidP="6908EE7F">
      <w:pPr>
        <w:pStyle w:val="ListParagraph"/>
        <w:numPr>
          <w:ilvl w:val="0"/>
          <w:numId w:val="119"/>
        </w:numPr>
        <w:spacing w:after="200" w:line="276" w:lineRule="auto"/>
        <w:rPr>
          <w:szCs w:val="22"/>
        </w:rPr>
      </w:pPr>
      <w:r w:rsidRPr="6908EE7F">
        <w:rPr>
          <w:i/>
          <w:iCs/>
        </w:rPr>
        <w:t xml:space="preserve">Capacity storage resources </w:t>
      </w:r>
      <w:r>
        <w:t>(subject to ava</w:t>
      </w:r>
      <w:r w:rsidR="004030B6">
        <w:t>ilability charge</w:t>
      </w:r>
      <w:r w:rsidR="4EEE02E7">
        <w:t>s</w:t>
      </w:r>
      <w:ins w:id="1017" w:author="Author">
        <w:r w:rsidR="4EEE02E7">
          <w:t>, augmented availability charges,</w:t>
        </w:r>
      </w:ins>
      <w:r w:rsidR="4EEE02E7">
        <w:t xml:space="preserve"> </w:t>
      </w:r>
      <w:r>
        <w:t>and capacity charges)</w:t>
      </w:r>
      <w:r w:rsidRPr="6908EE7F">
        <w:rPr>
          <w:i/>
          <w:iCs/>
        </w:rPr>
        <w:t xml:space="preserve"> </w:t>
      </w:r>
    </w:p>
    <w:tbl>
      <w:tblPr>
        <w:tblStyle w:val="TableGrid"/>
        <w:tblW w:w="14935" w:type="dxa"/>
        <w:jc w:val="center"/>
        <w:tblLayout w:type="fixed"/>
        <w:tblCellMar>
          <w:top w:w="29" w:type="dxa"/>
          <w:left w:w="115" w:type="dxa"/>
          <w:bottom w:w="29" w:type="dxa"/>
          <w:right w:w="115" w:type="dxa"/>
        </w:tblCellMar>
        <w:tblLook w:val="04A0" w:firstRow="1" w:lastRow="0" w:firstColumn="1" w:lastColumn="0" w:noHBand="0" w:noVBand="1"/>
        <w:tblDescription w:val="Table for capacity storage resources (subject to availability charges and capacity charges) "/>
      </w:tblPr>
      <w:tblGrid>
        <w:gridCol w:w="1456"/>
        <w:gridCol w:w="1352"/>
        <w:gridCol w:w="1867"/>
        <w:gridCol w:w="1350"/>
        <w:gridCol w:w="1350"/>
        <w:gridCol w:w="1440"/>
        <w:gridCol w:w="1620"/>
        <w:gridCol w:w="1080"/>
        <w:gridCol w:w="1080"/>
        <w:gridCol w:w="1080"/>
        <w:gridCol w:w="1260"/>
      </w:tblGrid>
      <w:tr w:rsidR="00BB5CDC" w:rsidRPr="003E393C" w14:paraId="3AA64D4A" w14:textId="475BD800" w:rsidTr="00BC24DB">
        <w:trPr>
          <w:trHeight w:val="573"/>
          <w:tblHeader/>
          <w:jc w:val="center"/>
        </w:trPr>
        <w:tc>
          <w:tcPr>
            <w:tcW w:w="1456" w:type="dxa"/>
            <w:shd w:val="clear" w:color="auto" w:fill="D9D9D9" w:themeFill="background1" w:themeFillShade="D9"/>
          </w:tcPr>
          <w:p w14:paraId="5CE5E56D" w14:textId="77777777" w:rsidR="00BB5CDC" w:rsidRPr="003E393C" w:rsidRDefault="00BB5CDC" w:rsidP="00CD1FDE">
            <w:pPr>
              <w:spacing w:after="200" w:line="276" w:lineRule="auto"/>
              <w:jc w:val="center"/>
              <w:rPr>
                <w:b/>
                <w:szCs w:val="22"/>
              </w:rPr>
            </w:pPr>
            <w:r w:rsidRPr="003E393C">
              <w:rPr>
                <w:b/>
                <w:szCs w:val="22"/>
              </w:rPr>
              <w:t>Resource Type</w:t>
            </w:r>
          </w:p>
        </w:tc>
        <w:tc>
          <w:tcPr>
            <w:tcW w:w="4569" w:type="dxa"/>
            <w:gridSpan w:val="3"/>
            <w:shd w:val="clear" w:color="auto" w:fill="D9D9D9" w:themeFill="background1" w:themeFillShade="D9"/>
          </w:tcPr>
          <w:p w14:paraId="463626D1" w14:textId="3711067A" w:rsidR="00BB5CDC" w:rsidRPr="003E393C" w:rsidRDefault="00BB5CDC" w:rsidP="005F4390">
            <w:pPr>
              <w:spacing w:after="200" w:line="276" w:lineRule="auto"/>
              <w:jc w:val="center"/>
              <w:rPr>
                <w:b/>
                <w:szCs w:val="22"/>
              </w:rPr>
            </w:pPr>
            <w:r w:rsidRPr="003E393C">
              <w:rPr>
                <w:b/>
                <w:szCs w:val="22"/>
              </w:rPr>
              <w:t>Payments</w:t>
            </w:r>
          </w:p>
        </w:tc>
        <w:tc>
          <w:tcPr>
            <w:tcW w:w="8910" w:type="dxa"/>
            <w:gridSpan w:val="7"/>
            <w:shd w:val="clear" w:color="auto" w:fill="D9D9D9" w:themeFill="background1" w:themeFillShade="D9"/>
          </w:tcPr>
          <w:p w14:paraId="297A4674" w14:textId="532EB80C" w:rsidR="00BB5CDC" w:rsidRPr="003E393C" w:rsidRDefault="00BB5CDC" w:rsidP="00800F52">
            <w:pPr>
              <w:spacing w:after="200" w:line="276" w:lineRule="auto"/>
              <w:jc w:val="center"/>
              <w:rPr>
                <w:b/>
                <w:szCs w:val="22"/>
              </w:rPr>
            </w:pPr>
            <w:r w:rsidRPr="003E393C">
              <w:rPr>
                <w:b/>
                <w:szCs w:val="22"/>
              </w:rPr>
              <w:t>Non-</w:t>
            </w:r>
            <w:r>
              <w:rPr>
                <w:b/>
                <w:szCs w:val="22"/>
              </w:rPr>
              <w:t>P</w:t>
            </w:r>
            <w:r w:rsidRPr="003E393C">
              <w:rPr>
                <w:b/>
                <w:szCs w:val="22"/>
              </w:rPr>
              <w:t xml:space="preserve">erformance </w:t>
            </w:r>
            <w:r>
              <w:rPr>
                <w:b/>
                <w:szCs w:val="22"/>
              </w:rPr>
              <w:t>C</w:t>
            </w:r>
            <w:r w:rsidRPr="003E393C">
              <w:rPr>
                <w:b/>
                <w:szCs w:val="22"/>
              </w:rPr>
              <w:t>harges</w:t>
            </w:r>
          </w:p>
        </w:tc>
      </w:tr>
      <w:tr w:rsidR="00BB5CDC" w:rsidRPr="003E393C" w14:paraId="37398B0C" w14:textId="52ED8A6F" w:rsidTr="00BC24DB">
        <w:trPr>
          <w:trHeight w:val="2058"/>
          <w:jc w:val="center"/>
        </w:trPr>
        <w:tc>
          <w:tcPr>
            <w:tcW w:w="1456" w:type="dxa"/>
          </w:tcPr>
          <w:p w14:paraId="18EFF5F0" w14:textId="77777777" w:rsidR="00BB5CDC" w:rsidRPr="003E393C" w:rsidRDefault="00BB5CDC" w:rsidP="00800F52">
            <w:pPr>
              <w:spacing w:after="200" w:line="276" w:lineRule="auto"/>
              <w:rPr>
                <w:szCs w:val="22"/>
              </w:rPr>
            </w:pPr>
          </w:p>
        </w:tc>
        <w:tc>
          <w:tcPr>
            <w:tcW w:w="1352" w:type="dxa"/>
          </w:tcPr>
          <w:p w14:paraId="48BABACC" w14:textId="551DB64B" w:rsidR="00BB5CDC" w:rsidRPr="003E393C" w:rsidRDefault="00BB5CDC" w:rsidP="00800F52">
            <w:pPr>
              <w:spacing w:after="200" w:line="276" w:lineRule="auto"/>
              <w:jc w:val="center"/>
              <w:rPr>
                <w:szCs w:val="22"/>
              </w:rPr>
            </w:pPr>
            <w:r w:rsidRPr="003E393C">
              <w:rPr>
                <w:szCs w:val="22"/>
              </w:rPr>
              <w:t xml:space="preserve">Availability </w:t>
            </w:r>
            <w:del w:id="1018" w:author="Author">
              <w:r w:rsidR="00CD1FDE" w:rsidRPr="003E393C">
                <w:rPr>
                  <w:szCs w:val="22"/>
                </w:rPr>
                <w:delText>p</w:delText>
              </w:r>
            </w:del>
            <w:ins w:id="1019" w:author="Author">
              <w:r>
                <w:rPr>
                  <w:szCs w:val="22"/>
                </w:rPr>
                <w:t>P</w:t>
              </w:r>
            </w:ins>
            <w:r w:rsidRPr="003E393C">
              <w:rPr>
                <w:szCs w:val="22"/>
              </w:rPr>
              <w:t>ayment</w:t>
            </w:r>
            <w:r>
              <w:rPr>
                <w:szCs w:val="22"/>
              </w:rPr>
              <w:t>s</w:t>
            </w:r>
          </w:p>
        </w:tc>
        <w:tc>
          <w:tcPr>
            <w:tcW w:w="1867" w:type="dxa"/>
          </w:tcPr>
          <w:p w14:paraId="3E9D104E" w14:textId="6FE73E39" w:rsidR="00BB5CDC" w:rsidRPr="003E393C" w:rsidRDefault="00BB5CDC" w:rsidP="00800F52">
            <w:pPr>
              <w:spacing w:after="200" w:line="276" w:lineRule="auto"/>
              <w:jc w:val="center"/>
            </w:pPr>
            <w:ins w:id="1020" w:author="Author">
              <w:r>
                <w:t xml:space="preserve">Out of Market Payment (for Capacity Auction Dispatch </w:t>
              </w:r>
            </w:ins>
            <w:r>
              <w:t>Test Activation</w:t>
            </w:r>
            <w:ins w:id="1021" w:author="Author">
              <w:r>
                <w:t>s</w:t>
              </w:r>
            </w:ins>
            <w:r>
              <w:t xml:space="preserve"> / Emergency Operating State </w:t>
            </w:r>
            <w:del w:id="1022" w:author="Author">
              <w:r w:rsidR="00CD1FDE" w:rsidRPr="003E393C">
                <w:rPr>
                  <w:szCs w:val="22"/>
                </w:rPr>
                <w:delText>Activation Payment</w:delText>
              </w:r>
            </w:del>
            <w:ins w:id="1023" w:author="Author">
              <w:r>
                <w:t xml:space="preserve">Activations) </w:t>
              </w:r>
            </w:ins>
          </w:p>
        </w:tc>
        <w:tc>
          <w:tcPr>
            <w:tcW w:w="1350" w:type="dxa"/>
          </w:tcPr>
          <w:p w14:paraId="7AA8B9B7" w14:textId="3B283225" w:rsidR="00BB5CDC" w:rsidRPr="003E393C" w:rsidRDefault="00BB5CDC" w:rsidP="00800F52">
            <w:pPr>
              <w:spacing w:after="200" w:line="276" w:lineRule="auto"/>
              <w:jc w:val="center"/>
              <w:rPr>
                <w:szCs w:val="22"/>
              </w:rPr>
            </w:pPr>
            <w:r>
              <w:rPr>
                <w:sz w:val="20"/>
                <w:szCs w:val="22"/>
              </w:rPr>
              <w:t>Availability Charge True-Up Payment</w:t>
            </w:r>
          </w:p>
        </w:tc>
        <w:tc>
          <w:tcPr>
            <w:tcW w:w="1350" w:type="dxa"/>
          </w:tcPr>
          <w:p w14:paraId="2A876544" w14:textId="267BE90F" w:rsidR="00BB5CDC" w:rsidRPr="003E393C" w:rsidRDefault="00BB5CDC" w:rsidP="00800F52">
            <w:pPr>
              <w:spacing w:after="200" w:line="276" w:lineRule="auto"/>
              <w:jc w:val="center"/>
              <w:rPr>
                <w:szCs w:val="22"/>
              </w:rPr>
            </w:pPr>
            <w:r w:rsidRPr="003E393C">
              <w:rPr>
                <w:szCs w:val="22"/>
              </w:rPr>
              <w:t>Availability Charge</w:t>
            </w:r>
          </w:p>
        </w:tc>
        <w:tc>
          <w:tcPr>
            <w:tcW w:w="1440" w:type="dxa"/>
          </w:tcPr>
          <w:p w14:paraId="42B85848" w14:textId="72221BE1" w:rsidR="00BB5CDC" w:rsidRPr="003E393C" w:rsidRDefault="00BB5CDC" w:rsidP="00800F52">
            <w:pPr>
              <w:spacing w:after="200" w:line="276" w:lineRule="auto"/>
              <w:jc w:val="center"/>
            </w:pPr>
            <w:ins w:id="1024" w:author="Author">
              <w:r>
                <w:t xml:space="preserve">Augmented </w:t>
              </w:r>
            </w:ins>
            <w:r>
              <w:t xml:space="preserve">Availability </w:t>
            </w:r>
            <w:ins w:id="1025" w:author="Author">
              <w:r>
                <w:t xml:space="preserve"> </w:t>
              </w:r>
            </w:ins>
            <w:r>
              <w:t>Charge</w:t>
            </w:r>
          </w:p>
        </w:tc>
        <w:tc>
          <w:tcPr>
            <w:tcW w:w="1620" w:type="dxa"/>
          </w:tcPr>
          <w:p w14:paraId="2744AEE2" w14:textId="55B2AD8A" w:rsidR="00BB5CDC" w:rsidRPr="003E393C" w:rsidRDefault="00BB5CDC" w:rsidP="00800F52">
            <w:pPr>
              <w:spacing w:after="200" w:line="276" w:lineRule="auto"/>
              <w:jc w:val="center"/>
              <w:rPr>
                <w:szCs w:val="22"/>
              </w:rPr>
            </w:pPr>
            <w:r w:rsidRPr="003E393C">
              <w:rPr>
                <w:szCs w:val="22"/>
              </w:rPr>
              <w:t>Administration Charge</w:t>
            </w:r>
          </w:p>
        </w:tc>
        <w:tc>
          <w:tcPr>
            <w:tcW w:w="1080" w:type="dxa"/>
          </w:tcPr>
          <w:p w14:paraId="10F5CB07" w14:textId="77777777" w:rsidR="00BB5CDC" w:rsidRPr="003E393C" w:rsidRDefault="00BB5CDC" w:rsidP="00800F52">
            <w:pPr>
              <w:spacing w:after="200" w:line="276" w:lineRule="auto"/>
              <w:jc w:val="center"/>
              <w:rPr>
                <w:szCs w:val="22"/>
              </w:rPr>
            </w:pPr>
            <w:r w:rsidRPr="003E393C">
              <w:rPr>
                <w:szCs w:val="22"/>
              </w:rPr>
              <w:t>Dispatch Charge</w:t>
            </w:r>
          </w:p>
        </w:tc>
        <w:tc>
          <w:tcPr>
            <w:tcW w:w="1080" w:type="dxa"/>
          </w:tcPr>
          <w:p w14:paraId="407A847D" w14:textId="77777777" w:rsidR="00BB5CDC" w:rsidRPr="003E393C" w:rsidRDefault="00BB5CDC" w:rsidP="00800F52">
            <w:pPr>
              <w:spacing w:after="200" w:line="276" w:lineRule="auto"/>
              <w:jc w:val="center"/>
              <w:rPr>
                <w:szCs w:val="22"/>
              </w:rPr>
            </w:pPr>
            <w:r w:rsidRPr="003E393C">
              <w:rPr>
                <w:szCs w:val="22"/>
              </w:rPr>
              <w:t>Capacity Charge</w:t>
            </w:r>
          </w:p>
        </w:tc>
        <w:tc>
          <w:tcPr>
            <w:tcW w:w="1080" w:type="dxa"/>
          </w:tcPr>
          <w:p w14:paraId="52507552" w14:textId="30B77FD8" w:rsidR="00BB5CDC" w:rsidRPr="003E393C" w:rsidRDefault="00BB5CDC" w:rsidP="00800F52">
            <w:pPr>
              <w:spacing w:after="200" w:line="276" w:lineRule="auto"/>
              <w:jc w:val="center"/>
              <w:rPr>
                <w:szCs w:val="22"/>
              </w:rPr>
            </w:pPr>
            <w:r>
              <w:rPr>
                <w:szCs w:val="22"/>
              </w:rPr>
              <w:t xml:space="preserve">Capacity </w:t>
            </w:r>
            <w:ins w:id="1026" w:author="Author">
              <w:r>
                <w:rPr>
                  <w:szCs w:val="22"/>
                </w:rPr>
                <w:t xml:space="preserve">Call Failure </w:t>
              </w:r>
            </w:ins>
            <w:r>
              <w:rPr>
                <w:szCs w:val="22"/>
              </w:rPr>
              <w:t>Charge</w:t>
            </w:r>
          </w:p>
        </w:tc>
        <w:tc>
          <w:tcPr>
            <w:tcW w:w="1260" w:type="dxa"/>
          </w:tcPr>
          <w:p w14:paraId="7DE4AA4C" w14:textId="09B3AB6F" w:rsidR="00BB5CDC" w:rsidRPr="003E393C" w:rsidRDefault="00BB5CDC" w:rsidP="00800F52">
            <w:pPr>
              <w:spacing w:after="200" w:line="276" w:lineRule="auto"/>
              <w:jc w:val="center"/>
              <w:rPr>
                <w:szCs w:val="22"/>
              </w:rPr>
            </w:pPr>
            <w:r>
              <w:rPr>
                <w:szCs w:val="22"/>
              </w:rPr>
              <w:t>Capacity Deficiency Charge</w:t>
            </w:r>
          </w:p>
        </w:tc>
      </w:tr>
      <w:tr w:rsidR="00BB5CDC" w:rsidRPr="003E393C" w14:paraId="74FDA0D2" w14:textId="48662DFB" w:rsidTr="00BC24DB">
        <w:trPr>
          <w:trHeight w:val="70"/>
          <w:jc w:val="center"/>
        </w:trPr>
        <w:tc>
          <w:tcPr>
            <w:tcW w:w="1456" w:type="dxa"/>
            <w:vAlign w:val="center"/>
          </w:tcPr>
          <w:p w14:paraId="35982AD2" w14:textId="154B0EE4" w:rsidR="00BB5CDC" w:rsidRPr="00D428B6" w:rsidRDefault="00CD1FDE" w:rsidP="00BB5CDC">
            <w:pPr>
              <w:spacing w:after="0"/>
              <w:jc w:val="center"/>
              <w:rPr>
                <w:i/>
                <w:szCs w:val="22"/>
              </w:rPr>
            </w:pPr>
            <w:del w:id="1027" w:author="Author">
              <w:r>
                <w:rPr>
                  <w:szCs w:val="22"/>
                </w:rPr>
                <w:delText>C</w:delText>
              </w:r>
            </w:del>
            <w:ins w:id="1028" w:author="Author">
              <w:r w:rsidR="00BB5CDC">
                <w:rPr>
                  <w:i/>
                  <w:szCs w:val="22"/>
                </w:rPr>
                <w:t>c</w:t>
              </w:r>
            </w:ins>
            <w:r w:rsidR="00BB5CDC" w:rsidRPr="00D428B6">
              <w:rPr>
                <w:i/>
                <w:szCs w:val="22"/>
              </w:rPr>
              <w:t>apacity dispatchable load resources</w:t>
            </w:r>
          </w:p>
        </w:tc>
        <w:tc>
          <w:tcPr>
            <w:tcW w:w="1352" w:type="dxa"/>
            <w:vAlign w:val="center"/>
          </w:tcPr>
          <w:p w14:paraId="29AF7D80" w14:textId="77777777" w:rsidR="00BB5CDC" w:rsidRPr="003E393C" w:rsidRDefault="00BB5CDC" w:rsidP="00BB5CDC">
            <w:pPr>
              <w:spacing w:after="0"/>
              <w:jc w:val="center"/>
              <w:rPr>
                <w:szCs w:val="22"/>
              </w:rPr>
            </w:pPr>
            <w:r w:rsidRPr="003E393C">
              <w:rPr>
                <w:szCs w:val="22"/>
              </w:rPr>
              <w:t>Yes</w:t>
            </w:r>
          </w:p>
        </w:tc>
        <w:tc>
          <w:tcPr>
            <w:tcW w:w="1867" w:type="dxa"/>
            <w:vAlign w:val="center"/>
          </w:tcPr>
          <w:p w14:paraId="4C6E6EB7" w14:textId="77777777" w:rsidR="00BB5CDC" w:rsidRPr="003E393C" w:rsidRDefault="00BB5CDC" w:rsidP="00BB5CDC">
            <w:pPr>
              <w:spacing w:after="0"/>
              <w:jc w:val="center"/>
              <w:rPr>
                <w:szCs w:val="22"/>
              </w:rPr>
            </w:pPr>
            <w:r w:rsidRPr="003E393C">
              <w:rPr>
                <w:szCs w:val="22"/>
              </w:rPr>
              <w:t>No</w:t>
            </w:r>
          </w:p>
        </w:tc>
        <w:tc>
          <w:tcPr>
            <w:tcW w:w="1350" w:type="dxa"/>
            <w:vAlign w:val="center"/>
          </w:tcPr>
          <w:p w14:paraId="5D3D5BB8" w14:textId="1A95590B" w:rsidR="00BB5CDC" w:rsidRPr="003E393C" w:rsidRDefault="00BB5CDC" w:rsidP="00BB5CDC">
            <w:pPr>
              <w:spacing w:after="0"/>
              <w:jc w:val="center"/>
              <w:rPr>
                <w:szCs w:val="22"/>
              </w:rPr>
            </w:pPr>
            <w:r w:rsidRPr="003E393C">
              <w:rPr>
                <w:szCs w:val="22"/>
              </w:rPr>
              <w:t>Yes</w:t>
            </w:r>
          </w:p>
        </w:tc>
        <w:tc>
          <w:tcPr>
            <w:tcW w:w="1350" w:type="dxa"/>
            <w:vAlign w:val="center"/>
          </w:tcPr>
          <w:p w14:paraId="439A4CCE" w14:textId="35E99672" w:rsidR="00BB5CDC" w:rsidRPr="003E393C" w:rsidRDefault="00BB5CDC" w:rsidP="00BB5CDC">
            <w:pPr>
              <w:spacing w:after="0"/>
              <w:jc w:val="center"/>
              <w:rPr>
                <w:szCs w:val="22"/>
              </w:rPr>
            </w:pPr>
            <w:r w:rsidRPr="003E393C">
              <w:rPr>
                <w:szCs w:val="22"/>
              </w:rPr>
              <w:t>Yes</w:t>
            </w:r>
          </w:p>
        </w:tc>
        <w:tc>
          <w:tcPr>
            <w:tcW w:w="1440" w:type="dxa"/>
            <w:vAlign w:val="center"/>
          </w:tcPr>
          <w:p w14:paraId="3A9E122E" w14:textId="5959A5D4" w:rsidR="00BB5CDC" w:rsidRPr="003E393C" w:rsidRDefault="00BB5CDC" w:rsidP="00BB5CDC">
            <w:pPr>
              <w:spacing w:after="0"/>
              <w:jc w:val="center"/>
              <w:rPr>
                <w:szCs w:val="22"/>
              </w:rPr>
            </w:pPr>
            <w:r>
              <w:rPr>
                <w:szCs w:val="22"/>
              </w:rPr>
              <w:t>Yes</w:t>
            </w:r>
          </w:p>
        </w:tc>
        <w:tc>
          <w:tcPr>
            <w:tcW w:w="1620" w:type="dxa"/>
            <w:vAlign w:val="center"/>
          </w:tcPr>
          <w:p w14:paraId="11814B03" w14:textId="4A3050F1" w:rsidR="00BB5CDC" w:rsidRPr="003E393C" w:rsidRDefault="00BB5CDC" w:rsidP="00BB5CDC">
            <w:pPr>
              <w:spacing w:after="0"/>
              <w:jc w:val="center"/>
              <w:rPr>
                <w:szCs w:val="22"/>
              </w:rPr>
            </w:pPr>
            <w:r w:rsidRPr="003E393C">
              <w:rPr>
                <w:szCs w:val="22"/>
              </w:rPr>
              <w:t>No</w:t>
            </w:r>
          </w:p>
        </w:tc>
        <w:tc>
          <w:tcPr>
            <w:tcW w:w="1080" w:type="dxa"/>
            <w:vAlign w:val="center"/>
          </w:tcPr>
          <w:p w14:paraId="28277334" w14:textId="6C5462CA" w:rsidR="00BB5CDC" w:rsidRPr="00D554B6" w:rsidRDefault="00BB5CDC" w:rsidP="00BB5CDC">
            <w:pPr>
              <w:spacing w:after="0" w:line="259" w:lineRule="auto"/>
              <w:jc w:val="center"/>
              <w:rPr>
                <w:szCs w:val="22"/>
              </w:rPr>
            </w:pPr>
            <w:r w:rsidRPr="00D554B6">
              <w:t>No</w:t>
            </w:r>
          </w:p>
        </w:tc>
        <w:tc>
          <w:tcPr>
            <w:tcW w:w="1080" w:type="dxa"/>
            <w:vAlign w:val="center"/>
          </w:tcPr>
          <w:p w14:paraId="0C7B65D0" w14:textId="77777777" w:rsidR="00BB5CDC" w:rsidRPr="003E393C" w:rsidRDefault="00BB5CDC" w:rsidP="00BB5CDC">
            <w:pPr>
              <w:spacing w:after="0"/>
              <w:jc w:val="center"/>
              <w:rPr>
                <w:szCs w:val="22"/>
              </w:rPr>
            </w:pPr>
            <w:r w:rsidRPr="003E393C">
              <w:rPr>
                <w:szCs w:val="22"/>
              </w:rPr>
              <w:t xml:space="preserve">Yes </w:t>
            </w:r>
          </w:p>
        </w:tc>
        <w:tc>
          <w:tcPr>
            <w:tcW w:w="1080" w:type="dxa"/>
            <w:vAlign w:val="center"/>
          </w:tcPr>
          <w:p w14:paraId="019DDF4F" w14:textId="20F27B6C" w:rsidR="00BB5CDC" w:rsidRPr="003E393C" w:rsidRDefault="00BB5CDC" w:rsidP="00BB5CDC">
            <w:pPr>
              <w:spacing w:after="0"/>
              <w:jc w:val="center"/>
              <w:rPr>
                <w:szCs w:val="22"/>
              </w:rPr>
            </w:pPr>
            <w:r w:rsidRPr="004D3CEF">
              <w:t>No</w:t>
            </w:r>
          </w:p>
        </w:tc>
        <w:tc>
          <w:tcPr>
            <w:tcW w:w="1260" w:type="dxa"/>
            <w:vAlign w:val="center"/>
          </w:tcPr>
          <w:p w14:paraId="12FEC024" w14:textId="6294272D" w:rsidR="00BB5CDC" w:rsidRPr="003E393C" w:rsidRDefault="00BB5CDC" w:rsidP="00BB5CDC">
            <w:pPr>
              <w:spacing w:after="0"/>
              <w:jc w:val="center"/>
              <w:rPr>
                <w:szCs w:val="22"/>
              </w:rPr>
            </w:pPr>
            <w:r w:rsidRPr="004E523E">
              <w:t>No</w:t>
            </w:r>
          </w:p>
        </w:tc>
      </w:tr>
      <w:tr w:rsidR="00BB5CDC" w:rsidRPr="003E393C" w14:paraId="03F75DBD" w14:textId="521DE345" w:rsidTr="00BC24DB">
        <w:trPr>
          <w:trHeight w:val="665"/>
          <w:jc w:val="center"/>
        </w:trPr>
        <w:tc>
          <w:tcPr>
            <w:tcW w:w="1456" w:type="dxa"/>
            <w:vAlign w:val="center"/>
          </w:tcPr>
          <w:p w14:paraId="410F8456" w14:textId="7B86EFCE" w:rsidR="00BB5CDC" w:rsidRPr="00D428B6" w:rsidRDefault="00CD1FDE" w:rsidP="00BB5CDC">
            <w:pPr>
              <w:spacing w:after="0"/>
              <w:jc w:val="center"/>
              <w:rPr>
                <w:i/>
                <w:szCs w:val="22"/>
              </w:rPr>
            </w:pPr>
            <w:del w:id="1029" w:author="Author">
              <w:r w:rsidRPr="003E393C">
                <w:rPr>
                  <w:szCs w:val="22"/>
                </w:rPr>
                <w:delText>H</w:delText>
              </w:r>
            </w:del>
            <w:ins w:id="1030" w:author="Author">
              <w:r w:rsidR="00BB5CDC">
                <w:rPr>
                  <w:i/>
                  <w:szCs w:val="22"/>
                </w:rPr>
                <w:t>h</w:t>
              </w:r>
            </w:ins>
            <w:r w:rsidR="00BB5CDC" w:rsidRPr="00D428B6">
              <w:rPr>
                <w:i/>
                <w:szCs w:val="22"/>
              </w:rPr>
              <w:t>ourly demand response resources</w:t>
            </w:r>
          </w:p>
        </w:tc>
        <w:tc>
          <w:tcPr>
            <w:tcW w:w="1352" w:type="dxa"/>
            <w:vAlign w:val="center"/>
          </w:tcPr>
          <w:p w14:paraId="0B54AE63" w14:textId="77777777" w:rsidR="00BB5CDC" w:rsidRPr="003E393C" w:rsidRDefault="00BB5CDC" w:rsidP="00BB5CDC">
            <w:pPr>
              <w:spacing w:after="0"/>
              <w:jc w:val="center"/>
              <w:rPr>
                <w:szCs w:val="22"/>
              </w:rPr>
            </w:pPr>
            <w:r w:rsidRPr="003E393C">
              <w:rPr>
                <w:szCs w:val="22"/>
              </w:rPr>
              <w:t>Yes</w:t>
            </w:r>
          </w:p>
        </w:tc>
        <w:tc>
          <w:tcPr>
            <w:tcW w:w="1867" w:type="dxa"/>
            <w:vAlign w:val="center"/>
          </w:tcPr>
          <w:p w14:paraId="4AB2C8F5" w14:textId="77777777" w:rsidR="00BB5CDC" w:rsidRPr="003E393C" w:rsidRDefault="00BB5CDC" w:rsidP="00BB5CDC">
            <w:pPr>
              <w:spacing w:after="0"/>
              <w:jc w:val="center"/>
              <w:rPr>
                <w:szCs w:val="22"/>
              </w:rPr>
            </w:pPr>
            <w:r w:rsidRPr="003E393C">
              <w:rPr>
                <w:szCs w:val="22"/>
              </w:rPr>
              <w:t>Yes</w:t>
            </w:r>
          </w:p>
        </w:tc>
        <w:tc>
          <w:tcPr>
            <w:tcW w:w="1350" w:type="dxa"/>
            <w:vAlign w:val="center"/>
          </w:tcPr>
          <w:p w14:paraId="60DA877E" w14:textId="6E85AC39" w:rsidR="00BB5CDC" w:rsidRPr="003E393C" w:rsidRDefault="00BB5CDC" w:rsidP="00BB5CDC">
            <w:pPr>
              <w:spacing w:after="0"/>
              <w:jc w:val="center"/>
              <w:rPr>
                <w:szCs w:val="22"/>
              </w:rPr>
            </w:pPr>
            <w:r w:rsidRPr="003E393C">
              <w:rPr>
                <w:szCs w:val="22"/>
              </w:rPr>
              <w:t>Yes</w:t>
            </w:r>
          </w:p>
        </w:tc>
        <w:tc>
          <w:tcPr>
            <w:tcW w:w="1350" w:type="dxa"/>
            <w:vAlign w:val="center"/>
          </w:tcPr>
          <w:p w14:paraId="47D4334C" w14:textId="15F4868D" w:rsidR="00BB5CDC" w:rsidRPr="003E393C" w:rsidRDefault="00BB5CDC" w:rsidP="00BB5CDC">
            <w:pPr>
              <w:spacing w:after="0"/>
              <w:jc w:val="center"/>
              <w:rPr>
                <w:szCs w:val="22"/>
              </w:rPr>
            </w:pPr>
            <w:r w:rsidRPr="003E393C">
              <w:rPr>
                <w:szCs w:val="22"/>
              </w:rPr>
              <w:t>Yes</w:t>
            </w:r>
          </w:p>
        </w:tc>
        <w:tc>
          <w:tcPr>
            <w:tcW w:w="1440" w:type="dxa"/>
            <w:vAlign w:val="center"/>
          </w:tcPr>
          <w:p w14:paraId="494AB879" w14:textId="5F3B9745" w:rsidR="00BB5CDC" w:rsidRPr="003E393C" w:rsidRDefault="00BB5CDC" w:rsidP="00BB5CDC">
            <w:pPr>
              <w:spacing w:after="0"/>
              <w:jc w:val="center"/>
              <w:rPr>
                <w:szCs w:val="22"/>
              </w:rPr>
            </w:pPr>
            <w:r w:rsidRPr="003E393C">
              <w:rPr>
                <w:szCs w:val="22"/>
              </w:rPr>
              <w:t>Yes</w:t>
            </w:r>
          </w:p>
        </w:tc>
        <w:tc>
          <w:tcPr>
            <w:tcW w:w="1620" w:type="dxa"/>
            <w:vAlign w:val="center"/>
          </w:tcPr>
          <w:p w14:paraId="32C0D1B6" w14:textId="13629DC1" w:rsidR="00BB5CDC" w:rsidRPr="003E393C" w:rsidRDefault="00BB5CDC" w:rsidP="00BB5CDC">
            <w:pPr>
              <w:spacing w:after="0"/>
              <w:jc w:val="center"/>
              <w:rPr>
                <w:szCs w:val="22"/>
              </w:rPr>
            </w:pPr>
            <w:r w:rsidRPr="003E393C">
              <w:rPr>
                <w:szCs w:val="22"/>
              </w:rPr>
              <w:t xml:space="preserve">Yes (only for </w:t>
            </w:r>
            <w:r w:rsidRPr="00D428B6">
              <w:rPr>
                <w:i/>
                <w:szCs w:val="22"/>
              </w:rPr>
              <w:t>HDR</w:t>
            </w:r>
            <w:r w:rsidRPr="003E393C">
              <w:rPr>
                <w:szCs w:val="22"/>
              </w:rPr>
              <w:t>s</w:t>
            </w:r>
            <w:r>
              <w:rPr>
                <w:szCs w:val="22"/>
              </w:rPr>
              <w:t xml:space="preserve"> with virtual </w:t>
            </w:r>
            <w:r w:rsidRPr="00D428B6">
              <w:rPr>
                <w:i/>
                <w:szCs w:val="22"/>
              </w:rPr>
              <w:t>demand response contributors</w:t>
            </w:r>
            <w:r w:rsidRPr="003E393C">
              <w:rPr>
                <w:szCs w:val="22"/>
              </w:rPr>
              <w:t>)</w:t>
            </w:r>
          </w:p>
        </w:tc>
        <w:tc>
          <w:tcPr>
            <w:tcW w:w="1080" w:type="dxa"/>
            <w:vAlign w:val="center"/>
          </w:tcPr>
          <w:p w14:paraId="2A3A0A8F" w14:textId="77777777" w:rsidR="00BB5CDC" w:rsidRPr="003E393C" w:rsidRDefault="00BB5CDC" w:rsidP="00BB5CDC">
            <w:pPr>
              <w:spacing w:after="0"/>
              <w:jc w:val="center"/>
              <w:rPr>
                <w:szCs w:val="22"/>
              </w:rPr>
            </w:pPr>
            <w:r>
              <w:rPr>
                <w:szCs w:val="22"/>
              </w:rPr>
              <w:t xml:space="preserve">Yes (only for C&amp;I </w:t>
            </w:r>
            <w:r w:rsidRPr="00D428B6">
              <w:rPr>
                <w:i/>
                <w:szCs w:val="22"/>
              </w:rPr>
              <w:t>HDR</w:t>
            </w:r>
            <w:r w:rsidRPr="003E393C">
              <w:rPr>
                <w:szCs w:val="22"/>
              </w:rPr>
              <w:t>s)</w:t>
            </w:r>
          </w:p>
        </w:tc>
        <w:tc>
          <w:tcPr>
            <w:tcW w:w="1080" w:type="dxa"/>
            <w:vAlign w:val="center"/>
          </w:tcPr>
          <w:p w14:paraId="0FB3E8D1" w14:textId="77777777" w:rsidR="00BB5CDC" w:rsidRPr="003E393C" w:rsidRDefault="00BB5CDC" w:rsidP="00BB5CDC">
            <w:pPr>
              <w:spacing w:after="0"/>
              <w:jc w:val="center"/>
              <w:rPr>
                <w:szCs w:val="22"/>
              </w:rPr>
            </w:pPr>
            <w:r w:rsidRPr="003E393C">
              <w:rPr>
                <w:szCs w:val="22"/>
              </w:rPr>
              <w:t xml:space="preserve">Yes </w:t>
            </w:r>
          </w:p>
        </w:tc>
        <w:tc>
          <w:tcPr>
            <w:tcW w:w="1080" w:type="dxa"/>
            <w:vAlign w:val="center"/>
          </w:tcPr>
          <w:p w14:paraId="4CC5B55D" w14:textId="1175B05C" w:rsidR="00BB5CDC" w:rsidRPr="003E393C" w:rsidRDefault="00BB5CDC" w:rsidP="00BB5CDC">
            <w:pPr>
              <w:spacing w:after="0"/>
              <w:jc w:val="center"/>
              <w:rPr>
                <w:szCs w:val="22"/>
              </w:rPr>
            </w:pPr>
            <w:r w:rsidRPr="004D3CEF">
              <w:t>No</w:t>
            </w:r>
          </w:p>
        </w:tc>
        <w:tc>
          <w:tcPr>
            <w:tcW w:w="1260" w:type="dxa"/>
            <w:vAlign w:val="center"/>
          </w:tcPr>
          <w:p w14:paraId="5FA49EC3" w14:textId="68AFE521" w:rsidR="00BB5CDC" w:rsidRPr="003E393C" w:rsidRDefault="00BB5CDC" w:rsidP="00BB5CDC">
            <w:pPr>
              <w:spacing w:after="0"/>
              <w:jc w:val="center"/>
              <w:rPr>
                <w:szCs w:val="22"/>
              </w:rPr>
            </w:pPr>
            <w:r w:rsidRPr="004E523E">
              <w:t>No</w:t>
            </w:r>
          </w:p>
        </w:tc>
      </w:tr>
      <w:tr w:rsidR="00BB5CDC" w:rsidRPr="003E393C" w14:paraId="36CC0A21" w14:textId="496B90BB" w:rsidTr="00BC24DB">
        <w:trPr>
          <w:trHeight w:val="368"/>
          <w:jc w:val="center"/>
        </w:trPr>
        <w:tc>
          <w:tcPr>
            <w:tcW w:w="1456" w:type="dxa"/>
            <w:vAlign w:val="center"/>
          </w:tcPr>
          <w:p w14:paraId="43D3DDE6" w14:textId="02AAADC5" w:rsidR="00BB5CDC" w:rsidRPr="00D428B6" w:rsidRDefault="00CD1FDE" w:rsidP="00BB5CDC">
            <w:pPr>
              <w:spacing w:after="0"/>
              <w:jc w:val="center"/>
              <w:rPr>
                <w:i/>
                <w:szCs w:val="22"/>
              </w:rPr>
            </w:pPr>
            <w:del w:id="1031" w:author="Author">
              <w:r w:rsidRPr="003E393C">
                <w:rPr>
                  <w:szCs w:val="22"/>
                </w:rPr>
                <w:delText>C</w:delText>
              </w:r>
            </w:del>
            <w:ins w:id="1032" w:author="Author">
              <w:r w:rsidR="00BB5CDC">
                <w:rPr>
                  <w:i/>
                  <w:szCs w:val="22"/>
                </w:rPr>
                <w:t>c</w:t>
              </w:r>
            </w:ins>
            <w:r w:rsidR="00BB5CDC" w:rsidRPr="00D428B6">
              <w:rPr>
                <w:i/>
                <w:szCs w:val="22"/>
              </w:rPr>
              <w:t>apacity generation resource</w:t>
            </w:r>
          </w:p>
        </w:tc>
        <w:tc>
          <w:tcPr>
            <w:tcW w:w="1352" w:type="dxa"/>
            <w:vAlign w:val="center"/>
          </w:tcPr>
          <w:p w14:paraId="31F489E9" w14:textId="77777777" w:rsidR="00BB5CDC" w:rsidRPr="003E393C" w:rsidRDefault="00BB5CDC" w:rsidP="00BB5CDC">
            <w:pPr>
              <w:spacing w:after="0"/>
              <w:jc w:val="center"/>
              <w:rPr>
                <w:szCs w:val="22"/>
              </w:rPr>
            </w:pPr>
            <w:r w:rsidRPr="003E393C">
              <w:rPr>
                <w:szCs w:val="22"/>
              </w:rPr>
              <w:t>Yes</w:t>
            </w:r>
          </w:p>
        </w:tc>
        <w:tc>
          <w:tcPr>
            <w:tcW w:w="1867" w:type="dxa"/>
            <w:vAlign w:val="center"/>
          </w:tcPr>
          <w:p w14:paraId="0D5B82D1" w14:textId="77777777" w:rsidR="00BB5CDC" w:rsidRPr="003E393C" w:rsidRDefault="00BB5CDC" w:rsidP="00BB5CDC">
            <w:pPr>
              <w:spacing w:after="0"/>
              <w:jc w:val="center"/>
              <w:rPr>
                <w:szCs w:val="22"/>
              </w:rPr>
            </w:pPr>
            <w:r w:rsidRPr="003E393C">
              <w:rPr>
                <w:szCs w:val="22"/>
              </w:rPr>
              <w:t>No</w:t>
            </w:r>
          </w:p>
        </w:tc>
        <w:tc>
          <w:tcPr>
            <w:tcW w:w="1350" w:type="dxa"/>
            <w:vAlign w:val="center"/>
          </w:tcPr>
          <w:p w14:paraId="480ACB6B" w14:textId="192CED83" w:rsidR="00BB5CDC" w:rsidRPr="003E393C" w:rsidRDefault="00BB5CDC" w:rsidP="00BB5CDC">
            <w:pPr>
              <w:spacing w:after="0"/>
              <w:jc w:val="center"/>
              <w:rPr>
                <w:szCs w:val="22"/>
              </w:rPr>
            </w:pPr>
            <w:r w:rsidRPr="003E393C">
              <w:rPr>
                <w:szCs w:val="22"/>
              </w:rPr>
              <w:t>Yes</w:t>
            </w:r>
          </w:p>
        </w:tc>
        <w:tc>
          <w:tcPr>
            <w:tcW w:w="1350" w:type="dxa"/>
            <w:vAlign w:val="center"/>
          </w:tcPr>
          <w:p w14:paraId="0AB6573B" w14:textId="3A8CD66C" w:rsidR="00BB5CDC" w:rsidRPr="003E393C" w:rsidRDefault="00BB5CDC" w:rsidP="00BB5CDC">
            <w:pPr>
              <w:spacing w:after="0"/>
              <w:jc w:val="center"/>
              <w:rPr>
                <w:szCs w:val="22"/>
              </w:rPr>
            </w:pPr>
            <w:r w:rsidRPr="003E393C">
              <w:rPr>
                <w:szCs w:val="22"/>
              </w:rPr>
              <w:t>Yes</w:t>
            </w:r>
          </w:p>
        </w:tc>
        <w:tc>
          <w:tcPr>
            <w:tcW w:w="1440" w:type="dxa"/>
            <w:vAlign w:val="center"/>
          </w:tcPr>
          <w:p w14:paraId="03AF0D35" w14:textId="0C27296E" w:rsidR="00BB5CDC" w:rsidRPr="003E393C" w:rsidRDefault="00BB5CDC" w:rsidP="00BB5CDC">
            <w:pPr>
              <w:spacing w:after="0"/>
              <w:jc w:val="center"/>
              <w:rPr>
                <w:szCs w:val="22"/>
              </w:rPr>
            </w:pPr>
            <w:r w:rsidRPr="003E393C">
              <w:rPr>
                <w:szCs w:val="22"/>
              </w:rPr>
              <w:t>Yes</w:t>
            </w:r>
          </w:p>
        </w:tc>
        <w:tc>
          <w:tcPr>
            <w:tcW w:w="1620" w:type="dxa"/>
            <w:vAlign w:val="center"/>
          </w:tcPr>
          <w:p w14:paraId="103D3AF8" w14:textId="5BFFE989" w:rsidR="00BB5CDC" w:rsidRPr="00BB5CDC" w:rsidRDefault="00BB5CDC" w:rsidP="00BB5CDC">
            <w:pPr>
              <w:spacing w:after="0"/>
              <w:jc w:val="center"/>
              <w:rPr>
                <w:szCs w:val="22"/>
              </w:rPr>
            </w:pPr>
            <w:r w:rsidRPr="00BB5CDC">
              <w:rPr>
                <w:szCs w:val="22"/>
              </w:rPr>
              <w:t>No</w:t>
            </w:r>
          </w:p>
        </w:tc>
        <w:tc>
          <w:tcPr>
            <w:tcW w:w="1080" w:type="dxa"/>
            <w:vAlign w:val="center"/>
          </w:tcPr>
          <w:p w14:paraId="180BE8FB" w14:textId="64D11A11" w:rsidR="00BB5CDC" w:rsidRPr="00BC24DB" w:rsidRDefault="00BB5CDC" w:rsidP="00BB5CDC">
            <w:pPr>
              <w:spacing w:after="0" w:line="259" w:lineRule="auto"/>
              <w:jc w:val="center"/>
              <w:rPr>
                <w:szCs w:val="22"/>
              </w:rPr>
            </w:pPr>
            <w:r w:rsidRPr="00BC24DB">
              <w:t>No</w:t>
            </w:r>
          </w:p>
        </w:tc>
        <w:tc>
          <w:tcPr>
            <w:tcW w:w="1080" w:type="dxa"/>
            <w:vAlign w:val="center"/>
          </w:tcPr>
          <w:p w14:paraId="1BF59118" w14:textId="77777777" w:rsidR="00BB5CDC" w:rsidRPr="00BB5CDC" w:rsidRDefault="00BB5CDC" w:rsidP="00BB5CDC">
            <w:pPr>
              <w:spacing w:after="0"/>
              <w:jc w:val="center"/>
              <w:rPr>
                <w:szCs w:val="22"/>
              </w:rPr>
            </w:pPr>
            <w:r w:rsidRPr="00BB5CDC">
              <w:rPr>
                <w:szCs w:val="22"/>
              </w:rPr>
              <w:t xml:space="preserve">Yes </w:t>
            </w:r>
          </w:p>
        </w:tc>
        <w:tc>
          <w:tcPr>
            <w:tcW w:w="1080" w:type="dxa"/>
            <w:vAlign w:val="center"/>
          </w:tcPr>
          <w:p w14:paraId="3657007D" w14:textId="6AFB6FE4" w:rsidR="00BB5CDC" w:rsidRPr="003E393C" w:rsidRDefault="00BB5CDC" w:rsidP="00BB5CDC">
            <w:pPr>
              <w:spacing w:after="0"/>
              <w:jc w:val="center"/>
              <w:rPr>
                <w:szCs w:val="22"/>
              </w:rPr>
            </w:pPr>
            <w:r w:rsidRPr="004D3CEF">
              <w:t>No</w:t>
            </w:r>
          </w:p>
        </w:tc>
        <w:tc>
          <w:tcPr>
            <w:tcW w:w="1260" w:type="dxa"/>
            <w:vAlign w:val="center"/>
          </w:tcPr>
          <w:p w14:paraId="3E9C335F" w14:textId="3EF5FF86" w:rsidR="00BB5CDC" w:rsidRPr="003E393C" w:rsidRDefault="00BB5CDC" w:rsidP="00BB5CDC">
            <w:pPr>
              <w:spacing w:after="0"/>
              <w:jc w:val="center"/>
              <w:rPr>
                <w:szCs w:val="22"/>
              </w:rPr>
            </w:pPr>
            <w:r w:rsidRPr="004E523E">
              <w:t>No</w:t>
            </w:r>
          </w:p>
        </w:tc>
      </w:tr>
      <w:tr w:rsidR="00BB5CDC" w:rsidRPr="003E393C" w14:paraId="30F98B2E" w14:textId="096B8A66" w:rsidTr="00BC24DB">
        <w:trPr>
          <w:trHeight w:val="70"/>
          <w:jc w:val="center"/>
        </w:trPr>
        <w:tc>
          <w:tcPr>
            <w:tcW w:w="1456" w:type="dxa"/>
            <w:vAlign w:val="center"/>
          </w:tcPr>
          <w:p w14:paraId="4CAD679C" w14:textId="68D922D3" w:rsidR="00BB5CDC" w:rsidRPr="00D428B6" w:rsidRDefault="00CD1FDE" w:rsidP="00BB5CDC">
            <w:pPr>
              <w:spacing w:after="0"/>
              <w:jc w:val="center"/>
              <w:rPr>
                <w:i/>
                <w:szCs w:val="22"/>
              </w:rPr>
            </w:pPr>
            <w:del w:id="1033" w:author="Author">
              <w:r>
                <w:rPr>
                  <w:szCs w:val="22"/>
                </w:rPr>
                <w:delText>C</w:delText>
              </w:r>
            </w:del>
            <w:ins w:id="1034" w:author="Author">
              <w:r w:rsidR="00BB5CDC">
                <w:rPr>
                  <w:i/>
                  <w:szCs w:val="22"/>
                </w:rPr>
                <w:t>c</w:t>
              </w:r>
            </w:ins>
            <w:r w:rsidR="00BB5CDC" w:rsidRPr="00D428B6">
              <w:rPr>
                <w:i/>
                <w:szCs w:val="22"/>
              </w:rPr>
              <w:t>apacity storage resources</w:t>
            </w:r>
          </w:p>
        </w:tc>
        <w:tc>
          <w:tcPr>
            <w:tcW w:w="1352" w:type="dxa"/>
            <w:vAlign w:val="center"/>
          </w:tcPr>
          <w:p w14:paraId="336C9A6C" w14:textId="77777777" w:rsidR="00BB5CDC" w:rsidRPr="003E393C" w:rsidRDefault="00BB5CDC" w:rsidP="00BB5CDC">
            <w:pPr>
              <w:spacing w:after="0"/>
              <w:jc w:val="center"/>
              <w:rPr>
                <w:szCs w:val="22"/>
              </w:rPr>
            </w:pPr>
            <w:r>
              <w:rPr>
                <w:szCs w:val="22"/>
              </w:rPr>
              <w:t>Yes</w:t>
            </w:r>
          </w:p>
        </w:tc>
        <w:tc>
          <w:tcPr>
            <w:tcW w:w="1867" w:type="dxa"/>
            <w:vAlign w:val="center"/>
          </w:tcPr>
          <w:p w14:paraId="686CF766" w14:textId="77777777" w:rsidR="00BB5CDC" w:rsidRPr="003E393C" w:rsidRDefault="00BB5CDC" w:rsidP="00BB5CDC">
            <w:pPr>
              <w:spacing w:after="0"/>
              <w:jc w:val="center"/>
              <w:rPr>
                <w:szCs w:val="22"/>
              </w:rPr>
            </w:pPr>
            <w:r>
              <w:rPr>
                <w:szCs w:val="22"/>
              </w:rPr>
              <w:t>No</w:t>
            </w:r>
          </w:p>
        </w:tc>
        <w:tc>
          <w:tcPr>
            <w:tcW w:w="1350" w:type="dxa"/>
            <w:vAlign w:val="center"/>
          </w:tcPr>
          <w:p w14:paraId="3D64DF73" w14:textId="6BA07628" w:rsidR="00BB5CDC" w:rsidRDefault="00BB5CDC" w:rsidP="00BB5CDC">
            <w:pPr>
              <w:spacing w:after="0"/>
              <w:jc w:val="center"/>
              <w:rPr>
                <w:szCs w:val="22"/>
              </w:rPr>
            </w:pPr>
            <w:r>
              <w:rPr>
                <w:szCs w:val="22"/>
              </w:rPr>
              <w:t>Yes</w:t>
            </w:r>
          </w:p>
        </w:tc>
        <w:tc>
          <w:tcPr>
            <w:tcW w:w="1350" w:type="dxa"/>
            <w:vAlign w:val="center"/>
          </w:tcPr>
          <w:p w14:paraId="375BFFE9" w14:textId="612AAE12" w:rsidR="00BB5CDC" w:rsidRPr="003E393C" w:rsidRDefault="00BB5CDC" w:rsidP="00BB5CDC">
            <w:pPr>
              <w:spacing w:after="0"/>
              <w:jc w:val="center"/>
              <w:rPr>
                <w:szCs w:val="22"/>
              </w:rPr>
            </w:pPr>
            <w:r>
              <w:rPr>
                <w:szCs w:val="22"/>
              </w:rPr>
              <w:t>Yes</w:t>
            </w:r>
          </w:p>
        </w:tc>
        <w:tc>
          <w:tcPr>
            <w:tcW w:w="1440" w:type="dxa"/>
            <w:vAlign w:val="center"/>
          </w:tcPr>
          <w:p w14:paraId="16AE6067" w14:textId="556D21FF" w:rsidR="00BB5CDC" w:rsidRDefault="00BB5CDC" w:rsidP="00BB5CDC">
            <w:pPr>
              <w:spacing w:after="0"/>
              <w:jc w:val="center"/>
              <w:rPr>
                <w:szCs w:val="22"/>
              </w:rPr>
            </w:pPr>
            <w:r>
              <w:rPr>
                <w:szCs w:val="22"/>
              </w:rPr>
              <w:t>Yes</w:t>
            </w:r>
          </w:p>
        </w:tc>
        <w:tc>
          <w:tcPr>
            <w:tcW w:w="1620" w:type="dxa"/>
            <w:vAlign w:val="center"/>
          </w:tcPr>
          <w:p w14:paraId="5F757126" w14:textId="0A91CE92" w:rsidR="00BB5CDC" w:rsidRPr="00BB5CDC" w:rsidRDefault="00BB5CDC" w:rsidP="00BB5CDC">
            <w:pPr>
              <w:spacing w:after="0"/>
              <w:jc w:val="center"/>
              <w:rPr>
                <w:szCs w:val="22"/>
              </w:rPr>
            </w:pPr>
            <w:r w:rsidRPr="00BB5CDC">
              <w:rPr>
                <w:szCs w:val="22"/>
              </w:rPr>
              <w:t>No</w:t>
            </w:r>
          </w:p>
        </w:tc>
        <w:tc>
          <w:tcPr>
            <w:tcW w:w="1080" w:type="dxa"/>
            <w:vAlign w:val="center"/>
          </w:tcPr>
          <w:p w14:paraId="3782A109" w14:textId="4CC9FA5E" w:rsidR="00BB5CDC" w:rsidRPr="00BC24DB" w:rsidRDefault="00BB5CDC" w:rsidP="00BB5CDC">
            <w:pPr>
              <w:spacing w:after="0" w:line="259" w:lineRule="auto"/>
              <w:jc w:val="center"/>
              <w:rPr>
                <w:szCs w:val="22"/>
              </w:rPr>
            </w:pPr>
            <w:r w:rsidRPr="00BC24DB">
              <w:t>No</w:t>
            </w:r>
          </w:p>
        </w:tc>
        <w:tc>
          <w:tcPr>
            <w:tcW w:w="1080" w:type="dxa"/>
            <w:vAlign w:val="center"/>
          </w:tcPr>
          <w:p w14:paraId="2968B521" w14:textId="77777777" w:rsidR="00BB5CDC" w:rsidRPr="00BB5CDC" w:rsidRDefault="00BB5CDC" w:rsidP="00BB5CDC">
            <w:pPr>
              <w:spacing w:after="0"/>
              <w:jc w:val="center"/>
              <w:rPr>
                <w:szCs w:val="22"/>
              </w:rPr>
            </w:pPr>
            <w:r w:rsidRPr="00BB5CDC">
              <w:rPr>
                <w:szCs w:val="22"/>
              </w:rPr>
              <w:t xml:space="preserve">Yes </w:t>
            </w:r>
          </w:p>
        </w:tc>
        <w:tc>
          <w:tcPr>
            <w:tcW w:w="1080" w:type="dxa"/>
            <w:vAlign w:val="center"/>
          </w:tcPr>
          <w:p w14:paraId="06DAB984" w14:textId="4B00800E" w:rsidR="00BB5CDC" w:rsidRPr="003E393C" w:rsidRDefault="00BB5CDC" w:rsidP="00BB5CDC">
            <w:pPr>
              <w:spacing w:after="0"/>
              <w:jc w:val="center"/>
              <w:rPr>
                <w:szCs w:val="22"/>
              </w:rPr>
            </w:pPr>
            <w:r w:rsidRPr="004D3CEF">
              <w:t>No</w:t>
            </w:r>
          </w:p>
        </w:tc>
        <w:tc>
          <w:tcPr>
            <w:tcW w:w="1260" w:type="dxa"/>
            <w:vAlign w:val="center"/>
          </w:tcPr>
          <w:p w14:paraId="7DA91815" w14:textId="7E589E07" w:rsidR="00BB5CDC" w:rsidRPr="003E393C" w:rsidRDefault="00BB5CDC" w:rsidP="00BB5CDC">
            <w:pPr>
              <w:spacing w:after="0"/>
              <w:jc w:val="center"/>
              <w:rPr>
                <w:szCs w:val="22"/>
              </w:rPr>
            </w:pPr>
            <w:r w:rsidRPr="004E523E">
              <w:t>No</w:t>
            </w:r>
          </w:p>
        </w:tc>
      </w:tr>
      <w:tr w:rsidR="00BB5CDC" w:rsidRPr="003E393C" w14:paraId="22865984" w14:textId="5B0DE433" w:rsidTr="00BC24DB">
        <w:trPr>
          <w:trHeight w:val="440"/>
          <w:jc w:val="center"/>
        </w:trPr>
        <w:tc>
          <w:tcPr>
            <w:tcW w:w="1456" w:type="dxa"/>
            <w:vAlign w:val="center"/>
          </w:tcPr>
          <w:p w14:paraId="705D3588" w14:textId="6D19E4B3" w:rsidR="00BB5CDC" w:rsidRDefault="00CD1FDE" w:rsidP="00BB5CDC">
            <w:pPr>
              <w:spacing w:after="0"/>
              <w:jc w:val="center"/>
            </w:pPr>
            <w:del w:id="1035" w:author="Author">
              <w:r>
                <w:rPr>
                  <w:szCs w:val="22"/>
                </w:rPr>
                <w:delText>Capacity imports</w:delText>
              </w:r>
            </w:del>
            <w:ins w:id="1036" w:author="Author">
              <w:r w:rsidR="00BB5CDC">
                <w:rPr>
                  <w:i/>
                </w:rPr>
                <w:t xml:space="preserve">system-backed </w:t>
              </w:r>
              <w:r w:rsidR="00BB5CDC" w:rsidRPr="00BC24DB">
                <w:rPr>
                  <w:i/>
                </w:rPr>
                <w:t>capacity</w:t>
              </w:r>
              <w:r w:rsidR="00BB5CDC">
                <w:t xml:space="preserve"> </w:t>
              </w:r>
              <w:r w:rsidR="00BB5CDC" w:rsidRPr="005E193C">
                <w:rPr>
                  <w:i/>
                </w:rPr>
                <w:t>import</w:t>
              </w:r>
              <w:r w:rsidR="00BB5CDC">
                <w:t xml:space="preserve"> </w:t>
              </w:r>
              <w:r w:rsidR="00BB5CDC">
                <w:rPr>
                  <w:i/>
                </w:rPr>
                <w:t>resources</w:t>
              </w:r>
            </w:ins>
          </w:p>
        </w:tc>
        <w:tc>
          <w:tcPr>
            <w:tcW w:w="1352" w:type="dxa"/>
            <w:vAlign w:val="center"/>
          </w:tcPr>
          <w:p w14:paraId="42DB89BC" w14:textId="77777777" w:rsidR="00BB5CDC" w:rsidRDefault="00BB5CDC" w:rsidP="00BB5CDC">
            <w:pPr>
              <w:spacing w:after="0"/>
              <w:jc w:val="center"/>
              <w:rPr>
                <w:szCs w:val="22"/>
              </w:rPr>
            </w:pPr>
            <w:r>
              <w:rPr>
                <w:szCs w:val="22"/>
              </w:rPr>
              <w:t>Yes</w:t>
            </w:r>
          </w:p>
        </w:tc>
        <w:tc>
          <w:tcPr>
            <w:tcW w:w="1867" w:type="dxa"/>
            <w:vAlign w:val="center"/>
          </w:tcPr>
          <w:p w14:paraId="7B3FB75A" w14:textId="77777777" w:rsidR="00BB5CDC" w:rsidRDefault="00BB5CDC" w:rsidP="00BB5CDC">
            <w:pPr>
              <w:spacing w:after="0"/>
              <w:jc w:val="center"/>
              <w:rPr>
                <w:szCs w:val="22"/>
              </w:rPr>
            </w:pPr>
            <w:r>
              <w:rPr>
                <w:szCs w:val="22"/>
              </w:rPr>
              <w:t>No</w:t>
            </w:r>
          </w:p>
        </w:tc>
        <w:tc>
          <w:tcPr>
            <w:tcW w:w="1350" w:type="dxa"/>
          </w:tcPr>
          <w:p w14:paraId="67AB0A0F" w14:textId="77777777" w:rsidR="00BB5CDC" w:rsidRDefault="00BB5CDC" w:rsidP="00BB5CDC">
            <w:pPr>
              <w:spacing w:after="0"/>
              <w:jc w:val="center"/>
              <w:rPr>
                <w:ins w:id="1037" w:author="Author"/>
                <w:szCs w:val="22"/>
              </w:rPr>
            </w:pPr>
          </w:p>
          <w:p w14:paraId="3BB1D7D0" w14:textId="77777777" w:rsidR="00BB5CDC" w:rsidRDefault="00BB5CDC" w:rsidP="00BB5CDC">
            <w:pPr>
              <w:spacing w:after="0"/>
              <w:jc w:val="center"/>
              <w:rPr>
                <w:ins w:id="1038" w:author="Author"/>
                <w:szCs w:val="22"/>
              </w:rPr>
            </w:pPr>
          </w:p>
          <w:p w14:paraId="7B8A459C" w14:textId="1921AB35" w:rsidR="00BB5CDC" w:rsidRDefault="00BB5CDC" w:rsidP="00BB5CDC">
            <w:pPr>
              <w:spacing w:after="0"/>
              <w:jc w:val="center"/>
              <w:rPr>
                <w:szCs w:val="22"/>
              </w:rPr>
            </w:pPr>
            <w:r>
              <w:rPr>
                <w:szCs w:val="22"/>
              </w:rPr>
              <w:t>Yes</w:t>
            </w:r>
          </w:p>
        </w:tc>
        <w:tc>
          <w:tcPr>
            <w:tcW w:w="1350" w:type="dxa"/>
            <w:vAlign w:val="center"/>
          </w:tcPr>
          <w:p w14:paraId="5669F187" w14:textId="61DD22BB" w:rsidR="00BB5CDC" w:rsidRDefault="00BB5CDC" w:rsidP="00BB5CDC">
            <w:pPr>
              <w:spacing w:after="0"/>
              <w:jc w:val="center"/>
              <w:rPr>
                <w:szCs w:val="22"/>
              </w:rPr>
            </w:pPr>
            <w:r>
              <w:rPr>
                <w:szCs w:val="22"/>
              </w:rPr>
              <w:t>Yes</w:t>
            </w:r>
          </w:p>
        </w:tc>
        <w:tc>
          <w:tcPr>
            <w:tcW w:w="1440" w:type="dxa"/>
            <w:vAlign w:val="center"/>
          </w:tcPr>
          <w:p w14:paraId="4542CDA6" w14:textId="24FA6150" w:rsidR="00BB5CDC" w:rsidRDefault="00BB5CDC" w:rsidP="00BB5CDC">
            <w:pPr>
              <w:spacing w:after="0"/>
              <w:jc w:val="center"/>
              <w:rPr>
                <w:szCs w:val="22"/>
              </w:rPr>
            </w:pPr>
            <w:r>
              <w:rPr>
                <w:szCs w:val="22"/>
              </w:rPr>
              <w:t>Yes</w:t>
            </w:r>
          </w:p>
        </w:tc>
        <w:tc>
          <w:tcPr>
            <w:tcW w:w="1620" w:type="dxa"/>
            <w:vAlign w:val="center"/>
          </w:tcPr>
          <w:p w14:paraId="3963AF5F" w14:textId="6B98A0A0" w:rsidR="00BB5CDC" w:rsidRPr="00BB5CDC" w:rsidRDefault="00BB5CDC" w:rsidP="00BB5CDC">
            <w:pPr>
              <w:spacing w:after="0" w:line="259" w:lineRule="auto"/>
              <w:jc w:val="center"/>
            </w:pPr>
            <w:r w:rsidRPr="00BC24DB">
              <w:t>No</w:t>
            </w:r>
          </w:p>
        </w:tc>
        <w:tc>
          <w:tcPr>
            <w:tcW w:w="1080" w:type="dxa"/>
            <w:vAlign w:val="center"/>
          </w:tcPr>
          <w:p w14:paraId="404B957F" w14:textId="73DE60A2" w:rsidR="00BB5CDC" w:rsidRPr="00BC24DB" w:rsidRDefault="00BB5CDC" w:rsidP="00BB5CDC">
            <w:pPr>
              <w:spacing w:after="0" w:line="259" w:lineRule="auto"/>
              <w:jc w:val="center"/>
              <w:rPr>
                <w:szCs w:val="22"/>
              </w:rPr>
            </w:pPr>
            <w:r w:rsidRPr="00BC24DB">
              <w:t>No</w:t>
            </w:r>
          </w:p>
        </w:tc>
        <w:tc>
          <w:tcPr>
            <w:tcW w:w="1080" w:type="dxa"/>
            <w:vAlign w:val="center"/>
          </w:tcPr>
          <w:p w14:paraId="2EB2F5A4" w14:textId="38B85D9C" w:rsidR="00BB5CDC" w:rsidRPr="00BB5CDC" w:rsidRDefault="00BB5CDC" w:rsidP="00BB5CDC">
            <w:pPr>
              <w:spacing w:after="0" w:line="259" w:lineRule="auto"/>
              <w:jc w:val="center"/>
              <w:rPr>
                <w:szCs w:val="22"/>
              </w:rPr>
            </w:pPr>
            <w:r w:rsidRPr="00BB5CDC">
              <w:t xml:space="preserve">Yes </w:t>
            </w:r>
          </w:p>
        </w:tc>
        <w:tc>
          <w:tcPr>
            <w:tcW w:w="1080" w:type="dxa"/>
            <w:vAlign w:val="center"/>
          </w:tcPr>
          <w:p w14:paraId="2E78DB3C" w14:textId="6D3D673C" w:rsidR="00BB5CDC" w:rsidRPr="00BB5CDC" w:rsidRDefault="00BB5CDC" w:rsidP="00BB5CDC">
            <w:pPr>
              <w:spacing w:after="0" w:line="259" w:lineRule="auto"/>
              <w:jc w:val="center"/>
              <w:rPr>
                <w:highlight w:val="yellow"/>
              </w:rPr>
            </w:pPr>
            <w:r w:rsidRPr="004D3CEF">
              <w:t>No</w:t>
            </w:r>
          </w:p>
        </w:tc>
        <w:tc>
          <w:tcPr>
            <w:tcW w:w="1260" w:type="dxa"/>
            <w:vAlign w:val="center"/>
          </w:tcPr>
          <w:p w14:paraId="3EF85B0F" w14:textId="28B37765" w:rsidR="00BB5CDC" w:rsidRPr="00BB5CDC" w:rsidRDefault="00BB5CDC" w:rsidP="00BB5CDC">
            <w:pPr>
              <w:spacing w:after="0" w:line="259" w:lineRule="auto"/>
              <w:jc w:val="center"/>
              <w:rPr>
                <w:highlight w:val="yellow"/>
              </w:rPr>
            </w:pPr>
            <w:r w:rsidRPr="004E523E">
              <w:t>No</w:t>
            </w:r>
          </w:p>
        </w:tc>
      </w:tr>
      <w:tr w:rsidR="00BB5CDC" w:rsidRPr="003E393C" w14:paraId="49CF9D7E" w14:textId="58CA22D1" w:rsidTr="00BC24DB">
        <w:trPr>
          <w:trHeight w:val="440"/>
          <w:jc w:val="center"/>
          <w:ins w:id="1039" w:author="Author"/>
        </w:trPr>
        <w:tc>
          <w:tcPr>
            <w:tcW w:w="1456" w:type="dxa"/>
          </w:tcPr>
          <w:p w14:paraId="00F4EE70" w14:textId="4169A94F" w:rsidR="00BB5CDC" w:rsidRDefault="00BB5CDC" w:rsidP="005E193C">
            <w:pPr>
              <w:spacing w:after="0"/>
              <w:jc w:val="center"/>
              <w:rPr>
                <w:ins w:id="1040" w:author="Author"/>
                <w:i/>
              </w:rPr>
            </w:pPr>
            <w:ins w:id="1041" w:author="Author">
              <w:r w:rsidRPr="005E193C">
                <w:rPr>
                  <w:i/>
                  <w:szCs w:val="22"/>
                </w:rPr>
                <w:t>generator</w:t>
              </w:r>
              <w:r w:rsidRPr="005E193C">
                <w:rPr>
                  <w:i/>
                </w:rPr>
                <w:t>-</w:t>
              </w:r>
              <w:r>
                <w:rPr>
                  <w:i/>
                </w:rPr>
                <w:t>backed capacity import resources</w:t>
              </w:r>
            </w:ins>
          </w:p>
        </w:tc>
        <w:tc>
          <w:tcPr>
            <w:tcW w:w="1352" w:type="dxa"/>
          </w:tcPr>
          <w:p w14:paraId="0BCCEE8B" w14:textId="77777777" w:rsidR="00BB5CDC" w:rsidRDefault="00BB5CDC" w:rsidP="005E193C">
            <w:pPr>
              <w:spacing w:after="0"/>
              <w:jc w:val="center"/>
              <w:rPr>
                <w:ins w:id="1042" w:author="Author"/>
                <w:szCs w:val="22"/>
              </w:rPr>
            </w:pPr>
          </w:p>
          <w:p w14:paraId="4FE80683" w14:textId="77777777" w:rsidR="00BB5CDC" w:rsidRDefault="00BB5CDC" w:rsidP="005E193C">
            <w:pPr>
              <w:spacing w:after="0"/>
              <w:jc w:val="center"/>
              <w:rPr>
                <w:ins w:id="1043" w:author="Author"/>
                <w:szCs w:val="22"/>
              </w:rPr>
            </w:pPr>
          </w:p>
          <w:p w14:paraId="4F6BF516" w14:textId="134EBC64" w:rsidR="00BB5CDC" w:rsidRDefault="00BB5CDC" w:rsidP="005E193C">
            <w:pPr>
              <w:spacing w:after="0"/>
              <w:jc w:val="center"/>
              <w:rPr>
                <w:ins w:id="1044" w:author="Author"/>
                <w:szCs w:val="22"/>
              </w:rPr>
            </w:pPr>
            <w:ins w:id="1045" w:author="Author">
              <w:r>
                <w:rPr>
                  <w:szCs w:val="22"/>
                </w:rPr>
                <w:t>Yes</w:t>
              </w:r>
            </w:ins>
          </w:p>
        </w:tc>
        <w:tc>
          <w:tcPr>
            <w:tcW w:w="1867" w:type="dxa"/>
          </w:tcPr>
          <w:p w14:paraId="4E9DF1EA" w14:textId="77777777" w:rsidR="00BB5CDC" w:rsidRDefault="00BB5CDC" w:rsidP="005E193C">
            <w:pPr>
              <w:spacing w:after="0"/>
              <w:jc w:val="center"/>
              <w:rPr>
                <w:ins w:id="1046" w:author="Author"/>
                <w:szCs w:val="22"/>
              </w:rPr>
            </w:pPr>
          </w:p>
          <w:p w14:paraId="1C567095" w14:textId="77777777" w:rsidR="00BB5CDC" w:rsidRDefault="00BB5CDC" w:rsidP="005E193C">
            <w:pPr>
              <w:spacing w:after="0"/>
              <w:jc w:val="center"/>
              <w:rPr>
                <w:ins w:id="1047" w:author="Author"/>
                <w:szCs w:val="22"/>
              </w:rPr>
            </w:pPr>
          </w:p>
          <w:p w14:paraId="7BA621E2" w14:textId="3B29BE0D" w:rsidR="00BB5CDC" w:rsidRDefault="00BB5CDC" w:rsidP="005E193C">
            <w:pPr>
              <w:spacing w:after="0"/>
              <w:jc w:val="center"/>
              <w:rPr>
                <w:ins w:id="1048" w:author="Author"/>
                <w:szCs w:val="22"/>
              </w:rPr>
            </w:pPr>
            <w:ins w:id="1049" w:author="Author">
              <w:r>
                <w:rPr>
                  <w:szCs w:val="22"/>
                </w:rPr>
                <w:t>No</w:t>
              </w:r>
            </w:ins>
          </w:p>
        </w:tc>
        <w:tc>
          <w:tcPr>
            <w:tcW w:w="1350" w:type="dxa"/>
          </w:tcPr>
          <w:p w14:paraId="4B6CBBDC" w14:textId="77777777" w:rsidR="00BB5CDC" w:rsidRDefault="00BB5CDC" w:rsidP="005E193C">
            <w:pPr>
              <w:spacing w:after="0"/>
              <w:jc w:val="center"/>
              <w:rPr>
                <w:ins w:id="1050" w:author="Author"/>
                <w:szCs w:val="22"/>
              </w:rPr>
            </w:pPr>
          </w:p>
          <w:p w14:paraId="256FB72C" w14:textId="77777777" w:rsidR="00BB5CDC" w:rsidRDefault="00BB5CDC" w:rsidP="005E193C">
            <w:pPr>
              <w:spacing w:after="0"/>
              <w:jc w:val="center"/>
              <w:rPr>
                <w:ins w:id="1051" w:author="Author"/>
                <w:szCs w:val="22"/>
              </w:rPr>
            </w:pPr>
          </w:p>
          <w:p w14:paraId="2F6EDF0D" w14:textId="49D2DB11" w:rsidR="00BB5CDC" w:rsidRDefault="00BB5CDC" w:rsidP="005E193C">
            <w:pPr>
              <w:spacing w:after="0"/>
              <w:jc w:val="center"/>
              <w:rPr>
                <w:ins w:id="1052" w:author="Author"/>
                <w:szCs w:val="22"/>
              </w:rPr>
            </w:pPr>
            <w:ins w:id="1053" w:author="Author">
              <w:r>
                <w:rPr>
                  <w:szCs w:val="22"/>
                </w:rPr>
                <w:t>Yes</w:t>
              </w:r>
            </w:ins>
          </w:p>
        </w:tc>
        <w:tc>
          <w:tcPr>
            <w:tcW w:w="1350" w:type="dxa"/>
          </w:tcPr>
          <w:p w14:paraId="392AEAFA" w14:textId="77777777" w:rsidR="00BB5CDC" w:rsidRDefault="00BB5CDC" w:rsidP="005E193C">
            <w:pPr>
              <w:spacing w:after="0"/>
              <w:jc w:val="center"/>
              <w:rPr>
                <w:ins w:id="1054" w:author="Author"/>
                <w:szCs w:val="22"/>
              </w:rPr>
            </w:pPr>
          </w:p>
          <w:p w14:paraId="3E853D74" w14:textId="77777777" w:rsidR="00BB5CDC" w:rsidRDefault="00BB5CDC" w:rsidP="005E193C">
            <w:pPr>
              <w:spacing w:after="0"/>
              <w:jc w:val="center"/>
              <w:rPr>
                <w:ins w:id="1055" w:author="Author"/>
                <w:szCs w:val="22"/>
              </w:rPr>
            </w:pPr>
          </w:p>
          <w:p w14:paraId="4B6FCA9E" w14:textId="189373AB" w:rsidR="00BB5CDC" w:rsidRDefault="00BB5CDC" w:rsidP="005E193C">
            <w:pPr>
              <w:spacing w:after="0"/>
              <w:jc w:val="center"/>
              <w:rPr>
                <w:ins w:id="1056" w:author="Author"/>
                <w:szCs w:val="22"/>
              </w:rPr>
            </w:pPr>
            <w:ins w:id="1057" w:author="Author">
              <w:r>
                <w:rPr>
                  <w:szCs w:val="22"/>
                </w:rPr>
                <w:t>Yes</w:t>
              </w:r>
            </w:ins>
          </w:p>
        </w:tc>
        <w:tc>
          <w:tcPr>
            <w:tcW w:w="1440" w:type="dxa"/>
          </w:tcPr>
          <w:p w14:paraId="6BC92981" w14:textId="77777777" w:rsidR="00BB5CDC" w:rsidRDefault="00BB5CDC" w:rsidP="005E193C">
            <w:pPr>
              <w:spacing w:after="0"/>
              <w:jc w:val="center"/>
              <w:rPr>
                <w:ins w:id="1058" w:author="Author"/>
                <w:szCs w:val="22"/>
              </w:rPr>
            </w:pPr>
          </w:p>
          <w:p w14:paraId="1F4A3785" w14:textId="77777777" w:rsidR="00BB5CDC" w:rsidRDefault="00BB5CDC" w:rsidP="005E193C">
            <w:pPr>
              <w:spacing w:after="0"/>
              <w:jc w:val="center"/>
              <w:rPr>
                <w:ins w:id="1059" w:author="Author"/>
                <w:szCs w:val="22"/>
              </w:rPr>
            </w:pPr>
          </w:p>
          <w:p w14:paraId="1ABCE186" w14:textId="7D40B451" w:rsidR="00BB5CDC" w:rsidRDefault="00BB5CDC" w:rsidP="005E193C">
            <w:pPr>
              <w:spacing w:after="0"/>
              <w:jc w:val="center"/>
              <w:rPr>
                <w:ins w:id="1060" w:author="Author"/>
                <w:szCs w:val="22"/>
              </w:rPr>
            </w:pPr>
            <w:ins w:id="1061" w:author="Author">
              <w:r>
                <w:rPr>
                  <w:szCs w:val="22"/>
                </w:rPr>
                <w:t>Yes</w:t>
              </w:r>
            </w:ins>
          </w:p>
        </w:tc>
        <w:tc>
          <w:tcPr>
            <w:tcW w:w="1620" w:type="dxa"/>
          </w:tcPr>
          <w:p w14:paraId="365280CF" w14:textId="77777777" w:rsidR="00BB5CDC" w:rsidRPr="00BB5CDC" w:rsidRDefault="00BB5CDC" w:rsidP="005E193C">
            <w:pPr>
              <w:spacing w:after="0"/>
              <w:jc w:val="center"/>
              <w:rPr>
                <w:ins w:id="1062" w:author="Author"/>
                <w:szCs w:val="22"/>
              </w:rPr>
            </w:pPr>
          </w:p>
          <w:p w14:paraId="162468EF" w14:textId="77777777" w:rsidR="00BB5CDC" w:rsidRPr="00BB5CDC" w:rsidRDefault="00BB5CDC" w:rsidP="005E193C">
            <w:pPr>
              <w:spacing w:after="0"/>
              <w:jc w:val="center"/>
              <w:rPr>
                <w:ins w:id="1063" w:author="Author"/>
                <w:szCs w:val="22"/>
              </w:rPr>
            </w:pPr>
          </w:p>
          <w:p w14:paraId="5B248827" w14:textId="0DDA433D" w:rsidR="00BB5CDC" w:rsidRPr="00BB5CDC" w:rsidRDefault="00BB5CDC" w:rsidP="005E193C">
            <w:pPr>
              <w:spacing w:after="0"/>
              <w:jc w:val="center"/>
              <w:rPr>
                <w:ins w:id="1064" w:author="Author"/>
              </w:rPr>
            </w:pPr>
            <w:ins w:id="1065" w:author="Author">
              <w:r w:rsidRPr="00BB5CDC">
                <w:rPr>
                  <w:szCs w:val="22"/>
                </w:rPr>
                <w:t>Yes</w:t>
              </w:r>
            </w:ins>
          </w:p>
        </w:tc>
        <w:tc>
          <w:tcPr>
            <w:tcW w:w="1080" w:type="dxa"/>
          </w:tcPr>
          <w:p w14:paraId="0952274C" w14:textId="77777777" w:rsidR="00BB5CDC" w:rsidRPr="00BB5CDC" w:rsidRDefault="00BB5CDC" w:rsidP="005E193C">
            <w:pPr>
              <w:spacing w:after="0"/>
              <w:jc w:val="center"/>
              <w:rPr>
                <w:ins w:id="1066" w:author="Author"/>
                <w:szCs w:val="22"/>
              </w:rPr>
            </w:pPr>
          </w:p>
          <w:p w14:paraId="2FBA4190" w14:textId="77777777" w:rsidR="00BB5CDC" w:rsidRPr="00BB5CDC" w:rsidRDefault="00BB5CDC" w:rsidP="005E193C">
            <w:pPr>
              <w:spacing w:after="0"/>
              <w:jc w:val="center"/>
              <w:rPr>
                <w:ins w:id="1067" w:author="Author"/>
                <w:szCs w:val="22"/>
              </w:rPr>
            </w:pPr>
          </w:p>
          <w:p w14:paraId="23881C08" w14:textId="2CFDDA9E" w:rsidR="00BB5CDC" w:rsidRPr="00BC24DB" w:rsidRDefault="00BB5CDC" w:rsidP="00D554B6">
            <w:pPr>
              <w:spacing w:after="0" w:line="259" w:lineRule="auto"/>
              <w:jc w:val="center"/>
              <w:rPr>
                <w:ins w:id="1068" w:author="Author"/>
                <w:szCs w:val="22"/>
              </w:rPr>
            </w:pPr>
            <w:ins w:id="1069" w:author="Author">
              <w:r w:rsidRPr="00BC24DB">
                <w:t>No</w:t>
              </w:r>
            </w:ins>
          </w:p>
        </w:tc>
        <w:tc>
          <w:tcPr>
            <w:tcW w:w="1080" w:type="dxa"/>
          </w:tcPr>
          <w:p w14:paraId="0A59C8EB" w14:textId="77777777" w:rsidR="00BB5CDC" w:rsidRPr="00BB5CDC" w:rsidRDefault="00BB5CDC" w:rsidP="005E193C">
            <w:pPr>
              <w:spacing w:after="0"/>
              <w:jc w:val="center"/>
              <w:rPr>
                <w:ins w:id="1070" w:author="Author"/>
                <w:szCs w:val="22"/>
              </w:rPr>
            </w:pPr>
          </w:p>
          <w:p w14:paraId="317D849D" w14:textId="77777777" w:rsidR="00BB5CDC" w:rsidRPr="00BB5CDC" w:rsidRDefault="00BB5CDC" w:rsidP="005E193C">
            <w:pPr>
              <w:spacing w:after="0"/>
              <w:jc w:val="center"/>
              <w:rPr>
                <w:ins w:id="1071" w:author="Author"/>
                <w:szCs w:val="22"/>
              </w:rPr>
            </w:pPr>
          </w:p>
          <w:p w14:paraId="37A82CE8" w14:textId="216BD8D2" w:rsidR="00BB5CDC" w:rsidRPr="00BB5CDC" w:rsidRDefault="00BB5CDC" w:rsidP="005E193C">
            <w:pPr>
              <w:spacing w:after="0"/>
              <w:jc w:val="center"/>
              <w:rPr>
                <w:ins w:id="1072" w:author="Author"/>
              </w:rPr>
            </w:pPr>
            <w:ins w:id="1073" w:author="Author">
              <w:r w:rsidRPr="00BB5CDC">
                <w:rPr>
                  <w:szCs w:val="22"/>
                </w:rPr>
                <w:t xml:space="preserve">Yes </w:t>
              </w:r>
            </w:ins>
          </w:p>
        </w:tc>
        <w:tc>
          <w:tcPr>
            <w:tcW w:w="1080" w:type="dxa"/>
            <w:vAlign w:val="center"/>
          </w:tcPr>
          <w:p w14:paraId="4832F3AF" w14:textId="76EB9F55" w:rsidR="00BB5CDC" w:rsidRDefault="00BB5CDC" w:rsidP="00BB5CDC">
            <w:pPr>
              <w:spacing w:after="0"/>
              <w:jc w:val="center"/>
              <w:rPr>
                <w:ins w:id="1074" w:author="Author"/>
                <w:szCs w:val="22"/>
              </w:rPr>
            </w:pPr>
            <w:ins w:id="1075" w:author="Author">
              <w:r>
                <w:rPr>
                  <w:szCs w:val="22"/>
                </w:rPr>
                <w:t>Yes</w:t>
              </w:r>
            </w:ins>
          </w:p>
        </w:tc>
        <w:tc>
          <w:tcPr>
            <w:tcW w:w="1260" w:type="dxa"/>
            <w:vAlign w:val="center"/>
          </w:tcPr>
          <w:p w14:paraId="5DA699FE" w14:textId="2AD98945" w:rsidR="00BB5CDC" w:rsidRDefault="00BB5CDC" w:rsidP="00BB5CDC">
            <w:pPr>
              <w:spacing w:after="0"/>
              <w:jc w:val="center"/>
              <w:rPr>
                <w:ins w:id="1076" w:author="Author"/>
                <w:szCs w:val="22"/>
              </w:rPr>
            </w:pPr>
            <w:ins w:id="1077" w:author="Author">
              <w:r>
                <w:rPr>
                  <w:szCs w:val="22"/>
                </w:rPr>
                <w:t>Yes</w:t>
              </w:r>
            </w:ins>
          </w:p>
        </w:tc>
      </w:tr>
    </w:tbl>
    <w:p w14:paraId="15679506" w14:textId="77777777" w:rsidR="00CD1FDE" w:rsidRPr="00A71E1E" w:rsidRDefault="00CD1FDE" w:rsidP="00CD1FDE">
      <w:pPr>
        <w:spacing w:after="200" w:line="276" w:lineRule="auto"/>
        <w:rPr>
          <w:del w:id="1078" w:author="Author"/>
        </w:rPr>
      </w:pPr>
    </w:p>
    <w:p w14:paraId="5647D906" w14:textId="77777777" w:rsidR="005E193C" w:rsidRDefault="005E193C" w:rsidP="00CD1FDE">
      <w:pPr>
        <w:pStyle w:val="Heading5"/>
        <w:rPr>
          <w:ins w:id="1079" w:author="Author"/>
        </w:rPr>
        <w:sectPr w:rsidR="005E193C" w:rsidSect="005E193C">
          <w:pgSz w:w="15840" w:h="12240" w:orient="landscape" w:code="1"/>
          <w:pgMar w:top="1800" w:right="1440" w:bottom="1440" w:left="1440" w:header="720" w:footer="720" w:gutter="0"/>
          <w:pgNumType w:chapSep="enDash"/>
          <w:cols w:space="720"/>
          <w:docGrid w:linePitch="299"/>
        </w:sectPr>
      </w:pPr>
    </w:p>
    <w:p w14:paraId="7AFDD663" w14:textId="77777777" w:rsidR="00CD1FDE" w:rsidRPr="00A71E1E" w:rsidRDefault="00CD1FDE" w:rsidP="00CD1FDE">
      <w:pPr>
        <w:pStyle w:val="Heading5"/>
        <w:rPr>
          <w:b/>
        </w:rPr>
      </w:pPr>
      <w:r w:rsidRPr="00A71E1E">
        <w:rPr>
          <w:b/>
        </w:rPr>
        <w:t>1.6.26.3.1</w:t>
      </w:r>
      <w:r w:rsidRPr="00A71E1E">
        <w:rPr>
          <w:b/>
        </w:rPr>
        <w:tab/>
        <w:t>Hourly Demand Response (HDR) Baselines</w:t>
      </w:r>
    </w:p>
    <w:p w14:paraId="7716931D" w14:textId="7C59A644" w:rsidR="00CD1FDE" w:rsidRPr="00A71E1E" w:rsidRDefault="00CD1FDE" w:rsidP="00CD1FDE">
      <w:pPr>
        <w:spacing w:before="120"/>
      </w:pPr>
      <w:r w:rsidRPr="00A71E1E">
        <w:t xml:space="preserve">Due to how </w:t>
      </w:r>
      <w:r w:rsidRPr="00A410AE">
        <w:rPr>
          <w:i/>
        </w:rPr>
        <w:t>HDR resources</w:t>
      </w:r>
      <w:r w:rsidRPr="00A71E1E">
        <w:t xml:space="preserve"> participate and deliver into the </w:t>
      </w:r>
      <w:r w:rsidRPr="00A71E1E">
        <w:rPr>
          <w:i/>
        </w:rPr>
        <w:t>energy market</w:t>
      </w:r>
      <w:r w:rsidRPr="00A71E1E">
        <w:t xml:space="preserve">, baselines are required to determine </w:t>
      </w:r>
      <w:r w:rsidRPr="00A71E1E">
        <w:rPr>
          <w:i/>
        </w:rPr>
        <w:t>settlements</w:t>
      </w:r>
      <w:r w:rsidRPr="00A71E1E">
        <w:t xml:space="preserve"> for each </w:t>
      </w:r>
      <w:r w:rsidRPr="00A410AE">
        <w:rPr>
          <w:i/>
        </w:rPr>
        <w:t>HDR resource</w:t>
      </w:r>
      <w:r w:rsidRPr="00A71E1E">
        <w:t xml:space="preserve"> when they are activated to provide </w:t>
      </w:r>
      <w:r w:rsidRPr="00A71E1E">
        <w:rPr>
          <w:i/>
        </w:rPr>
        <w:t>demand</w:t>
      </w:r>
      <w:r w:rsidRPr="00A410AE">
        <w:t xml:space="preserve"> </w:t>
      </w:r>
      <w:r w:rsidRPr="00A71E1E">
        <w:rPr>
          <w:i/>
        </w:rPr>
        <w:t>response</w:t>
      </w:r>
      <w:r w:rsidRPr="00A71E1E">
        <w:t xml:space="preserve"> </w:t>
      </w:r>
      <w:r w:rsidRPr="00A71E1E">
        <w:rPr>
          <w:i/>
        </w:rPr>
        <w:t>capacity</w:t>
      </w:r>
      <w:r w:rsidRPr="00A71E1E">
        <w:t xml:space="preserve">.  A baseline is an approximation of a resource’s consumption profile that is used to estimate what the resource would have been consuming had an activation not taken place. For C&amp;I </w:t>
      </w:r>
      <w:r w:rsidRPr="00CD1FDE">
        <w:rPr>
          <w:i/>
        </w:rPr>
        <w:t>HDR resources</w:t>
      </w:r>
      <w:r w:rsidRPr="00A71E1E">
        <w:t xml:space="preserve">, it is calculated by using the measurement data from historical period that meet the criteria of suitable </w:t>
      </w:r>
      <w:r w:rsidRPr="00A71E1E">
        <w:rPr>
          <w:i/>
        </w:rPr>
        <w:t xml:space="preserve">business days </w:t>
      </w:r>
      <w:r w:rsidRPr="00A71E1E">
        <w:t>(refer to Standard Baseline: High 15 of 20 with in-day adjustment below). For residential HDRs, baselines are determined using measurement data from a set of residential contributors pre-selected as</w:t>
      </w:r>
      <w:r w:rsidR="005E193C">
        <w:t xml:space="preserve"> </w:t>
      </w:r>
      <w:r w:rsidRPr="00A71E1E">
        <w:t>part of the control group (refer to Market Manual, Part 12: Capacity Auctions for more details). For greater clarity, if the data is missing (i.e. measurement data was not submitted), we will assume that the consumption for the interval is zero (0) when calculating the baseline.  We will calculate baselines for each HDR resource for the hours in which there were activations.  Baselines are used in the assessment of capacity charges and dispatch charges.</w:t>
      </w:r>
    </w:p>
    <w:p w14:paraId="3816C92E" w14:textId="06B83D6C" w:rsidR="00CD1FDE" w:rsidRPr="00A71E1E" w:rsidRDefault="00CD1FDE" w:rsidP="00A410AE">
      <w:pPr>
        <w:keepNext/>
        <w:spacing w:before="240"/>
        <w:rPr>
          <w:b/>
          <w:u w:val="single"/>
        </w:rPr>
      </w:pPr>
      <w:r w:rsidRPr="00A71E1E">
        <w:rPr>
          <w:b/>
          <w:u w:val="single"/>
        </w:rPr>
        <w:t xml:space="preserve">Baseline Methodology </w:t>
      </w:r>
      <w:r>
        <w:rPr>
          <w:b/>
          <w:u w:val="single"/>
        </w:rPr>
        <w:t>for</w:t>
      </w:r>
      <w:r w:rsidRPr="00A71E1E">
        <w:rPr>
          <w:b/>
          <w:u w:val="single"/>
        </w:rPr>
        <w:t xml:space="preserve"> C&amp;I HDR</w:t>
      </w:r>
      <w:r>
        <w:rPr>
          <w:b/>
          <w:u w:val="single"/>
        </w:rPr>
        <w:t xml:space="preserve"> </w:t>
      </w:r>
      <w:r w:rsidR="005F4390">
        <w:rPr>
          <w:b/>
          <w:u w:val="single"/>
        </w:rPr>
        <w:t>R</w:t>
      </w:r>
      <w:r>
        <w:rPr>
          <w:b/>
          <w:u w:val="single"/>
        </w:rPr>
        <w:t>esource</w:t>
      </w:r>
      <w:r w:rsidRPr="00A71E1E">
        <w:rPr>
          <w:b/>
          <w:u w:val="single"/>
        </w:rPr>
        <w:t>s:</w:t>
      </w:r>
    </w:p>
    <w:p w14:paraId="5D30B71C" w14:textId="77777777" w:rsidR="00CD1FDE" w:rsidRPr="00A71E1E" w:rsidRDefault="00CD1FDE" w:rsidP="00A410AE">
      <w:pPr>
        <w:keepNext/>
        <w:spacing w:before="240"/>
        <w:rPr>
          <w:b/>
          <w:u w:val="single"/>
        </w:rPr>
      </w:pPr>
      <w:r w:rsidRPr="00A71E1E">
        <w:rPr>
          <w:b/>
          <w:u w:val="single"/>
        </w:rPr>
        <w:t>Suitable Business Days:</w:t>
      </w:r>
    </w:p>
    <w:p w14:paraId="30ED9F5D" w14:textId="77777777" w:rsidR="00CD1FDE" w:rsidRPr="00A71E1E" w:rsidRDefault="00CD1FDE" w:rsidP="00CD1FDE">
      <w:r w:rsidRPr="00A71E1E">
        <w:t xml:space="preserve">Suitable </w:t>
      </w:r>
      <w:r w:rsidRPr="00A71E1E">
        <w:rPr>
          <w:i/>
        </w:rPr>
        <w:t>business days</w:t>
      </w:r>
      <w:r w:rsidRPr="00A71E1E">
        <w:t xml:space="preserve"> are any </w:t>
      </w:r>
      <w:r w:rsidRPr="00A71E1E">
        <w:rPr>
          <w:i/>
        </w:rPr>
        <w:t>business days</w:t>
      </w:r>
      <w:r w:rsidRPr="00A71E1E">
        <w:t xml:space="preserve"> where a C&amp;I HDR resource:</w:t>
      </w:r>
    </w:p>
    <w:p w14:paraId="270785BC" w14:textId="77777777" w:rsidR="00CD1FDE" w:rsidRPr="00A71E1E" w:rsidRDefault="00CD1FDE" w:rsidP="00CD1FDE">
      <w:pPr>
        <w:pStyle w:val="ListParagraph"/>
        <w:numPr>
          <w:ilvl w:val="0"/>
          <w:numId w:val="118"/>
        </w:numPr>
        <w:spacing w:after="200" w:line="276" w:lineRule="auto"/>
      </w:pPr>
      <w:r w:rsidRPr="00A71E1E">
        <w:t xml:space="preserve">Has placed at least one </w:t>
      </w:r>
      <w:r w:rsidRPr="00A71E1E">
        <w:rPr>
          <w:i/>
        </w:rPr>
        <w:t>demand response energy bid</w:t>
      </w:r>
      <w:r w:rsidRPr="00A71E1E">
        <w:t xml:space="preserve"> (or “</w:t>
      </w:r>
      <w:r w:rsidRPr="00A410AE">
        <w:rPr>
          <w:i/>
        </w:rPr>
        <w:t>DR energy</w:t>
      </w:r>
      <w:r w:rsidRPr="00A71E1E">
        <w:t xml:space="preserve"> </w:t>
      </w:r>
      <w:r w:rsidRPr="00A71E1E">
        <w:rPr>
          <w:i/>
        </w:rPr>
        <w:t>bid</w:t>
      </w:r>
      <w:r w:rsidRPr="00A71E1E">
        <w:t xml:space="preserve">”) for at least one hour within the </w:t>
      </w:r>
      <w:r w:rsidRPr="00A410AE">
        <w:rPr>
          <w:i/>
        </w:rPr>
        <w:t>availability window</w:t>
      </w:r>
      <w:r w:rsidRPr="00A71E1E">
        <w:t xml:space="preserve"> for the day; and</w:t>
      </w:r>
    </w:p>
    <w:p w14:paraId="66A233B1" w14:textId="77777777" w:rsidR="00CD1FDE" w:rsidRPr="00A71E1E" w:rsidRDefault="00CD1FDE" w:rsidP="00CD1FDE">
      <w:pPr>
        <w:pStyle w:val="ListParagraph"/>
        <w:numPr>
          <w:ilvl w:val="0"/>
          <w:numId w:val="118"/>
        </w:numPr>
        <w:spacing w:after="200" w:line="276" w:lineRule="auto"/>
      </w:pPr>
      <w:r w:rsidRPr="00A71E1E">
        <w:t xml:space="preserve">Was not activated to provide </w:t>
      </w:r>
      <w:r w:rsidRPr="00A71E1E">
        <w:rPr>
          <w:i/>
        </w:rPr>
        <w:t>demand</w:t>
      </w:r>
      <w:r w:rsidRPr="00A71E1E">
        <w:t xml:space="preserve"> </w:t>
      </w:r>
      <w:r w:rsidRPr="00A71E1E">
        <w:rPr>
          <w:i/>
        </w:rPr>
        <w:t>response capacity</w:t>
      </w:r>
      <w:r w:rsidRPr="00A71E1E">
        <w:t>.</w:t>
      </w:r>
    </w:p>
    <w:p w14:paraId="77A6088E" w14:textId="77777777" w:rsidR="00CD1FDE" w:rsidRPr="00A71E1E" w:rsidRDefault="00CD1FDE" w:rsidP="00CD1FDE">
      <w:r w:rsidRPr="00A71E1E">
        <w:rPr>
          <w:i/>
        </w:rPr>
        <w:t>Business days</w:t>
      </w:r>
      <w:r w:rsidRPr="00A71E1E">
        <w:t xml:space="preserve"> prior to the C&amp;I HDR resource’s participation start date (in fulfilling a </w:t>
      </w:r>
      <w:r w:rsidRPr="00A71E1E">
        <w:rPr>
          <w:i/>
        </w:rPr>
        <w:t>capacity obligation</w:t>
      </w:r>
      <w:r w:rsidRPr="00A71E1E">
        <w:t xml:space="preserve">) shall be deemed as suitable </w:t>
      </w:r>
      <w:r w:rsidRPr="00A71E1E">
        <w:rPr>
          <w:i/>
        </w:rPr>
        <w:t>business days</w:t>
      </w:r>
      <w:r w:rsidRPr="00A71E1E">
        <w:t xml:space="preserve">, irrespective of the aforementioned definition of suitable </w:t>
      </w:r>
      <w:r w:rsidRPr="00A71E1E">
        <w:rPr>
          <w:i/>
        </w:rPr>
        <w:t>business days</w:t>
      </w:r>
      <w:r w:rsidRPr="00A71E1E">
        <w:t xml:space="preserve">.  For example, when settling the month of May and assuming the C&amp;I HDR resource was registered to participate as of May 1, then, all </w:t>
      </w:r>
      <w:r w:rsidRPr="00A71E1E">
        <w:rPr>
          <w:i/>
        </w:rPr>
        <w:t>business days</w:t>
      </w:r>
      <w:r w:rsidRPr="00A71E1E">
        <w:t xml:space="preserve"> in April will be deemed as suitable </w:t>
      </w:r>
      <w:r w:rsidRPr="00A71E1E">
        <w:rPr>
          <w:i/>
        </w:rPr>
        <w:t>business days</w:t>
      </w:r>
      <w:r w:rsidRPr="00A71E1E">
        <w:t>.</w:t>
      </w:r>
    </w:p>
    <w:p w14:paraId="37A32812" w14:textId="77777777" w:rsidR="00CD1FDE" w:rsidRPr="00A71E1E" w:rsidRDefault="00CD1FDE" w:rsidP="00CD1FDE">
      <w:r w:rsidRPr="00A71E1E">
        <w:t xml:space="preserve">The C&amp;I HDR baseline calculation below uses the last twenty (20) suitable </w:t>
      </w:r>
      <w:r w:rsidRPr="00A71E1E">
        <w:rPr>
          <w:i/>
        </w:rPr>
        <w:t>business days</w:t>
      </w:r>
      <w:r w:rsidRPr="00A71E1E">
        <w:t xml:space="preserve"> from a range of </w:t>
      </w:r>
      <w:r w:rsidRPr="00A71E1E">
        <w:rPr>
          <w:i/>
        </w:rPr>
        <w:t>business days</w:t>
      </w:r>
      <w:r w:rsidRPr="00A71E1E">
        <w:t xml:space="preserve"> that go back to a maximum of thirty-five (35) </w:t>
      </w:r>
      <w:r w:rsidRPr="00A71E1E">
        <w:rPr>
          <w:i/>
        </w:rPr>
        <w:t>business days</w:t>
      </w:r>
      <w:r w:rsidRPr="00A71E1E">
        <w:t xml:space="preserve"> prior to the day in which the C&amp;I HDR resource was activated.  If there are less than twenty (20) suitable </w:t>
      </w:r>
      <w:r w:rsidRPr="00A71E1E">
        <w:rPr>
          <w:i/>
        </w:rPr>
        <w:t>business days</w:t>
      </w:r>
      <w:r w:rsidRPr="00A71E1E">
        <w:t xml:space="preserve"> available, then we will use all available suitable </w:t>
      </w:r>
      <w:r w:rsidRPr="00A71E1E">
        <w:rPr>
          <w:i/>
        </w:rPr>
        <w:t>business days</w:t>
      </w:r>
      <w:r w:rsidRPr="00A71E1E">
        <w:t xml:space="preserve"> within the maximum of thirty-five (35) </w:t>
      </w:r>
      <w:r w:rsidRPr="00A71E1E">
        <w:rPr>
          <w:i/>
        </w:rPr>
        <w:t>business days</w:t>
      </w:r>
      <w:r w:rsidRPr="00A71E1E">
        <w:t xml:space="preserve"> to calculate the baseline.</w:t>
      </w:r>
    </w:p>
    <w:p w14:paraId="09451761" w14:textId="77777777" w:rsidR="00CD1FDE" w:rsidRPr="00A71E1E" w:rsidRDefault="00CD1FDE" w:rsidP="00CD1FDE">
      <w:pPr>
        <w:spacing w:before="240"/>
        <w:rPr>
          <w:b/>
          <w:u w:val="single"/>
        </w:rPr>
      </w:pPr>
      <w:r w:rsidRPr="00A71E1E">
        <w:rPr>
          <w:b/>
          <w:u w:val="single"/>
        </w:rPr>
        <w:t>Baseline Calculation:</w:t>
      </w:r>
    </w:p>
    <w:p w14:paraId="3A9E99BD" w14:textId="77777777" w:rsidR="00CD1FDE" w:rsidRPr="00A71E1E" w:rsidRDefault="00CD1FDE" w:rsidP="00CD1FDE">
      <w:r w:rsidRPr="00A71E1E">
        <w:t xml:space="preserve">For each hour of an activation event to deliver a </w:t>
      </w:r>
      <w:r w:rsidRPr="00A71E1E">
        <w:rPr>
          <w:i/>
        </w:rPr>
        <w:t xml:space="preserve">capacity obligation </w:t>
      </w:r>
      <w:r w:rsidRPr="00A71E1E">
        <w:t xml:space="preserve">acquired through a </w:t>
      </w:r>
      <w:r w:rsidRPr="00A71E1E">
        <w:rPr>
          <w:i/>
        </w:rPr>
        <w:t>capacity auction</w:t>
      </w:r>
      <w:r w:rsidRPr="00A71E1E">
        <w:t xml:space="preserve">, the C&amp;I HDR baseline shall be calculated as follows: </w:t>
      </w:r>
    </w:p>
    <w:p w14:paraId="717CB5A8" w14:textId="77777777" w:rsidR="00CD1FDE" w:rsidRPr="00A71E1E" w:rsidRDefault="005C5CD4" w:rsidP="00CD1FDE">
      <w:pPr>
        <w:rPr>
          <w:rFonts w:eastAsiaTheme="minorEastAsia"/>
        </w:rPr>
      </w:pPr>
      <m:oMathPara>
        <m:oMath>
          <m:sSub>
            <m:sSubPr>
              <m:ctrlPr>
                <w:rPr>
                  <w:rFonts w:ascii="Cambria Math" w:hAnsi="Cambria Math"/>
                </w:rPr>
              </m:ctrlPr>
            </m:sSubPr>
            <m:e>
              <m:r>
                <m:rPr>
                  <m:sty m:val="p"/>
                </m:rPr>
                <w:rPr>
                  <w:rFonts w:ascii="Cambria Math" w:hAnsi="Cambria Math"/>
                </w:rPr>
                <m:t>C&amp;I HDR Baseline</m:t>
              </m:r>
            </m:e>
            <m:sub>
              <m:r>
                <m:rPr>
                  <m:sty m:val="p"/>
                </m:rPr>
                <w:rPr>
                  <w:rFonts w:ascii="Cambria Math" w:hAnsi="Cambria Math"/>
                </w:rPr>
                <m:t>h</m:t>
              </m:r>
            </m:sub>
          </m:sSub>
          <m:r>
            <m:rPr>
              <m:sty m:val="p"/>
            </m:rPr>
            <w:rPr>
              <w:rFonts w:ascii="Cambria Math" w:hAnsi="Cambria Math"/>
            </w:rPr>
            <m:t>=</m:t>
          </m:r>
          <m:sSub>
            <m:sSubPr>
              <m:ctrlPr>
                <w:rPr>
                  <w:rFonts w:ascii="Cambria Math" w:eastAsiaTheme="minorEastAsia" w:hAnsi="Cambria Math"/>
                </w:rPr>
              </m:ctrlPr>
            </m:sSubPr>
            <m:e>
              <m:r>
                <m:rPr>
                  <m:sty m:val="p"/>
                </m:rPr>
                <w:rPr>
                  <w:rFonts w:ascii="Cambria Math" w:eastAsiaTheme="minorEastAsia" w:hAnsi="Cambria Math"/>
                </w:rPr>
                <m:t>Standard Baseline</m:t>
              </m:r>
            </m:e>
            <m:sub>
              <m:r>
                <m:rPr>
                  <m:sty m:val="p"/>
                </m:rPr>
                <w:rPr>
                  <w:rFonts w:ascii="Cambria Math" w:eastAsiaTheme="minorEastAsia" w:hAnsi="Cambria Math"/>
                </w:rPr>
                <m:t>h</m:t>
              </m:r>
            </m:sub>
          </m:sSub>
          <m:r>
            <m:rPr>
              <m:sty m:val="p"/>
            </m:rPr>
            <w:rPr>
              <w:rFonts w:ascii="Cambria Math" w:eastAsiaTheme="minorEastAsia" w:hAnsi="Cambria Math"/>
            </w:rPr>
            <m:t>x In­Day Adjustment Factor</m:t>
          </m:r>
        </m:oMath>
      </m:oMathPara>
    </w:p>
    <w:p w14:paraId="5851F19B" w14:textId="77777777" w:rsidR="00CD1FDE" w:rsidRPr="00A71E1E" w:rsidRDefault="00CD1FDE" w:rsidP="00CD1FDE">
      <w:pPr>
        <w:rPr>
          <w:rFonts w:eastAsiaTheme="minorEastAsia"/>
        </w:rPr>
      </w:pPr>
      <w:r w:rsidRPr="00A71E1E">
        <w:rPr>
          <w:rFonts w:eastAsiaTheme="minorEastAsia"/>
        </w:rPr>
        <w:t>and for an interval basis as follows:</w:t>
      </w:r>
    </w:p>
    <w:p w14:paraId="5AAE9FA6" w14:textId="1B7120D2" w:rsidR="00CD1FDE" w:rsidRPr="00A71E1E" w:rsidRDefault="005C5CD4" w:rsidP="00CD1FDE">
      <w:pPr>
        <w:rPr>
          <w:rFonts w:eastAsiaTheme="minorEastAsia"/>
        </w:rPr>
      </w:pPr>
      <m:oMathPara>
        <m:oMath>
          <m:sSub>
            <m:sSubPr>
              <m:ctrlPr>
                <w:rPr>
                  <w:rFonts w:ascii="Cambria Math" w:hAnsi="Cambria Math"/>
                </w:rPr>
              </m:ctrlPr>
            </m:sSubPr>
            <m:e>
              <m:r>
                <m:rPr>
                  <m:sty m:val="p"/>
                </m:rPr>
                <w:rPr>
                  <w:rFonts w:ascii="Cambria Math" w:hAnsi="Cambria Math"/>
                </w:rPr>
                <m:t>C&amp;I HDR Baseline</m:t>
              </m:r>
            </m:e>
            <m:sub>
              <m:r>
                <m:rPr>
                  <m:sty m:val="p"/>
                </m:rPr>
                <w:rPr>
                  <w:rFonts w:ascii="Cambria Math" w:hAnsi="Cambria Math"/>
                </w:rPr>
                <m:t>i</m:t>
              </m:r>
            </m:sub>
          </m:sSub>
          <m:r>
            <m:rPr>
              <m:sty m:val="p"/>
            </m:rPr>
            <w:rPr>
              <w:rFonts w:ascii="Cambria Math" w:hAnsi="Cambria Math"/>
            </w:rPr>
            <m:t>=</m:t>
          </m:r>
          <m:f>
            <m:fPr>
              <m:ctrlPr>
                <w:rPr>
                  <w:rFonts w:ascii="Cambria Math" w:eastAsiaTheme="minorEastAsia" w:hAnsi="Cambria Math"/>
                </w:rPr>
              </m:ctrlPr>
            </m:fPr>
            <m:num>
              <m:sSub>
                <m:sSubPr>
                  <m:ctrlPr>
                    <w:rPr>
                      <w:rFonts w:ascii="Cambria Math" w:eastAsiaTheme="minorEastAsia" w:hAnsi="Cambria Math"/>
                    </w:rPr>
                  </m:ctrlPr>
                </m:sSubPr>
                <m:e>
                  <m:r>
                    <m:rPr>
                      <m:sty m:val="p"/>
                    </m:rPr>
                    <w:rPr>
                      <w:rFonts w:ascii="Cambria Math" w:eastAsiaTheme="minorEastAsia" w:hAnsi="Cambria Math"/>
                    </w:rPr>
                    <m:t>HDR Baseline</m:t>
                  </m:r>
                </m:e>
                <m:sub>
                  <m:r>
                    <m:rPr>
                      <m:sty m:val="p"/>
                    </m:rPr>
                    <w:rPr>
                      <w:rFonts w:ascii="Cambria Math" w:eastAsiaTheme="minorEastAsia" w:hAnsi="Cambria Math"/>
                    </w:rPr>
                    <m:t>h</m:t>
                  </m:r>
                </m:sub>
              </m:sSub>
              <m:ctrlPr>
                <w:rPr>
                  <w:rFonts w:ascii="Cambria Math" w:eastAsiaTheme="minorEastAsia" w:hAnsi="Cambria Math"/>
                  <w:i/>
                </w:rPr>
              </m:ctrlPr>
            </m:num>
            <m:den>
              <m:r>
                <w:rPr>
                  <w:rFonts w:ascii="Cambria Math" w:eastAsiaTheme="minorEastAsia" w:hAnsi="Cambria Math"/>
                </w:rPr>
                <m:t>12</m:t>
              </m:r>
            </m:den>
          </m:f>
        </m:oMath>
      </m:oMathPara>
    </w:p>
    <w:p w14:paraId="782F830F" w14:textId="77777777" w:rsidR="00CD1FDE" w:rsidRPr="00A71E1E" w:rsidRDefault="00CD1FDE" w:rsidP="00CD1FDE">
      <w:pPr>
        <w:rPr>
          <w:rFonts w:eastAsiaTheme="minorEastAsia"/>
        </w:rPr>
      </w:pPr>
      <w:r w:rsidRPr="00A71E1E">
        <w:rPr>
          <w:rFonts w:eastAsiaTheme="minorEastAsia"/>
        </w:rPr>
        <w:t xml:space="preserve">Where: </w:t>
      </w:r>
    </w:p>
    <w:p w14:paraId="51C3DBE5" w14:textId="77777777" w:rsidR="00CD1FDE" w:rsidRPr="00A71E1E" w:rsidRDefault="00CD1FDE" w:rsidP="00CD1FDE">
      <w:pPr>
        <w:pStyle w:val="ListParagraph"/>
        <w:numPr>
          <w:ilvl w:val="0"/>
          <w:numId w:val="115"/>
        </w:numPr>
        <w:spacing w:after="200" w:line="276" w:lineRule="auto"/>
      </w:pPr>
      <w:r w:rsidRPr="00A71E1E">
        <w:t>“h” is an hour within the activation event.</w:t>
      </w:r>
    </w:p>
    <w:p w14:paraId="61D7CD5C" w14:textId="77777777" w:rsidR="00CD1FDE" w:rsidRPr="00A71E1E" w:rsidRDefault="00CD1FDE" w:rsidP="00CD1FDE">
      <w:pPr>
        <w:pStyle w:val="ListParagraph"/>
        <w:numPr>
          <w:ilvl w:val="0"/>
          <w:numId w:val="115"/>
        </w:numPr>
        <w:spacing w:after="200" w:line="276" w:lineRule="auto"/>
      </w:pPr>
      <w:r w:rsidRPr="00A71E1E">
        <w:t>“i” is an interval within the hour “h”.</w:t>
      </w:r>
    </w:p>
    <w:p w14:paraId="2EEE3537" w14:textId="77777777" w:rsidR="00CD1FDE" w:rsidRPr="00A71E1E" w:rsidRDefault="00CD1FDE" w:rsidP="00CD1FDE">
      <w:pPr>
        <w:pStyle w:val="ListParagraph"/>
        <w:numPr>
          <w:ilvl w:val="0"/>
          <w:numId w:val="115"/>
        </w:numPr>
        <w:spacing w:after="200" w:line="276" w:lineRule="auto"/>
      </w:pPr>
      <w:r w:rsidRPr="00A71E1E">
        <w:t>“Standard Baseline” is one of two components of the C&amp;I HDR baseline and is calculated as described below.</w:t>
      </w:r>
    </w:p>
    <w:p w14:paraId="037C3CF3" w14:textId="77777777" w:rsidR="00CD1FDE" w:rsidRPr="00A71E1E" w:rsidRDefault="00CD1FDE" w:rsidP="00CD1FDE">
      <w:pPr>
        <w:pStyle w:val="ListParagraph"/>
        <w:numPr>
          <w:ilvl w:val="0"/>
          <w:numId w:val="115"/>
        </w:numPr>
        <w:spacing w:before="240" w:after="200" w:line="276" w:lineRule="auto"/>
        <w:rPr>
          <w:b/>
        </w:rPr>
      </w:pPr>
      <w:r w:rsidRPr="00A71E1E">
        <w:t xml:space="preserve">“In-Day Adjustment Factor” is one of two components of the C&amp;I HDR baseline and is calculated as described below. </w:t>
      </w:r>
    </w:p>
    <w:p w14:paraId="503AF212" w14:textId="77777777" w:rsidR="00CD1FDE" w:rsidRPr="00A71E1E" w:rsidRDefault="00CD1FDE" w:rsidP="00C500CB">
      <w:pPr>
        <w:spacing w:before="240" w:after="120"/>
        <w:rPr>
          <w:b/>
        </w:rPr>
      </w:pPr>
      <w:r w:rsidRPr="00A71E1E">
        <w:rPr>
          <w:b/>
        </w:rPr>
        <w:t>Standard Baseline: High 15 of 20</w:t>
      </w:r>
    </w:p>
    <w:p w14:paraId="0065746F" w14:textId="77777777" w:rsidR="00CD1FDE" w:rsidRPr="00A71E1E" w:rsidRDefault="00CD1FDE" w:rsidP="00CD1FDE">
      <w:pPr>
        <w:rPr>
          <w:b/>
        </w:rPr>
      </w:pPr>
      <w:r w:rsidRPr="00A71E1E">
        <w:t xml:space="preserve">The standard baseline is the average of the highest fifteen (15) measurement data values for the same hour that was activated in the last twenty (20) suitable </w:t>
      </w:r>
      <w:r w:rsidRPr="00A71E1E">
        <w:rPr>
          <w:i/>
        </w:rPr>
        <w:t>business days</w:t>
      </w:r>
      <w:r w:rsidRPr="00A71E1E">
        <w:t xml:space="preserve"> prior to the activation.</w:t>
      </w:r>
    </w:p>
    <w:p w14:paraId="4F307C46" w14:textId="77777777" w:rsidR="00CD1FDE" w:rsidRPr="00A71E1E" w:rsidRDefault="00CD1FDE" w:rsidP="00C500CB">
      <w:pPr>
        <w:spacing w:before="240"/>
        <w:rPr>
          <w:b/>
        </w:rPr>
      </w:pPr>
      <w:r w:rsidRPr="00A71E1E">
        <w:rPr>
          <w:b/>
        </w:rPr>
        <w:t xml:space="preserve">In-Day Adjustment Factor </w:t>
      </w:r>
    </w:p>
    <w:p w14:paraId="121C5AE2" w14:textId="77777777" w:rsidR="00CD1FDE" w:rsidRPr="00A71E1E" w:rsidRDefault="00CD1FDE" w:rsidP="00CD1FDE">
      <w:r w:rsidRPr="00A71E1E">
        <w:t>The in-day adjustment factor is calculated as follows:</w:t>
      </w:r>
    </w:p>
    <w:p w14:paraId="64D73C9B" w14:textId="77777777" w:rsidR="00CD1FDE" w:rsidRPr="00A71E1E" w:rsidRDefault="00CD1FDE" w:rsidP="00CD1FDE">
      <m:oMathPara>
        <m:oMath>
          <m:r>
            <m:rPr>
              <m:sty m:val="p"/>
            </m:rPr>
            <w:rPr>
              <w:rFonts w:ascii="Cambria Math" w:hAnsi="Cambria Math"/>
            </w:rPr>
            <m:t xml:space="preserve">In­Day Adjustment Factor=A ÷B </m:t>
          </m:r>
        </m:oMath>
      </m:oMathPara>
    </w:p>
    <w:p w14:paraId="303D0277" w14:textId="77777777" w:rsidR="00CD1FDE" w:rsidRPr="00A71E1E" w:rsidRDefault="00CD1FDE" w:rsidP="00CD1FDE">
      <w:r w:rsidRPr="00A71E1E">
        <w:t xml:space="preserve">Where: </w:t>
      </w:r>
    </w:p>
    <w:p w14:paraId="2F94683F" w14:textId="77777777" w:rsidR="00CD1FDE" w:rsidRPr="00A71E1E" w:rsidRDefault="00CD1FDE" w:rsidP="00CD1FDE">
      <w:pPr>
        <w:pStyle w:val="ListParagraph"/>
        <w:numPr>
          <w:ilvl w:val="0"/>
          <w:numId w:val="116"/>
        </w:numPr>
        <w:spacing w:after="200" w:line="276" w:lineRule="auto"/>
      </w:pPr>
      <w:r w:rsidRPr="00A71E1E">
        <w:t xml:space="preserve">“A” is the average actual consumption during the adjustment window hours on the actual activation day. </w:t>
      </w:r>
    </w:p>
    <w:p w14:paraId="6B700AA2" w14:textId="77777777" w:rsidR="00CD1FDE" w:rsidRPr="00A71E1E" w:rsidRDefault="00CD1FDE" w:rsidP="00CD1FDE">
      <w:pPr>
        <w:pStyle w:val="ListParagraph"/>
        <w:numPr>
          <w:ilvl w:val="0"/>
          <w:numId w:val="116"/>
        </w:numPr>
        <w:spacing w:after="200" w:line="276" w:lineRule="auto"/>
      </w:pPr>
      <w:r w:rsidRPr="00A71E1E">
        <w:t xml:space="preserve">“B” is the average actual consumption during the adjustment window hours in the past highest fifteen (15) of twenty (20) suitable </w:t>
      </w:r>
      <w:r w:rsidRPr="00A71E1E">
        <w:rPr>
          <w:i/>
        </w:rPr>
        <w:t>business days</w:t>
      </w:r>
      <w:r w:rsidRPr="00A71E1E">
        <w:t xml:space="preserve"> prior to the activation day. </w:t>
      </w:r>
    </w:p>
    <w:p w14:paraId="4454C936" w14:textId="77777777" w:rsidR="00CD1FDE" w:rsidRPr="00A71E1E" w:rsidRDefault="00CD1FDE" w:rsidP="00CD1FDE">
      <w:r w:rsidRPr="00A71E1E">
        <w:t>The adjustment window is the three (3) hour window occurring one (1) hour before a</w:t>
      </w:r>
      <w:r>
        <w:t>n</w:t>
      </w:r>
      <w:r w:rsidRPr="00A71E1E">
        <w:t xml:space="preserve"> activation event. The in-day adjustment factor can only be as low as 0.8 and as high as 1.2.  For greater clarity, the in-day adjustment factor will be rounded either up or down if calculated as being less than 0.8 or greater than 1.2 respectively.</w:t>
      </w:r>
    </w:p>
    <w:p w14:paraId="03B7E6E0" w14:textId="77777777" w:rsidR="00CD1FDE" w:rsidRPr="00A71E1E" w:rsidRDefault="00CD1FDE" w:rsidP="00CD1FDE"/>
    <w:p w14:paraId="4120D313" w14:textId="65191F31" w:rsidR="00CD1FDE" w:rsidRPr="00A71E1E" w:rsidRDefault="00CD1FDE" w:rsidP="00CD1FDE">
      <w:pPr>
        <w:rPr>
          <w:b/>
          <w:u w:val="single"/>
        </w:rPr>
      </w:pPr>
      <w:r w:rsidRPr="00A71E1E">
        <w:rPr>
          <w:b/>
          <w:u w:val="single"/>
        </w:rPr>
        <w:t xml:space="preserve">Baseline Methodology </w:t>
      </w:r>
      <w:r>
        <w:rPr>
          <w:b/>
          <w:u w:val="single"/>
        </w:rPr>
        <w:t>for</w:t>
      </w:r>
      <w:r w:rsidRPr="00A71E1E">
        <w:rPr>
          <w:b/>
          <w:u w:val="single"/>
        </w:rPr>
        <w:t xml:space="preserve"> Residential HDR</w:t>
      </w:r>
      <w:r>
        <w:rPr>
          <w:b/>
          <w:u w:val="single"/>
        </w:rPr>
        <w:t xml:space="preserve"> </w:t>
      </w:r>
      <w:r w:rsidR="005F4390">
        <w:rPr>
          <w:b/>
          <w:u w:val="single"/>
        </w:rPr>
        <w:t>R</w:t>
      </w:r>
      <w:r>
        <w:rPr>
          <w:b/>
          <w:u w:val="single"/>
        </w:rPr>
        <w:t>esource</w:t>
      </w:r>
      <w:r w:rsidR="00B44C99">
        <w:rPr>
          <w:b/>
          <w:u w:val="single"/>
        </w:rPr>
        <w:t>s</w:t>
      </w:r>
      <w:r w:rsidRPr="00A71E1E">
        <w:rPr>
          <w:b/>
          <w:u w:val="single"/>
        </w:rPr>
        <w:t>:</w:t>
      </w:r>
    </w:p>
    <w:p w14:paraId="234E667B" w14:textId="77777777" w:rsidR="00CD1FDE" w:rsidRPr="00A71E1E" w:rsidRDefault="00CD1FDE" w:rsidP="00CD1FDE">
      <w:pPr>
        <w:spacing w:before="240"/>
        <w:rPr>
          <w:b/>
          <w:u w:val="single"/>
        </w:rPr>
      </w:pPr>
      <w:r w:rsidRPr="00A71E1E">
        <w:rPr>
          <w:b/>
          <w:u w:val="single"/>
        </w:rPr>
        <w:t>Baseline Calculation:</w:t>
      </w:r>
    </w:p>
    <w:p w14:paraId="11BE49B7" w14:textId="77777777" w:rsidR="00CD1FDE" w:rsidRPr="00A71E1E" w:rsidRDefault="00CD1FDE" w:rsidP="00CD1FDE">
      <w:r w:rsidRPr="00A71E1E">
        <w:t>For each hour of a</w:t>
      </w:r>
      <w:r>
        <w:t>n</w:t>
      </w:r>
      <w:r w:rsidRPr="00A71E1E">
        <w:t xml:space="preserve"> activation event to deliver a </w:t>
      </w:r>
      <w:r w:rsidRPr="00A71E1E">
        <w:rPr>
          <w:i/>
        </w:rPr>
        <w:t>capacity obligation</w:t>
      </w:r>
      <w:r w:rsidRPr="00A410AE">
        <w:rPr>
          <w:i/>
        </w:rPr>
        <w:t xml:space="preserve"> </w:t>
      </w:r>
      <w:r w:rsidRPr="00A71E1E">
        <w:t xml:space="preserve">acquired through a </w:t>
      </w:r>
      <w:r w:rsidRPr="00A71E1E">
        <w:rPr>
          <w:i/>
        </w:rPr>
        <w:t>capacity auction</w:t>
      </w:r>
      <w:r w:rsidRPr="00A71E1E">
        <w:t>, the residential HDR baseline shall be calculated as follows:</w:t>
      </w:r>
    </w:p>
    <w:p w14:paraId="4C1E9A77" w14:textId="77777777" w:rsidR="00CD1FDE" w:rsidRPr="00A71E1E" w:rsidRDefault="005C5CD4" w:rsidP="00CD1FDE">
      <m:oMathPara>
        <m:oMath>
          <m:sSub>
            <m:sSubPr>
              <m:ctrlPr>
                <w:rPr>
                  <w:rFonts w:ascii="Cambria Math" w:hAnsi="Cambria Math"/>
                  <w:i/>
                </w:rPr>
              </m:ctrlPr>
            </m:sSubPr>
            <m:e>
              <m:r>
                <w:rPr>
                  <w:rFonts w:ascii="Cambria Math" w:hAnsi="Cambria Math"/>
                </w:rPr>
                <m:t>Adjusted Control Group Load</m:t>
              </m:r>
            </m:e>
            <m:sub>
              <m:r>
                <w:rPr>
                  <w:rFonts w:ascii="Cambria Math" w:hAnsi="Cambria Math"/>
                </w:rPr>
                <m:t>h</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Total Consumption</m:t>
                  </m:r>
                </m:e>
                <m:sub>
                  <m:r>
                    <w:rPr>
                      <w:rFonts w:ascii="Cambria Math" w:hAnsi="Cambria Math"/>
                    </w:rPr>
                    <m:t>h</m:t>
                  </m:r>
                </m:sub>
              </m:sSub>
              <m:r>
                <w:rPr>
                  <w:rFonts w:ascii="Cambria Math" w:hAnsi="Cambria Math"/>
                </w:rPr>
                <m:t xml:space="preserve"> </m:t>
              </m:r>
            </m:num>
            <m:den>
              <m:sSub>
                <m:sSubPr>
                  <m:ctrlPr>
                    <w:rPr>
                      <w:rFonts w:ascii="Cambria Math" w:hAnsi="Cambria Math"/>
                      <w:i/>
                    </w:rPr>
                  </m:ctrlPr>
                </m:sSubPr>
                <m:e>
                  <m:r>
                    <w:rPr>
                      <w:rFonts w:ascii="Cambria Math" w:hAnsi="Cambria Math"/>
                    </w:rPr>
                    <m:t>Number of Contributors in Control Group</m:t>
                  </m:r>
                </m:e>
                <m:sub>
                  <m:r>
                    <w:rPr>
                      <w:rFonts w:ascii="Cambria Math" w:hAnsi="Cambria Math"/>
                    </w:rPr>
                    <m:t>m</m:t>
                  </m:r>
                </m:sub>
              </m:sSub>
            </m:den>
          </m:f>
          <m:r>
            <w:rPr>
              <w:rFonts w:ascii="Cambria Math" w:hAnsi="Cambria Math"/>
            </w:rPr>
            <m:t xml:space="preserve"> </m:t>
          </m:r>
          <m:r>
            <m:rPr>
              <m:sty m:val="p"/>
            </m:rPr>
            <w:rPr>
              <w:rFonts w:ascii="Cambria Math" w:hAnsi="Cambria Math"/>
            </w:rPr>
            <m:t>x</m:t>
          </m:r>
          <m:r>
            <w:rPr>
              <w:rFonts w:ascii="Cambria Math" w:hAnsi="Cambria Math"/>
            </w:rPr>
            <m:t xml:space="preserve"> Same</m:t>
          </m:r>
          <m:r>
            <m:rPr>
              <m:sty m:val="p"/>
            </m:rPr>
            <w:rPr>
              <w:rFonts w:ascii="Cambria Math" w:hAnsi="Cambria Math"/>
            </w:rPr>
            <m:t>­</m:t>
          </m:r>
          <m:r>
            <w:rPr>
              <w:rFonts w:ascii="Cambria Math" w:hAnsi="Cambria Math"/>
            </w:rPr>
            <m:t>Day Adjustment</m:t>
          </m:r>
        </m:oMath>
      </m:oMathPara>
    </w:p>
    <w:p w14:paraId="4D18AEC8" w14:textId="77777777" w:rsidR="00CD1FDE" w:rsidRPr="00A71E1E" w:rsidRDefault="00CD1FDE" w:rsidP="00CD1FDE">
      <w:r w:rsidRPr="00A71E1E">
        <w:t xml:space="preserve">Where: </w:t>
      </w:r>
    </w:p>
    <w:p w14:paraId="46F6098B" w14:textId="77777777" w:rsidR="00CD1FDE" w:rsidRPr="00A71E1E" w:rsidRDefault="00CD1FDE" w:rsidP="00CD1FDE">
      <w:pPr>
        <w:pStyle w:val="ListParagraph"/>
        <w:numPr>
          <w:ilvl w:val="0"/>
          <w:numId w:val="115"/>
        </w:numPr>
        <w:spacing w:after="200" w:line="276" w:lineRule="auto"/>
      </w:pPr>
      <w:r w:rsidRPr="00A71E1E">
        <w:t>“h” is an hour within the activation event.</w:t>
      </w:r>
    </w:p>
    <w:p w14:paraId="67D8FFFF" w14:textId="77777777" w:rsidR="00CD1FDE" w:rsidRPr="00A71E1E" w:rsidRDefault="00CD1FDE" w:rsidP="00CD1FDE">
      <w:pPr>
        <w:pStyle w:val="ListParagraph"/>
        <w:numPr>
          <w:ilvl w:val="0"/>
          <w:numId w:val="115"/>
        </w:numPr>
        <w:spacing w:after="200" w:line="276" w:lineRule="auto"/>
      </w:pPr>
      <w:r w:rsidRPr="00A71E1E">
        <w:t>“m” is the month in which the activation event takes place.</w:t>
      </w:r>
    </w:p>
    <w:p w14:paraId="0AE1C610" w14:textId="77777777" w:rsidR="00CD1FDE" w:rsidRPr="00A71E1E" w:rsidRDefault="00CD1FDE" w:rsidP="00CD1FDE">
      <w:pPr>
        <w:pStyle w:val="ListParagraph"/>
        <w:numPr>
          <w:ilvl w:val="0"/>
          <w:numId w:val="115"/>
        </w:numPr>
        <w:spacing w:after="200" w:line="276" w:lineRule="auto"/>
      </w:pPr>
      <w:r w:rsidRPr="00A71E1E">
        <w:t>“Total Consumption” is the measurement data for the control group for the hour.</w:t>
      </w:r>
    </w:p>
    <w:p w14:paraId="127800EC" w14:textId="77777777" w:rsidR="00CD1FDE" w:rsidRPr="00A71E1E" w:rsidRDefault="00CD1FDE" w:rsidP="00CD1FDE">
      <w:pPr>
        <w:pStyle w:val="ListParagraph"/>
        <w:numPr>
          <w:ilvl w:val="0"/>
          <w:numId w:val="115"/>
        </w:numPr>
        <w:spacing w:after="200" w:line="276" w:lineRule="auto"/>
      </w:pPr>
      <w:r w:rsidRPr="00A71E1E">
        <w:t>“Same-Day Adjustment” is calculated as described below.</w:t>
      </w:r>
    </w:p>
    <w:p w14:paraId="20C81E8D" w14:textId="77777777" w:rsidR="00CD1FDE" w:rsidRPr="00A71E1E" w:rsidRDefault="00CD1FDE" w:rsidP="00CD1FDE">
      <w:pPr>
        <w:rPr>
          <w:b/>
        </w:rPr>
      </w:pPr>
      <w:r w:rsidRPr="00A71E1E">
        <w:rPr>
          <w:b/>
        </w:rPr>
        <w:t>Same-Day Adjustment</w:t>
      </w:r>
    </w:p>
    <w:p w14:paraId="3848BF45" w14:textId="77777777" w:rsidR="00CD1FDE" w:rsidRPr="00A71E1E" w:rsidRDefault="00CD1FDE" w:rsidP="00CD1FDE">
      <w:pPr>
        <w:rPr>
          <w:b/>
        </w:rPr>
      </w:pPr>
      <m:oMathPara>
        <m:oMath>
          <m:r>
            <w:rPr>
              <w:rFonts w:ascii="Cambria Math" w:hAnsi="Cambria Math"/>
            </w:rPr>
            <m:t>Same</m:t>
          </m:r>
          <m:r>
            <m:rPr>
              <m:sty m:val="p"/>
            </m:rPr>
            <w:rPr>
              <w:rFonts w:ascii="Cambria Math" w:hAnsi="Cambria Math"/>
            </w:rPr>
            <m:t>­</m:t>
          </m:r>
          <m:r>
            <w:rPr>
              <w:rFonts w:ascii="Cambria Math" w:hAnsi="Cambria Math"/>
            </w:rPr>
            <m:t>Day Adjustment=C÷D</m:t>
          </m:r>
        </m:oMath>
      </m:oMathPara>
    </w:p>
    <w:p w14:paraId="59DE8ECF" w14:textId="77777777" w:rsidR="00CD1FDE" w:rsidRPr="00A71E1E" w:rsidRDefault="00CD1FDE" w:rsidP="00CD1FDE">
      <w:r w:rsidRPr="00A71E1E">
        <w:t>Where:</w:t>
      </w:r>
    </w:p>
    <w:p w14:paraId="4A1985BF" w14:textId="77777777" w:rsidR="00CD1FDE" w:rsidRPr="00A71E1E" w:rsidRDefault="00CD1FDE" w:rsidP="00CD1FDE">
      <w:pPr>
        <w:pStyle w:val="ListParagraph"/>
        <w:numPr>
          <w:ilvl w:val="0"/>
          <w:numId w:val="116"/>
        </w:numPr>
        <w:spacing w:after="200" w:line="276" w:lineRule="auto"/>
      </w:pPr>
      <w:r w:rsidRPr="00A71E1E">
        <w:t>“C” is the average actual consumption during the adjustment window hours on the activation day for the treatment group divided by the number of contributors in the treatment group.</w:t>
      </w:r>
    </w:p>
    <w:p w14:paraId="502CD577" w14:textId="77777777" w:rsidR="00CD1FDE" w:rsidRPr="00A71E1E" w:rsidRDefault="00CD1FDE" w:rsidP="00CD1FDE">
      <w:pPr>
        <w:pStyle w:val="ListParagraph"/>
        <w:numPr>
          <w:ilvl w:val="0"/>
          <w:numId w:val="116"/>
        </w:numPr>
        <w:spacing w:after="200" w:line="276" w:lineRule="auto"/>
      </w:pPr>
      <w:r w:rsidRPr="00A71E1E">
        <w:t xml:space="preserve">“D” is the average actual consumption during the adjustment window hours on the activation day for the control group divided by the number of contributors in the control group. </w:t>
      </w:r>
    </w:p>
    <w:p w14:paraId="63061157" w14:textId="77777777" w:rsidR="00CD1FDE" w:rsidRPr="00A71E1E" w:rsidRDefault="00CD1FDE" w:rsidP="00A410AE">
      <w:pPr>
        <w:pStyle w:val="ListParagraph"/>
        <w:numPr>
          <w:ilvl w:val="0"/>
          <w:numId w:val="116"/>
        </w:numPr>
        <w:spacing w:after="200" w:line="276" w:lineRule="auto"/>
      </w:pPr>
      <w:r w:rsidRPr="00A71E1E">
        <w:t>“adjustment window” is the three (3) hour window occurring one (1) hour before a</w:t>
      </w:r>
      <w:r>
        <w:t>n</w:t>
      </w:r>
      <w:r w:rsidRPr="00A71E1E">
        <w:t xml:space="preserve"> activation event.</w:t>
      </w:r>
    </w:p>
    <w:p w14:paraId="7AD43202" w14:textId="77777777" w:rsidR="00CD1FDE" w:rsidRDefault="00CD1FDE" w:rsidP="00A410AE">
      <w:pPr>
        <w:pStyle w:val="Heading5"/>
        <w:rPr>
          <w:b/>
        </w:rPr>
      </w:pPr>
      <w:r w:rsidRPr="00A71E1E">
        <w:rPr>
          <w:b/>
        </w:rPr>
        <w:t>1.6.26.3.2</w:t>
      </w:r>
      <w:r w:rsidRPr="00A71E1E">
        <w:rPr>
          <w:b/>
        </w:rPr>
        <w:tab/>
        <w:t>Availability Charges</w:t>
      </w:r>
    </w:p>
    <w:p w14:paraId="50C0EF8C" w14:textId="027E8033" w:rsidR="00CD1FDE" w:rsidRPr="00A71E1E" w:rsidRDefault="4E46A018" w:rsidP="6908EE7F">
      <w:pPr>
        <w:tabs>
          <w:tab w:val="left" w:pos="5209"/>
        </w:tabs>
        <w:spacing w:before="120"/>
      </w:pPr>
      <w:r>
        <w:t xml:space="preserve">Availability charges apply when </w:t>
      </w:r>
      <w:r w:rsidRPr="6908EE7F">
        <w:rPr>
          <w:i/>
          <w:iCs/>
        </w:rPr>
        <w:t>CMP</w:t>
      </w:r>
      <w:r>
        <w:t>s</w:t>
      </w:r>
      <w:r w:rsidR="15BD592E">
        <w:t xml:space="preserve"> </w:t>
      </w:r>
      <w:ins w:id="1080" w:author="Author">
        <w:r w:rsidR="15BD592E">
          <w:t xml:space="preserve">with </w:t>
        </w:r>
        <w:r w:rsidR="15BD592E" w:rsidRPr="6908EE7F">
          <w:rPr>
            <w:i/>
            <w:iCs/>
          </w:rPr>
          <w:t>capacity obligations</w:t>
        </w:r>
        <w:r>
          <w:t xml:space="preserve"> </w:t>
        </w:r>
      </w:ins>
      <w:r>
        <w:t xml:space="preserve">fail to submit their </w:t>
      </w:r>
      <w:r w:rsidRPr="6908EE7F">
        <w:rPr>
          <w:i/>
          <w:iCs/>
        </w:rPr>
        <w:t>demand response energy</w:t>
      </w:r>
      <w:r>
        <w:t xml:space="preserve"> </w:t>
      </w:r>
      <w:r w:rsidRPr="6908EE7F">
        <w:rPr>
          <w:i/>
          <w:iCs/>
        </w:rPr>
        <w:t xml:space="preserve">bids or energy offers, </w:t>
      </w:r>
      <w:r>
        <w:t>as applicable</w:t>
      </w:r>
      <w:r w:rsidRPr="6908EE7F">
        <w:rPr>
          <w:i/>
          <w:iCs/>
        </w:rPr>
        <w:t>,</w:t>
      </w:r>
      <w:r>
        <w:t xml:space="preserve"> for the day-ahead commitment process or in the </w:t>
      </w:r>
      <w:r w:rsidRPr="6908EE7F">
        <w:rPr>
          <w:i/>
          <w:iCs/>
        </w:rPr>
        <w:t>real-time market</w:t>
      </w:r>
      <w:r>
        <w:t xml:space="preserve"> for </w:t>
      </w:r>
      <w:r w:rsidRPr="6908EE7F">
        <w:rPr>
          <w:i/>
          <w:iCs/>
        </w:rPr>
        <w:t>auction capacity</w:t>
      </w:r>
      <w:r>
        <w:t xml:space="preserve"> up to their </w:t>
      </w:r>
      <w:r w:rsidRPr="6908EE7F">
        <w:rPr>
          <w:i/>
          <w:iCs/>
        </w:rPr>
        <w:t>capacity obligation</w:t>
      </w:r>
      <w:r>
        <w:t xml:space="preserve">.  The charge </w:t>
      </w:r>
      <w:r w:rsidR="5F0F980A">
        <w:t xml:space="preserve">is </w:t>
      </w:r>
      <w:ins w:id="1081" w:author="Author">
        <w:r w:rsidR="5F0F980A">
          <w:t xml:space="preserve">settled monthly and </w:t>
        </w:r>
        <w:r>
          <w:t xml:space="preserve">is </w:t>
        </w:r>
      </w:ins>
      <w:r>
        <w:t xml:space="preserve">calculated for each hour within the </w:t>
      </w:r>
      <w:r w:rsidRPr="6908EE7F">
        <w:rPr>
          <w:i/>
          <w:iCs/>
        </w:rPr>
        <w:t xml:space="preserve">availability </w:t>
      </w:r>
      <w:r>
        <w:t>window</w:t>
      </w:r>
      <w:ins w:id="1082" w:author="Author">
        <w:r>
          <w:t xml:space="preserve"> </w:t>
        </w:r>
        <w:r w:rsidR="54EE2A71">
          <w:t xml:space="preserve">of the </w:t>
        </w:r>
        <w:r w:rsidR="54EE2A71" w:rsidRPr="6908EE7F">
          <w:rPr>
            <w:i/>
            <w:iCs/>
          </w:rPr>
          <w:t>obligation period</w:t>
        </w:r>
      </w:ins>
      <w:r w:rsidR="54EE2A71">
        <w:t xml:space="preserve"> </w:t>
      </w:r>
      <w:r>
        <w:t>for each</w:t>
      </w:r>
      <w:r w:rsidRPr="6908EE7F">
        <w:rPr>
          <w:i/>
          <w:iCs/>
        </w:rPr>
        <w:t xml:space="preserve"> capacity auction resource</w:t>
      </w:r>
      <w:r>
        <w:t xml:space="preserve">. The total </w:t>
      </w:r>
      <w:r w:rsidRPr="6908EE7F">
        <w:rPr>
          <w:i/>
          <w:iCs/>
        </w:rPr>
        <w:t>auction capacity</w:t>
      </w:r>
      <w:r>
        <w:t xml:space="preserve"> delivered for each hour shall be capped in the assessment of availability charges at the </w:t>
      </w:r>
      <w:r w:rsidRPr="6908EE7F">
        <w:rPr>
          <w:i/>
          <w:iCs/>
        </w:rPr>
        <w:t>capacity obligation</w:t>
      </w:r>
      <w:r>
        <w:t xml:space="preserve"> amount.  The charge is applied using </w:t>
      </w:r>
      <w:r w:rsidRPr="6908EE7F">
        <w:rPr>
          <w:rFonts w:eastAsiaTheme="minorEastAsia"/>
          <w:i/>
          <w:iCs/>
        </w:rPr>
        <w:t>charge type</w:t>
      </w:r>
      <w:r w:rsidRPr="6908EE7F">
        <w:rPr>
          <w:rFonts w:eastAsiaTheme="minorEastAsia"/>
        </w:rPr>
        <w:t xml:space="preserve"> 1315 “Capacity Obligation – Availability Charge”.</w:t>
      </w:r>
    </w:p>
    <w:p w14:paraId="41CCD388" w14:textId="77777777" w:rsidR="00CD1FDE" w:rsidRDefault="00CD1FDE" w:rsidP="00CD1FDE">
      <w:pPr>
        <w:tabs>
          <w:tab w:val="left" w:pos="5209"/>
        </w:tabs>
        <w:spacing w:before="120"/>
        <w:rPr>
          <w:del w:id="1083" w:author="Author"/>
          <w:b/>
        </w:rPr>
      </w:pPr>
    </w:p>
    <w:p w14:paraId="69DBE5C4" w14:textId="77777777" w:rsidR="00CD1FDE" w:rsidRPr="00A71E1E" w:rsidRDefault="00CD1FDE" w:rsidP="00CD1FDE">
      <w:pPr>
        <w:tabs>
          <w:tab w:val="left" w:pos="5209"/>
        </w:tabs>
        <w:spacing w:before="120"/>
        <w:rPr>
          <w:del w:id="1084" w:author="Author"/>
          <w:b/>
        </w:rPr>
      </w:pPr>
    </w:p>
    <w:p w14:paraId="275952DD" w14:textId="1A71BC4E" w:rsidR="00CD1FDE" w:rsidRPr="00A71E1E" w:rsidRDefault="00771211" w:rsidP="00C500CB">
      <w:pPr>
        <w:keepNext/>
        <w:tabs>
          <w:tab w:val="left" w:pos="5209"/>
        </w:tabs>
        <w:spacing w:before="120"/>
        <w:rPr>
          <w:b/>
        </w:rPr>
      </w:pPr>
      <w:r w:rsidRPr="1735EC92">
        <w:rPr>
          <w:b/>
          <w:bCs/>
        </w:rPr>
        <w:t>Assessment for Demand Response Resources (Capacity Dispatchable Load Resources and HDR Resources)</w:t>
      </w:r>
    </w:p>
    <w:p w14:paraId="28CC9D09" w14:textId="77777777" w:rsidR="00CD1FDE" w:rsidRPr="00A71E1E" w:rsidRDefault="00CD1FDE" w:rsidP="00CD1FDE">
      <w:pPr>
        <w:tabs>
          <w:tab w:val="left" w:pos="5209"/>
        </w:tabs>
        <w:spacing w:before="120"/>
      </w:pPr>
      <w:r w:rsidRPr="00A71E1E">
        <w:t xml:space="preserve">A </w:t>
      </w:r>
      <w:r w:rsidRPr="00A71E1E">
        <w:rPr>
          <w:i/>
        </w:rPr>
        <w:t>demand response</w:t>
      </w:r>
      <w:r w:rsidRPr="00A410AE">
        <w:rPr>
          <w:i/>
        </w:rPr>
        <w:t xml:space="preserve"> </w:t>
      </w:r>
      <w:r w:rsidRPr="00A71E1E">
        <w:rPr>
          <w:i/>
        </w:rPr>
        <w:t>energy</w:t>
      </w:r>
      <w:r w:rsidRPr="00A71E1E">
        <w:t xml:space="preserve"> </w:t>
      </w:r>
      <w:r w:rsidRPr="00A71E1E">
        <w:rPr>
          <w:i/>
        </w:rPr>
        <w:t>bid</w:t>
      </w:r>
      <w:r w:rsidRPr="00A71E1E">
        <w:t xml:space="preserve"> signals to the </w:t>
      </w:r>
      <w:r w:rsidRPr="00A71E1E">
        <w:rPr>
          <w:i/>
        </w:rPr>
        <w:t>IESO</w:t>
      </w:r>
      <w:r w:rsidRPr="00A71E1E">
        <w:t xml:space="preserve"> a </w:t>
      </w:r>
      <w:r w:rsidRPr="00A71E1E">
        <w:rPr>
          <w:i/>
        </w:rPr>
        <w:t>demand response</w:t>
      </w:r>
      <w:r w:rsidRPr="00A410AE">
        <w:rPr>
          <w:i/>
        </w:rPr>
        <w:t xml:space="preserve"> resource’s</w:t>
      </w:r>
      <w:r w:rsidRPr="00A71E1E">
        <w:t xml:space="preserve"> availability to provide </w:t>
      </w:r>
      <w:r w:rsidRPr="00A71E1E">
        <w:rPr>
          <w:i/>
        </w:rPr>
        <w:t>auction</w:t>
      </w:r>
      <w:r w:rsidRPr="00A410AE">
        <w:t xml:space="preserve"> </w:t>
      </w:r>
      <w:r w:rsidRPr="00A71E1E">
        <w:rPr>
          <w:i/>
        </w:rPr>
        <w:t>capacity</w:t>
      </w:r>
      <w:r w:rsidRPr="00A71E1E">
        <w:t xml:space="preserve"> and the </w:t>
      </w:r>
      <w:r w:rsidRPr="00A71E1E">
        <w:rPr>
          <w:i/>
        </w:rPr>
        <w:t>dispatch algorithm</w:t>
      </w:r>
      <w:r w:rsidRPr="00A71E1E">
        <w:t xml:space="preserve"> uses the </w:t>
      </w:r>
      <w:r w:rsidRPr="00A71E1E">
        <w:rPr>
          <w:i/>
        </w:rPr>
        <w:t>demand response</w:t>
      </w:r>
      <w:r w:rsidRPr="00A410AE">
        <w:rPr>
          <w:i/>
        </w:rPr>
        <w:t xml:space="preserve"> </w:t>
      </w:r>
      <w:r w:rsidRPr="00A71E1E">
        <w:rPr>
          <w:i/>
        </w:rPr>
        <w:t>energy</w:t>
      </w:r>
      <w:r w:rsidRPr="00A71E1E">
        <w:t xml:space="preserve"> </w:t>
      </w:r>
      <w:r w:rsidRPr="00A71E1E">
        <w:rPr>
          <w:i/>
        </w:rPr>
        <w:t>bids</w:t>
      </w:r>
      <w:r w:rsidRPr="00A71E1E">
        <w:t xml:space="preserve"> to </w:t>
      </w:r>
      <w:r w:rsidRPr="00A71E1E">
        <w:rPr>
          <w:i/>
        </w:rPr>
        <w:t>dispatch</w:t>
      </w:r>
      <w:r w:rsidRPr="00A71E1E">
        <w:t xml:space="preserve"> (i.e. a </w:t>
      </w:r>
      <w:r w:rsidRPr="00F41B15">
        <w:rPr>
          <w:i/>
        </w:rPr>
        <w:t>capacity</w:t>
      </w:r>
      <w:r>
        <w:t xml:space="preserve"> </w:t>
      </w:r>
      <w:r w:rsidRPr="00A71E1E">
        <w:rPr>
          <w:i/>
        </w:rPr>
        <w:t>dispatchable load</w:t>
      </w:r>
      <w:r>
        <w:rPr>
          <w:i/>
        </w:rPr>
        <w:t xml:space="preserve"> resource</w:t>
      </w:r>
      <w:r w:rsidRPr="00A71E1E">
        <w:t xml:space="preserve">) or activate (i.e. an </w:t>
      </w:r>
      <w:r w:rsidRPr="23212D01">
        <w:rPr>
          <w:i/>
        </w:rPr>
        <w:t>HDR resource</w:t>
      </w:r>
      <w:r w:rsidRPr="00A71E1E">
        <w:t xml:space="preserve">) a </w:t>
      </w:r>
      <w:r w:rsidRPr="008D240D">
        <w:rPr>
          <w:i/>
        </w:rPr>
        <w:t>demand response</w:t>
      </w:r>
      <w:r w:rsidRPr="007E6A23">
        <w:rPr>
          <w:i/>
        </w:rPr>
        <w:t xml:space="preserve"> </w:t>
      </w:r>
      <w:r w:rsidRPr="00A410AE">
        <w:rPr>
          <w:i/>
        </w:rPr>
        <w:t>resource</w:t>
      </w:r>
      <w:r w:rsidRPr="00A71E1E">
        <w:t xml:space="preserve"> for </w:t>
      </w:r>
      <w:r w:rsidRPr="007E6A23">
        <w:t>delivering</w:t>
      </w:r>
      <w:r w:rsidRPr="00A410AE">
        <w:rPr>
          <w:i/>
        </w:rPr>
        <w:t xml:space="preserve"> </w:t>
      </w:r>
      <w:r w:rsidRPr="00A71E1E">
        <w:rPr>
          <w:i/>
        </w:rPr>
        <w:t>demand</w:t>
      </w:r>
      <w:r w:rsidRPr="00A410AE">
        <w:rPr>
          <w:i/>
        </w:rPr>
        <w:t xml:space="preserve"> </w:t>
      </w:r>
      <w:r w:rsidRPr="00A71E1E">
        <w:rPr>
          <w:i/>
        </w:rPr>
        <w:t>response capacity</w:t>
      </w:r>
      <w:r w:rsidRPr="00A71E1E">
        <w:t xml:space="preserve">. </w:t>
      </w:r>
    </w:p>
    <w:p w14:paraId="340A767B" w14:textId="77777777" w:rsidR="00CD1FDE" w:rsidRPr="00A71E1E" w:rsidRDefault="00CD1FDE" w:rsidP="00CD1FDE">
      <w:pPr>
        <w:tabs>
          <w:tab w:val="left" w:pos="5209"/>
        </w:tabs>
        <w:spacing w:before="120"/>
        <w:rPr>
          <w:del w:id="1085" w:author="Author"/>
        </w:rPr>
      </w:pPr>
      <w:r w:rsidRPr="00A71E1E">
        <w:t xml:space="preserve">The </w:t>
      </w:r>
      <w:r w:rsidRPr="00A71E1E">
        <w:rPr>
          <w:i/>
        </w:rPr>
        <w:t>IESO</w:t>
      </w:r>
      <w:r w:rsidRPr="00A71E1E">
        <w:t xml:space="preserve"> </w:t>
      </w:r>
      <w:r>
        <w:t>will</w:t>
      </w:r>
      <w:r w:rsidRPr="00A71E1E">
        <w:t xml:space="preserve"> apply an availability charge to any hour within the </w:t>
      </w:r>
      <w:r w:rsidRPr="00A410AE">
        <w:rPr>
          <w:i/>
        </w:rPr>
        <w:t>availability window</w:t>
      </w:r>
      <w:r w:rsidRPr="00A71E1E">
        <w:t xml:space="preserve"> where a </w:t>
      </w:r>
      <w:r w:rsidRPr="00A71E1E">
        <w:rPr>
          <w:i/>
        </w:rPr>
        <w:t>demand response</w:t>
      </w:r>
      <w:r w:rsidRPr="00A410AE">
        <w:rPr>
          <w:i/>
        </w:rPr>
        <w:t xml:space="preserve"> </w:t>
      </w:r>
      <w:r w:rsidRPr="00A71E1E">
        <w:rPr>
          <w:i/>
        </w:rPr>
        <w:t>energy</w:t>
      </w:r>
      <w:r w:rsidRPr="00A71E1E">
        <w:t xml:space="preserve"> </w:t>
      </w:r>
      <w:r w:rsidRPr="00A71E1E">
        <w:rPr>
          <w:i/>
        </w:rPr>
        <w:t>bid</w:t>
      </w:r>
      <w:r w:rsidRPr="00A71E1E">
        <w:t xml:space="preserve"> for the amount of the </w:t>
      </w:r>
      <w:r w:rsidRPr="00A71E1E">
        <w:rPr>
          <w:i/>
        </w:rPr>
        <w:t>capacity obligation</w:t>
      </w:r>
      <w:r w:rsidRPr="00A71E1E">
        <w:t xml:space="preserve"> is not submitted and maintained from the day-ahead commitment process </w:t>
      </w:r>
      <w:r>
        <w:t>through to</w:t>
      </w:r>
      <w:r w:rsidRPr="00A71E1E">
        <w:t xml:space="preserve"> real-time. The quantity of </w:t>
      </w:r>
      <w:r w:rsidRPr="00806D87">
        <w:rPr>
          <w:i/>
        </w:rPr>
        <w:t>auction</w:t>
      </w:r>
      <w:r w:rsidRPr="00A410AE">
        <w:t xml:space="preserve"> </w:t>
      </w:r>
      <w:r w:rsidRPr="007E6A23">
        <w:rPr>
          <w:i/>
        </w:rPr>
        <w:t>capacity</w:t>
      </w:r>
      <w:r w:rsidRPr="00A71E1E">
        <w:t xml:space="preserve"> </w:t>
      </w:r>
      <w:r>
        <w:t>assessed for availability</w:t>
      </w:r>
      <w:r w:rsidRPr="00A71E1E">
        <w:t xml:space="preserve"> is the lesser quantity of the </w:t>
      </w:r>
      <w:r w:rsidRPr="00A71E1E">
        <w:rPr>
          <w:i/>
        </w:rPr>
        <w:t>demand response</w:t>
      </w:r>
      <w:r w:rsidRPr="00A410AE">
        <w:rPr>
          <w:i/>
        </w:rPr>
        <w:t xml:space="preserve"> </w:t>
      </w:r>
      <w:r w:rsidRPr="00A71E1E">
        <w:rPr>
          <w:i/>
        </w:rPr>
        <w:t>energy</w:t>
      </w:r>
      <w:r w:rsidRPr="00A71E1E">
        <w:t xml:space="preserve"> </w:t>
      </w:r>
      <w:r w:rsidRPr="00A71E1E">
        <w:rPr>
          <w:i/>
        </w:rPr>
        <w:t>bids</w:t>
      </w:r>
      <w:r w:rsidRPr="00A71E1E">
        <w:t xml:space="preserve"> submitted from day-ahead</w:t>
      </w:r>
      <w:r>
        <w:t xml:space="preserve"> commitment process through to</w:t>
      </w:r>
      <w:r w:rsidRPr="00A71E1E">
        <w:t xml:space="preserve"> pre-dispatch </w:t>
      </w:r>
      <w:r>
        <w:t xml:space="preserve">and until </w:t>
      </w:r>
      <w:r w:rsidRPr="00A71E1E">
        <w:t xml:space="preserve">real-time (for an hour within the </w:t>
      </w:r>
      <w:r w:rsidRPr="007E6A23">
        <w:rPr>
          <w:i/>
        </w:rPr>
        <w:t>availability window</w:t>
      </w:r>
      <w:r w:rsidRPr="00A71E1E">
        <w:t>).</w:t>
      </w:r>
      <w:r w:rsidR="00167C29">
        <w:t xml:space="preserve"> For each resource, the quantity of the </w:t>
      </w:r>
      <w:r w:rsidR="00167C29">
        <w:rPr>
          <w:i/>
        </w:rPr>
        <w:t>demand response</w:t>
      </w:r>
      <w:r w:rsidR="00167C29">
        <w:t xml:space="preserve"> </w:t>
      </w:r>
      <w:r w:rsidR="00167C29">
        <w:rPr>
          <w:i/>
        </w:rPr>
        <w:t>energy bid</w:t>
      </w:r>
      <w:r w:rsidR="00167C29">
        <w:t xml:space="preserve"> used towards the quantity of </w:t>
      </w:r>
      <w:r w:rsidR="00167C29">
        <w:rPr>
          <w:i/>
        </w:rPr>
        <w:t>auction</w:t>
      </w:r>
      <w:r w:rsidR="00167C29">
        <w:t xml:space="preserve"> </w:t>
      </w:r>
      <w:r w:rsidR="00167C29">
        <w:rPr>
          <w:i/>
        </w:rPr>
        <w:t>capacity</w:t>
      </w:r>
      <w:r w:rsidR="00167C29">
        <w:t xml:space="preserve"> assessment is capped at the resource’s registered capability.</w:t>
      </w:r>
    </w:p>
    <w:p w14:paraId="45A3D81F" w14:textId="3F84493E" w:rsidR="00CD1FDE" w:rsidRPr="007E6A23" w:rsidRDefault="6E399ADC" w:rsidP="001622B1">
      <w:pPr>
        <w:tabs>
          <w:tab w:val="left" w:pos="5209"/>
        </w:tabs>
        <w:spacing w:before="120"/>
        <w:rPr>
          <w:i/>
        </w:rPr>
      </w:pPr>
      <w:ins w:id="1086" w:author="Author">
        <w:r>
          <w:t xml:space="preserve"> </w:t>
        </w:r>
      </w:ins>
      <w:r w:rsidR="00CD1FDE" w:rsidRPr="0072127B">
        <w:rPr>
          <w:b/>
          <w:i/>
        </w:rPr>
        <w:t xml:space="preserve">Additional </w:t>
      </w:r>
      <w:r w:rsidR="00CD1FDE" w:rsidRPr="007E6A23">
        <w:rPr>
          <w:b/>
          <w:i/>
        </w:rPr>
        <w:t>Considerations for HDR Resources</w:t>
      </w:r>
    </w:p>
    <w:p w14:paraId="39A6F1DB" w14:textId="0C82B4F6" w:rsidR="00CD1FDE" w:rsidRPr="00A71E1E" w:rsidRDefault="3F52F35D" w:rsidP="00CD1FDE">
      <w:pPr>
        <w:tabs>
          <w:tab w:val="left" w:pos="5209"/>
        </w:tabs>
      </w:pPr>
      <w:r w:rsidRPr="00BC24DB">
        <w:rPr>
          <w:i/>
          <w:iCs/>
        </w:rPr>
        <w:t>HDR resources</w:t>
      </w:r>
      <w:r>
        <w:t xml:space="preserve"> must have </w:t>
      </w:r>
      <w:r w:rsidRPr="2555FB08">
        <w:rPr>
          <w:i/>
          <w:iCs/>
        </w:rPr>
        <w:t>demand response</w:t>
      </w:r>
      <w:r>
        <w:t xml:space="preserve"> </w:t>
      </w:r>
      <w:r w:rsidRPr="2555FB08">
        <w:rPr>
          <w:i/>
          <w:iCs/>
        </w:rPr>
        <w:t>energy</w:t>
      </w:r>
      <w:r>
        <w:t xml:space="preserve"> </w:t>
      </w:r>
      <w:r w:rsidRPr="2555FB08">
        <w:rPr>
          <w:i/>
          <w:iCs/>
        </w:rPr>
        <w:t>bids</w:t>
      </w:r>
      <w:r>
        <w:t xml:space="preserve"> that are part of a block of four (4) consecutive hours or more.  </w:t>
      </w:r>
      <w:r w:rsidRPr="2555FB08">
        <w:rPr>
          <w:i/>
          <w:iCs/>
        </w:rPr>
        <w:t>Demand response</w:t>
      </w:r>
      <w:r>
        <w:t xml:space="preserve"> </w:t>
      </w:r>
      <w:r w:rsidRPr="2555FB08">
        <w:rPr>
          <w:i/>
          <w:iCs/>
        </w:rPr>
        <w:t>energy</w:t>
      </w:r>
      <w:r>
        <w:t xml:space="preserve"> </w:t>
      </w:r>
      <w:r w:rsidRPr="2555FB08">
        <w:rPr>
          <w:i/>
          <w:iCs/>
        </w:rPr>
        <w:t>bids</w:t>
      </w:r>
      <w:r>
        <w:t xml:space="preserve"> for hours that are not part of at least four (4) consecutive hours will be treated as if no </w:t>
      </w:r>
      <w:r w:rsidRPr="2555FB08">
        <w:rPr>
          <w:i/>
          <w:iCs/>
        </w:rPr>
        <w:t>demand response</w:t>
      </w:r>
      <w:r>
        <w:t xml:space="preserve"> </w:t>
      </w:r>
      <w:r w:rsidRPr="2555FB08">
        <w:rPr>
          <w:i/>
          <w:iCs/>
        </w:rPr>
        <w:t>energy</w:t>
      </w:r>
      <w:r>
        <w:t xml:space="preserve"> </w:t>
      </w:r>
      <w:r w:rsidRPr="2555FB08">
        <w:rPr>
          <w:i/>
          <w:iCs/>
        </w:rPr>
        <w:t>bids</w:t>
      </w:r>
      <w:r>
        <w:t xml:space="preserve"> were submitted for the hours and such hours will contribute to the availability charge for the day.</w:t>
      </w:r>
    </w:p>
    <w:p w14:paraId="54993B2B" w14:textId="3929985D" w:rsidR="00CD1FDE" w:rsidRPr="00A71E1E" w:rsidRDefault="3F52F35D" w:rsidP="00CD1FDE">
      <w:pPr>
        <w:tabs>
          <w:tab w:val="left" w:pos="5209"/>
        </w:tabs>
      </w:pPr>
      <w:r>
        <w:t xml:space="preserve">Furthermore, the quantity of </w:t>
      </w:r>
      <w:r w:rsidRPr="34141670">
        <w:rPr>
          <w:i/>
          <w:iCs/>
        </w:rPr>
        <w:t>auction capacity</w:t>
      </w:r>
      <w:r>
        <w:t xml:space="preserve"> assessed for availability will be considered as zero for any hours in which no </w:t>
      </w:r>
      <w:r w:rsidRPr="34141670">
        <w:rPr>
          <w:i/>
          <w:iCs/>
        </w:rPr>
        <w:t>demand response</w:t>
      </w:r>
      <w:r>
        <w:t xml:space="preserve"> </w:t>
      </w:r>
      <w:r w:rsidRPr="34141670">
        <w:rPr>
          <w:i/>
          <w:iCs/>
        </w:rPr>
        <w:t>energy</w:t>
      </w:r>
      <w:r>
        <w:t xml:space="preserve"> </w:t>
      </w:r>
      <w:r w:rsidRPr="34141670">
        <w:rPr>
          <w:i/>
          <w:iCs/>
        </w:rPr>
        <w:t>bids</w:t>
      </w:r>
      <w:r>
        <w:t xml:space="preserve"> were submitted or deemed to not have been submitted (specific to </w:t>
      </w:r>
      <w:r w:rsidRPr="00BC24DB">
        <w:rPr>
          <w:i/>
          <w:iCs/>
        </w:rPr>
        <w:t>HDR resources</w:t>
      </w:r>
      <w:r w:rsidR="74A03140">
        <w:t>).</w:t>
      </w:r>
      <w:r>
        <w:t xml:space="preserve"> When the </w:t>
      </w:r>
      <w:r w:rsidRPr="34141670">
        <w:rPr>
          <w:i/>
          <w:iCs/>
        </w:rPr>
        <w:t>IESO</w:t>
      </w:r>
      <w:r>
        <w:t xml:space="preserve"> has issued a standby notice, all </w:t>
      </w:r>
      <w:r w:rsidRPr="34141670">
        <w:rPr>
          <w:i/>
          <w:iCs/>
        </w:rPr>
        <w:t>demand response</w:t>
      </w:r>
      <w:r>
        <w:t xml:space="preserve"> </w:t>
      </w:r>
      <w:r w:rsidRPr="34141670">
        <w:rPr>
          <w:i/>
          <w:iCs/>
        </w:rPr>
        <w:t>energy</w:t>
      </w:r>
      <w:r>
        <w:t xml:space="preserve"> </w:t>
      </w:r>
      <w:r w:rsidRPr="34141670">
        <w:rPr>
          <w:i/>
          <w:iCs/>
        </w:rPr>
        <w:t>bids</w:t>
      </w:r>
      <w:r>
        <w:t xml:space="preserve"> submitted after 7am of the </w:t>
      </w:r>
      <w:r w:rsidRPr="34141670">
        <w:rPr>
          <w:i/>
          <w:iCs/>
        </w:rPr>
        <w:t>dispatch day</w:t>
      </w:r>
      <w:r>
        <w:t xml:space="preserve"> will be used in the availability assessment of </w:t>
      </w:r>
      <w:r w:rsidRPr="34141670">
        <w:rPr>
          <w:i/>
          <w:iCs/>
        </w:rPr>
        <w:t>auction</w:t>
      </w:r>
      <w:r>
        <w:t xml:space="preserve"> </w:t>
      </w:r>
      <w:r w:rsidRPr="34141670">
        <w:rPr>
          <w:i/>
          <w:iCs/>
        </w:rPr>
        <w:t>capacity</w:t>
      </w:r>
      <w:r>
        <w:t xml:space="preserve">.  Details on standby notices and submission of </w:t>
      </w:r>
      <w:r w:rsidRPr="34141670">
        <w:rPr>
          <w:i/>
          <w:iCs/>
        </w:rPr>
        <w:t>dispatch data</w:t>
      </w:r>
      <w:r>
        <w:t xml:space="preserve"> in the </w:t>
      </w:r>
      <w:r w:rsidRPr="34141670">
        <w:rPr>
          <w:i/>
          <w:iCs/>
        </w:rPr>
        <w:t>energy market</w:t>
      </w:r>
      <w:r>
        <w:t xml:space="preserve"> can be found in </w:t>
      </w:r>
      <w:del w:id="1087" w:author="Author">
        <w:r w:rsidR="00CD1FDE" w:rsidRPr="00A71E1E">
          <w:delText xml:space="preserve">Section </w:delText>
        </w:r>
        <w:r w:rsidR="000B2122">
          <w:delText>5.3</w:delText>
        </w:r>
        <w:r w:rsidR="00CD1FDE" w:rsidRPr="00A71E1E">
          <w:delText xml:space="preserve"> of </w:delText>
        </w:r>
      </w:del>
      <w:r w:rsidR="5DC615DB">
        <w:t>Market Manual</w:t>
      </w:r>
      <w:del w:id="1088" w:author="Author">
        <w:r w:rsidR="00CD1FDE" w:rsidRPr="00A71E1E">
          <w:delText>, Part 12: Capacity Auctions.</w:delText>
        </w:r>
      </w:del>
      <w:ins w:id="1089" w:author="Author">
        <w:r w:rsidR="5DC615DB">
          <w:t xml:space="preserve"> 4.2: Submission of Disp</w:t>
        </w:r>
        <w:r w:rsidR="00D6308C">
          <w:t>at</w:t>
        </w:r>
        <w:r w:rsidR="5DC615DB">
          <w:t>ch Data in the Real-Time Energy and Operating Reserve Markets and Market Manual 4.3: Real-time Scheduling of Physi</w:t>
        </w:r>
        <w:r w:rsidR="0EAAAC4B">
          <w:t>c</w:t>
        </w:r>
        <w:r w:rsidR="5DC615DB">
          <w:t>al Markets</w:t>
        </w:r>
        <w:r>
          <w:t>.</w:t>
        </w:r>
      </w:ins>
    </w:p>
    <w:p w14:paraId="157FCDF2" w14:textId="33DF281A" w:rsidR="00CD1FDE" w:rsidRPr="00A71E1E" w:rsidRDefault="00CD1FDE" w:rsidP="00C500CB">
      <w:pPr>
        <w:tabs>
          <w:tab w:val="left" w:pos="5209"/>
        </w:tabs>
        <w:spacing w:before="240"/>
        <w:rPr>
          <w:b/>
        </w:rPr>
      </w:pPr>
      <w:r w:rsidRPr="00A71E1E">
        <w:rPr>
          <w:b/>
        </w:rPr>
        <w:t xml:space="preserve">Assessment for </w:t>
      </w:r>
      <w:r w:rsidRPr="00F72A84">
        <w:rPr>
          <w:b/>
          <w:i/>
        </w:rPr>
        <w:t>Capacity Generation Resources</w:t>
      </w:r>
    </w:p>
    <w:p w14:paraId="630C70EA" w14:textId="77777777" w:rsidR="00CD1FDE" w:rsidRPr="00A71E1E" w:rsidRDefault="00CD1FDE" w:rsidP="00C500CB">
      <w:pPr>
        <w:spacing w:before="120" w:after="120"/>
        <w:rPr>
          <w:rFonts w:eastAsia="Calibri"/>
          <w:i/>
        </w:rPr>
      </w:pPr>
      <w:r w:rsidRPr="00A71E1E">
        <w:rPr>
          <w:rFonts w:eastAsia="Calibri"/>
        </w:rPr>
        <w:t xml:space="preserve">An </w:t>
      </w:r>
      <w:r w:rsidRPr="00A71E1E">
        <w:rPr>
          <w:rFonts w:eastAsia="Calibri"/>
          <w:i/>
          <w:iCs/>
        </w:rPr>
        <w:t>energy offer</w:t>
      </w:r>
      <w:r w:rsidRPr="00A71E1E">
        <w:rPr>
          <w:rFonts w:eastAsia="Calibri"/>
        </w:rPr>
        <w:t xml:space="preserve"> signals, to the </w:t>
      </w:r>
      <w:r w:rsidRPr="00A71E1E">
        <w:rPr>
          <w:rFonts w:eastAsia="Calibri"/>
          <w:i/>
          <w:iCs/>
        </w:rPr>
        <w:t>IESO,</w:t>
      </w:r>
      <w:r w:rsidRPr="00A71E1E">
        <w:rPr>
          <w:rFonts w:eastAsia="Calibri"/>
        </w:rPr>
        <w:t xml:space="preserve"> a generator’s availability to provide energy</w:t>
      </w:r>
      <w:r>
        <w:rPr>
          <w:rFonts w:eastAsia="Calibri"/>
        </w:rPr>
        <w:t xml:space="preserve"> in order to meet its </w:t>
      </w:r>
      <w:r w:rsidRPr="008D240D">
        <w:rPr>
          <w:rFonts w:eastAsia="Calibri"/>
          <w:i/>
        </w:rPr>
        <w:t>capacity obligation</w:t>
      </w:r>
      <w:r w:rsidRPr="00A71E1E">
        <w:rPr>
          <w:rFonts w:eastAsia="Calibri"/>
        </w:rPr>
        <w:t xml:space="preserve">. The </w:t>
      </w:r>
      <w:r w:rsidRPr="00A71E1E">
        <w:rPr>
          <w:rFonts w:eastAsia="Calibri"/>
          <w:i/>
          <w:iCs/>
        </w:rPr>
        <w:t>dispatch algorithm</w:t>
      </w:r>
      <w:r w:rsidRPr="00A71E1E">
        <w:rPr>
          <w:rFonts w:eastAsia="Calibri"/>
        </w:rPr>
        <w:t xml:space="preserve"> uses the </w:t>
      </w:r>
      <w:r w:rsidRPr="00A71E1E">
        <w:rPr>
          <w:rFonts w:eastAsia="Calibri"/>
          <w:i/>
          <w:iCs/>
        </w:rPr>
        <w:t>energy</w:t>
      </w:r>
      <w:r w:rsidRPr="00A71E1E">
        <w:rPr>
          <w:rFonts w:eastAsia="Calibri"/>
        </w:rPr>
        <w:t xml:space="preserve"> </w:t>
      </w:r>
      <w:r w:rsidRPr="00A71E1E">
        <w:rPr>
          <w:rFonts w:eastAsia="Calibri"/>
          <w:i/>
          <w:iCs/>
        </w:rPr>
        <w:t>offer</w:t>
      </w:r>
      <w:r w:rsidRPr="00A71E1E">
        <w:rPr>
          <w:rFonts w:eastAsia="Calibri"/>
        </w:rPr>
        <w:t xml:space="preserve"> to </w:t>
      </w:r>
      <w:r w:rsidRPr="00A71E1E">
        <w:rPr>
          <w:rFonts w:eastAsia="Calibri"/>
          <w:i/>
          <w:iCs/>
        </w:rPr>
        <w:t>dispatch</w:t>
      </w:r>
      <w:r w:rsidRPr="00A71E1E">
        <w:rPr>
          <w:rFonts w:eastAsia="Calibri"/>
        </w:rPr>
        <w:t xml:space="preserve"> a resource for delivering </w:t>
      </w:r>
      <w:r w:rsidRPr="00A71E1E">
        <w:rPr>
          <w:rFonts w:eastAsia="Calibri"/>
          <w:i/>
        </w:rPr>
        <w:t xml:space="preserve">auction capacity. </w:t>
      </w:r>
    </w:p>
    <w:p w14:paraId="1C1B84A0" w14:textId="45EBE131" w:rsidR="00CD1FDE" w:rsidRPr="00A71E1E" w:rsidRDefault="00CD1FDE" w:rsidP="00CD1FDE">
      <w:pPr>
        <w:rPr>
          <w:rFonts w:eastAsia="Calibri"/>
        </w:rPr>
      </w:pPr>
      <w:r w:rsidRPr="00A71E1E">
        <w:rPr>
          <w:rFonts w:eastAsia="Calibri"/>
        </w:rPr>
        <w:t xml:space="preserve">The IESO </w:t>
      </w:r>
      <w:r>
        <w:rPr>
          <w:rFonts w:eastAsia="Calibri"/>
        </w:rPr>
        <w:t>will</w:t>
      </w:r>
      <w:r w:rsidRPr="00A71E1E">
        <w:rPr>
          <w:rFonts w:eastAsia="Calibri"/>
        </w:rPr>
        <w:t xml:space="preserve"> apply an availability charge to any hour within the </w:t>
      </w:r>
      <w:r w:rsidRPr="00A410AE">
        <w:rPr>
          <w:rFonts w:eastAsia="Calibri"/>
          <w:i/>
        </w:rPr>
        <w:t>availability window</w:t>
      </w:r>
      <w:r w:rsidRPr="00A71E1E">
        <w:rPr>
          <w:rFonts w:eastAsia="Calibri"/>
        </w:rPr>
        <w:t xml:space="preserve"> where a </w:t>
      </w:r>
      <w:r w:rsidRPr="00F72A84">
        <w:rPr>
          <w:rFonts w:eastAsia="Calibri"/>
          <w:i/>
        </w:rPr>
        <w:t>CMP</w:t>
      </w:r>
      <w:r w:rsidRPr="00A71E1E">
        <w:rPr>
          <w:rFonts w:eastAsia="Calibri"/>
        </w:rPr>
        <w:t xml:space="preserve"> participating with a </w:t>
      </w:r>
      <w:r w:rsidRPr="00A71E1E">
        <w:rPr>
          <w:rFonts w:eastAsia="Calibri"/>
          <w:i/>
          <w:iCs/>
        </w:rPr>
        <w:t xml:space="preserve">capacity generation resource </w:t>
      </w:r>
      <w:r w:rsidRPr="00A71E1E">
        <w:rPr>
          <w:rFonts w:eastAsia="Calibri"/>
        </w:rPr>
        <w:t xml:space="preserve">fails to submit an </w:t>
      </w:r>
      <w:r w:rsidRPr="007E6A23">
        <w:rPr>
          <w:rFonts w:eastAsia="Calibri"/>
          <w:i/>
        </w:rPr>
        <w:t>energy offer</w:t>
      </w:r>
      <w:r w:rsidRPr="00A71E1E">
        <w:rPr>
          <w:rFonts w:eastAsia="Calibri"/>
        </w:rPr>
        <w:t xml:space="preserve"> </w:t>
      </w:r>
      <w:r>
        <w:rPr>
          <w:rFonts w:eastAsia="Calibri"/>
        </w:rPr>
        <w:t xml:space="preserve">for their </w:t>
      </w:r>
      <w:r w:rsidRPr="004E3FB4">
        <w:rPr>
          <w:rFonts w:eastAsia="Calibri"/>
          <w:i/>
        </w:rPr>
        <w:t>capacity generation resource</w:t>
      </w:r>
      <w:r>
        <w:rPr>
          <w:rFonts w:eastAsia="Calibri"/>
        </w:rPr>
        <w:t xml:space="preserve"> </w:t>
      </w:r>
      <w:r w:rsidRPr="00A71E1E">
        <w:rPr>
          <w:rFonts w:eastAsia="Calibri"/>
        </w:rPr>
        <w:t xml:space="preserve">with a quantity greater than or equal to their </w:t>
      </w:r>
      <w:r w:rsidRPr="005424C7">
        <w:rPr>
          <w:rFonts w:eastAsia="Calibri"/>
          <w:i/>
        </w:rPr>
        <w:t>capacity obligation</w:t>
      </w:r>
      <w:r w:rsidRPr="00A71E1E">
        <w:rPr>
          <w:rFonts w:eastAsia="Calibri"/>
        </w:rPr>
        <w:t xml:space="preserve"> quantity in the following periods:</w:t>
      </w:r>
    </w:p>
    <w:p w14:paraId="66BBBEF8" w14:textId="77777777" w:rsidR="00CD1FDE" w:rsidRPr="00A71E1E" w:rsidRDefault="00CD1FDE" w:rsidP="00CD1FDE">
      <w:pPr>
        <w:numPr>
          <w:ilvl w:val="1"/>
          <w:numId w:val="76"/>
        </w:numPr>
        <w:rPr>
          <w:rFonts w:eastAsia="Calibri"/>
        </w:rPr>
      </w:pPr>
      <w:r w:rsidRPr="00A71E1E">
        <w:rPr>
          <w:rFonts w:eastAsia="Calibri"/>
        </w:rPr>
        <w:t>in the day-ahead commitment process</w:t>
      </w:r>
    </w:p>
    <w:p w14:paraId="4B9A2FEC" w14:textId="77777777" w:rsidR="00CD1FDE" w:rsidRPr="00A71E1E" w:rsidRDefault="00CD1FDE" w:rsidP="00CD1FDE">
      <w:pPr>
        <w:numPr>
          <w:ilvl w:val="1"/>
          <w:numId w:val="76"/>
        </w:numPr>
        <w:rPr>
          <w:rFonts w:eastAsia="Calibri"/>
        </w:rPr>
      </w:pPr>
      <w:r w:rsidRPr="00A71E1E">
        <w:rPr>
          <w:rFonts w:eastAsia="Calibri"/>
        </w:rPr>
        <w:t xml:space="preserve">in </w:t>
      </w:r>
      <w:r w:rsidRPr="005424C7">
        <w:rPr>
          <w:rFonts w:eastAsia="Calibri"/>
          <w:i/>
        </w:rPr>
        <w:t>pre-dispatch</w:t>
      </w:r>
      <w:r w:rsidRPr="00A71E1E">
        <w:rPr>
          <w:rFonts w:eastAsia="Calibri"/>
        </w:rPr>
        <w:t xml:space="preserve"> for each </w:t>
      </w:r>
      <w:r w:rsidRPr="000F565B">
        <w:rPr>
          <w:rFonts w:eastAsia="Calibri"/>
          <w:i/>
        </w:rPr>
        <w:t>pre-dispatch</w:t>
      </w:r>
      <w:r w:rsidRPr="00A71E1E">
        <w:rPr>
          <w:rFonts w:eastAsia="Calibri"/>
        </w:rPr>
        <w:t xml:space="preserve"> run up to an hour specific to each </w:t>
      </w:r>
      <w:r w:rsidRPr="00A71E1E">
        <w:rPr>
          <w:rFonts w:eastAsia="Calibri"/>
          <w:i/>
          <w:iCs/>
        </w:rPr>
        <w:t xml:space="preserve">capacity generation resource </w:t>
      </w:r>
      <w:r w:rsidRPr="00A71E1E">
        <w:rPr>
          <w:rFonts w:eastAsia="Calibri"/>
        </w:rPr>
        <w:t xml:space="preserve">relative to each hour of availability. </w:t>
      </w:r>
    </w:p>
    <w:p w14:paraId="752D45ED" w14:textId="75D78B44" w:rsidR="00CD1FDE" w:rsidRDefault="00CD1FDE" w:rsidP="00CD1FDE">
      <w:pPr>
        <w:rPr>
          <w:rFonts w:eastAsia="Calibri"/>
        </w:rPr>
      </w:pPr>
      <w:r w:rsidRPr="00A71E1E">
        <w:rPr>
          <w:rFonts w:eastAsia="Calibri"/>
        </w:rPr>
        <w:t xml:space="preserve">The last feasible availability assessment in </w:t>
      </w:r>
      <w:r w:rsidRPr="000F565B">
        <w:rPr>
          <w:rFonts w:eastAsia="Calibri"/>
          <w:i/>
        </w:rPr>
        <w:t>pre-dispatch</w:t>
      </w:r>
      <w:r w:rsidRPr="00A71E1E">
        <w:rPr>
          <w:rFonts w:eastAsia="Calibri"/>
        </w:rPr>
        <w:t xml:space="preserve"> relative to each hour of availability within the </w:t>
      </w:r>
      <w:r w:rsidRPr="000613B3">
        <w:rPr>
          <w:rFonts w:eastAsia="Calibri"/>
          <w:i/>
        </w:rPr>
        <w:t>availability window</w:t>
      </w:r>
      <w:r w:rsidRPr="00A71E1E">
        <w:rPr>
          <w:rFonts w:eastAsia="Calibri"/>
        </w:rPr>
        <w:t xml:space="preserve"> will be resource-specific for each generator </w:t>
      </w:r>
      <w:r w:rsidRPr="00F72A84">
        <w:rPr>
          <w:rFonts w:eastAsia="Calibri"/>
          <w:i/>
        </w:rPr>
        <w:t>CMP</w:t>
      </w:r>
      <w:r w:rsidRPr="00A71E1E">
        <w:rPr>
          <w:rFonts w:eastAsia="Calibri"/>
        </w:rPr>
        <w:t xml:space="preserve">.  The assessment timeframe will be based on the </w:t>
      </w:r>
      <w:r w:rsidRPr="000F565B">
        <w:rPr>
          <w:rFonts w:eastAsia="Calibri"/>
        </w:rPr>
        <w:t>generator characteristics</w:t>
      </w:r>
      <w:r w:rsidRPr="00A71E1E">
        <w:rPr>
          <w:rFonts w:eastAsia="Calibri"/>
        </w:rPr>
        <w:t xml:space="preserve"> and will reflect the greater of: 1) the generator’s registered elapsed time to dispatch</w:t>
      </w:r>
      <w:r w:rsidRPr="00A71E1E">
        <w:rPr>
          <w:rStyle w:val="FootnoteReference"/>
          <w:rFonts w:eastAsia="Calibri"/>
        </w:rPr>
        <w:footnoteReference w:id="34"/>
      </w:r>
      <w:r w:rsidRPr="00A71E1E">
        <w:rPr>
          <w:rFonts w:eastAsia="Calibri"/>
        </w:rPr>
        <w:t>, 2) the generator’s minimum generation block down time</w:t>
      </w:r>
      <w:r w:rsidRPr="00A71E1E">
        <w:rPr>
          <w:rStyle w:val="FootnoteReference"/>
          <w:rFonts w:eastAsia="Calibri"/>
        </w:rPr>
        <w:footnoteReference w:id="35"/>
      </w:r>
      <w:r w:rsidRPr="00A71E1E">
        <w:rPr>
          <w:rFonts w:eastAsia="Calibri"/>
        </w:rPr>
        <w:t xml:space="preserve">, and 3) 2-hour mandatory window. </w:t>
      </w:r>
    </w:p>
    <w:p w14:paraId="64E08317" w14:textId="77040D74" w:rsidR="00CD1FDE" w:rsidRPr="00CC5829" w:rsidRDefault="00CD1FDE" w:rsidP="00C500CB">
      <w:pPr>
        <w:tabs>
          <w:tab w:val="left" w:pos="5209"/>
        </w:tabs>
        <w:spacing w:before="240"/>
        <w:rPr>
          <w:b/>
          <w:i/>
        </w:rPr>
      </w:pPr>
      <w:r w:rsidRPr="00F82C37">
        <w:rPr>
          <w:b/>
        </w:rPr>
        <w:t xml:space="preserve">Assessment for </w:t>
      </w:r>
      <w:ins w:id="1091" w:author="Author">
        <w:r w:rsidR="00D4483A">
          <w:rPr>
            <w:i/>
          </w:rPr>
          <w:t>System-</w:t>
        </w:r>
        <w:r w:rsidR="00F72A84">
          <w:rPr>
            <w:i/>
          </w:rPr>
          <w:t>Backed</w:t>
        </w:r>
        <w:r w:rsidR="00F72A84" w:rsidRPr="00F72A84">
          <w:rPr>
            <w:b/>
            <w:i/>
          </w:rPr>
          <w:t xml:space="preserve"> </w:t>
        </w:r>
        <w:r w:rsidRPr="00F72A84">
          <w:rPr>
            <w:b/>
            <w:i/>
          </w:rPr>
          <w:t>Capacity Import Resources</w:t>
        </w:r>
        <w:r w:rsidR="00DA3708">
          <w:rPr>
            <w:b/>
          </w:rPr>
          <w:t xml:space="preserve"> and </w:t>
        </w:r>
        <w:r w:rsidR="00DA3708" w:rsidRPr="00CC5829">
          <w:rPr>
            <w:b/>
            <w:i/>
          </w:rPr>
          <w:t>Generator</w:t>
        </w:r>
        <w:r w:rsidR="00D4483A" w:rsidRPr="00CC5829">
          <w:rPr>
            <w:b/>
            <w:i/>
          </w:rPr>
          <w:t>-</w:t>
        </w:r>
        <w:r w:rsidR="00DA3708" w:rsidRPr="00CC5829">
          <w:rPr>
            <w:b/>
            <w:i/>
          </w:rPr>
          <w:t xml:space="preserve">Backed </w:t>
        </w:r>
      </w:ins>
      <w:r w:rsidR="00DA3708" w:rsidRPr="00CC5829">
        <w:rPr>
          <w:b/>
          <w:i/>
        </w:rPr>
        <w:t>Capacity Import Resources</w:t>
      </w:r>
    </w:p>
    <w:p w14:paraId="1411FC13" w14:textId="17924788" w:rsidR="00CD1FDE" w:rsidRDefault="00CD1FDE" w:rsidP="00A410AE">
      <w:r w:rsidRPr="00806D87">
        <w:t xml:space="preserve">The IESO </w:t>
      </w:r>
      <w:r>
        <w:t>will</w:t>
      </w:r>
      <w:r w:rsidRPr="00806D87">
        <w:t xml:space="preserve"> apply an availability charge to any hour within the </w:t>
      </w:r>
      <w:r w:rsidRPr="00806D87">
        <w:rPr>
          <w:i/>
        </w:rPr>
        <w:t>availability window</w:t>
      </w:r>
      <w:r>
        <w:t xml:space="preserve"> </w:t>
      </w:r>
      <w:r w:rsidRPr="00806D87">
        <w:t>where a</w:t>
      </w:r>
      <w:r>
        <w:t>n</w:t>
      </w:r>
      <w:r w:rsidRPr="00806D87">
        <w:t xml:space="preserve"> </w:t>
      </w:r>
      <w:r w:rsidRPr="00806D87">
        <w:rPr>
          <w:i/>
        </w:rPr>
        <w:t>energy offer</w:t>
      </w:r>
      <w:r>
        <w:t xml:space="preserve"> </w:t>
      </w:r>
      <w:r w:rsidRPr="00806D87">
        <w:t xml:space="preserve">for the amount of the </w:t>
      </w:r>
      <w:r w:rsidRPr="00806D87">
        <w:rPr>
          <w:i/>
        </w:rPr>
        <w:t>capacity obligation</w:t>
      </w:r>
      <w:r w:rsidRPr="00806D87">
        <w:t xml:space="preserve"> is not submitted and maintained from the day-ahead commitment process </w:t>
      </w:r>
      <w:r>
        <w:t>through to</w:t>
      </w:r>
      <w:r w:rsidRPr="00806D87">
        <w:t xml:space="preserve"> </w:t>
      </w:r>
      <w:r>
        <w:t>pre-dispatch</w:t>
      </w:r>
      <w:r w:rsidRPr="00806D87">
        <w:t xml:space="preserve">. The quantity of </w:t>
      </w:r>
      <w:r w:rsidRPr="009C1D41">
        <w:rPr>
          <w:i/>
        </w:rPr>
        <w:t>auction capacity</w:t>
      </w:r>
      <w:r w:rsidRPr="00806D87">
        <w:t xml:space="preserve"> assessed for availability is the lesser quantity of the </w:t>
      </w:r>
      <w:r w:rsidRPr="009C1D41">
        <w:rPr>
          <w:i/>
        </w:rPr>
        <w:t>energy offers</w:t>
      </w:r>
      <w:r w:rsidRPr="00806D87">
        <w:t xml:space="preserve"> submitted from day-ahead</w:t>
      </w:r>
      <w:r>
        <w:t xml:space="preserve"> commitment process through to </w:t>
      </w:r>
      <w:r w:rsidRPr="00806D87">
        <w:t>pre-dispatch (for an hour within the availability window).</w:t>
      </w:r>
    </w:p>
    <w:p w14:paraId="4C3B2CD5" w14:textId="77777777" w:rsidR="00CD1FDE" w:rsidRPr="00215F55" w:rsidRDefault="00CD1FDE" w:rsidP="00C500CB">
      <w:pPr>
        <w:spacing w:before="240"/>
        <w:rPr>
          <w:b/>
        </w:rPr>
      </w:pPr>
      <w:r w:rsidRPr="00215F55">
        <w:rPr>
          <w:b/>
        </w:rPr>
        <w:t xml:space="preserve">Assessment for </w:t>
      </w:r>
      <w:r>
        <w:rPr>
          <w:b/>
        </w:rPr>
        <w:t xml:space="preserve">Capacity </w:t>
      </w:r>
      <w:r w:rsidRPr="00215F55">
        <w:rPr>
          <w:b/>
        </w:rPr>
        <w:t xml:space="preserve">Storage </w:t>
      </w:r>
      <w:r>
        <w:rPr>
          <w:b/>
        </w:rPr>
        <w:t>R</w:t>
      </w:r>
      <w:r w:rsidRPr="00215F55">
        <w:rPr>
          <w:b/>
        </w:rPr>
        <w:t>esources</w:t>
      </w:r>
    </w:p>
    <w:p w14:paraId="1533BEE6" w14:textId="77777777" w:rsidR="00CD1FDE" w:rsidRDefault="00CD1FDE" w:rsidP="00CD1FDE">
      <w:r w:rsidRPr="009C1D41">
        <w:t xml:space="preserve">The IESO </w:t>
      </w:r>
      <w:r>
        <w:t>will</w:t>
      </w:r>
      <w:r w:rsidRPr="009C1D41">
        <w:t xml:space="preserve"> apply an availability charge to any hour within the </w:t>
      </w:r>
      <w:r w:rsidRPr="009C1D41">
        <w:rPr>
          <w:i/>
        </w:rPr>
        <w:t>availability window</w:t>
      </w:r>
      <w:r w:rsidRPr="009C1D41">
        <w:t xml:space="preserve"> where </w:t>
      </w:r>
      <w:r>
        <w:t xml:space="preserve">an </w:t>
      </w:r>
      <w:r w:rsidRPr="009C1D41">
        <w:rPr>
          <w:i/>
        </w:rPr>
        <w:t>energy offer</w:t>
      </w:r>
      <w:r w:rsidRPr="009C1D41">
        <w:t xml:space="preserve"> for the amount of the </w:t>
      </w:r>
      <w:r w:rsidRPr="009C1D41">
        <w:rPr>
          <w:i/>
        </w:rPr>
        <w:t>capacity obligation</w:t>
      </w:r>
      <w:r w:rsidRPr="009C1D41">
        <w:t xml:space="preserve"> is not submitted and maintained from the day-ahead commitment process </w:t>
      </w:r>
      <w:r>
        <w:t>through to pre-dispatch and until real-time.</w:t>
      </w:r>
    </w:p>
    <w:p w14:paraId="7D2F3705" w14:textId="77777777" w:rsidR="00CD1FDE" w:rsidRDefault="00CD1FDE" w:rsidP="00CD1FDE">
      <w:r>
        <w:t xml:space="preserve">The availability assessment will not be conducted for any remaining hours after the </w:t>
      </w:r>
      <w:r w:rsidRPr="009C1D41">
        <w:rPr>
          <w:i/>
        </w:rPr>
        <w:t>capacity storage resource</w:t>
      </w:r>
      <w:r>
        <w:t xml:space="preserve"> receives a non-zero </w:t>
      </w:r>
      <w:r w:rsidRPr="009C1D41">
        <w:rPr>
          <w:i/>
        </w:rPr>
        <w:t>energy</w:t>
      </w:r>
      <w:r>
        <w:t xml:space="preserve"> </w:t>
      </w:r>
      <w:r w:rsidRPr="009C1D41">
        <w:rPr>
          <w:i/>
        </w:rPr>
        <w:t>dispatch instruction</w:t>
      </w:r>
      <w:r>
        <w:t xml:space="preserve"> within the </w:t>
      </w:r>
      <w:r w:rsidRPr="009C1D41">
        <w:rPr>
          <w:i/>
        </w:rPr>
        <w:t>availability window</w:t>
      </w:r>
      <w:r>
        <w:t xml:space="preserve"> for the applicable </w:t>
      </w:r>
      <w:r w:rsidRPr="00543BA5">
        <w:rPr>
          <w:i/>
        </w:rPr>
        <w:t>business day</w:t>
      </w:r>
      <w:r>
        <w:t>.</w:t>
      </w:r>
    </w:p>
    <w:p w14:paraId="175EC73C" w14:textId="66B7840B" w:rsidR="00CD1FDE" w:rsidRDefault="00CD1FDE" w:rsidP="00CD1FDE">
      <w:r w:rsidRPr="009C1D41">
        <w:t xml:space="preserve">The quantity of </w:t>
      </w:r>
      <w:r w:rsidRPr="009C1D41">
        <w:rPr>
          <w:i/>
        </w:rPr>
        <w:t>auction capacity</w:t>
      </w:r>
      <w:r w:rsidRPr="009C1D41">
        <w:t xml:space="preserve"> assessed for availability is the lesser quantity of the </w:t>
      </w:r>
      <w:r w:rsidRPr="009C1D41">
        <w:rPr>
          <w:i/>
        </w:rPr>
        <w:t>energy offers</w:t>
      </w:r>
      <w:r w:rsidRPr="009C1D41">
        <w:t xml:space="preserve"> submitted from day-ahead </w:t>
      </w:r>
      <w:r>
        <w:t xml:space="preserve">commitment process </w:t>
      </w:r>
      <w:r w:rsidRPr="009C1D41">
        <w:t xml:space="preserve">through to pre-dispatch and until real-time (for an hour within the </w:t>
      </w:r>
      <w:r w:rsidRPr="009C1D41">
        <w:rPr>
          <w:i/>
        </w:rPr>
        <w:t>availability window</w:t>
      </w:r>
      <w:r w:rsidRPr="009C1D41">
        <w:t>).</w:t>
      </w:r>
    </w:p>
    <w:p w14:paraId="3E90B9D5" w14:textId="541CCD6D" w:rsidR="00AC536C" w:rsidRPr="00C24039" w:rsidRDefault="00AC536C" w:rsidP="00BC24DB">
      <w:pPr>
        <w:pStyle w:val="Heading5"/>
        <w:numPr>
          <w:ilvl w:val="0"/>
          <w:numId w:val="131"/>
        </w:numPr>
        <w:rPr>
          <w:ins w:id="1092" w:author="Author"/>
          <w:b/>
          <w:bCs/>
        </w:rPr>
      </w:pPr>
      <w:bookmarkStart w:id="1093" w:name="_Ref88163843"/>
      <w:ins w:id="1094" w:author="Author">
        <w:r w:rsidRPr="6908EE7F">
          <w:rPr>
            <w:b/>
            <w:bCs/>
          </w:rPr>
          <w:t>Availability Charge</w:t>
        </w:r>
        <w:r w:rsidR="6AC120C3" w:rsidRPr="6908EE7F">
          <w:rPr>
            <w:b/>
            <w:bCs/>
          </w:rPr>
          <w:t>s</w:t>
        </w:r>
        <w:r w:rsidRPr="6908EE7F">
          <w:rPr>
            <w:b/>
            <w:bCs/>
          </w:rPr>
          <w:t xml:space="preserve"> True-Up</w:t>
        </w:r>
        <w:r w:rsidR="00557577" w:rsidRPr="6908EE7F">
          <w:rPr>
            <w:b/>
            <w:bCs/>
          </w:rPr>
          <w:t xml:space="preserve"> Payment</w:t>
        </w:r>
        <w:r w:rsidR="3A245A9F" w:rsidRPr="6908EE7F">
          <w:rPr>
            <w:b/>
            <w:bCs/>
          </w:rPr>
          <w:t>s</w:t>
        </w:r>
        <w:bookmarkEnd w:id="1093"/>
      </w:ins>
    </w:p>
    <w:p w14:paraId="28B6615D" w14:textId="508B71FA" w:rsidR="00F72A84" w:rsidRDefault="0EBB3E94" w:rsidP="00AC536C">
      <w:pPr>
        <w:pStyle w:val="BodyText"/>
        <w:rPr>
          <w:ins w:id="1095" w:author="Author"/>
          <w:strike/>
        </w:rPr>
      </w:pPr>
      <w:ins w:id="1096" w:author="Author">
        <w:r w:rsidRPr="6908EE7F">
          <w:rPr>
            <w:rFonts w:cs="Tahoma"/>
            <w:color w:val="000000" w:themeColor="text1"/>
          </w:rPr>
          <w:t>E</w:t>
        </w:r>
        <w:r w:rsidR="00F72A84">
          <w:t xml:space="preserve">ligible </w:t>
        </w:r>
        <w:r w:rsidR="00AC536C" w:rsidRPr="6908EE7F">
          <w:rPr>
            <w:i/>
            <w:iCs/>
          </w:rPr>
          <w:t>CMPs</w:t>
        </w:r>
        <w:r w:rsidR="00AC536C">
          <w:t xml:space="preserve"> </w:t>
        </w:r>
        <w:r w:rsidR="00F72A84">
          <w:t xml:space="preserve">with </w:t>
        </w:r>
        <w:r w:rsidR="00F72A84" w:rsidRPr="6908EE7F">
          <w:rPr>
            <w:i/>
            <w:iCs/>
          </w:rPr>
          <w:t>capacity obligations</w:t>
        </w:r>
        <w:r w:rsidR="00F72A84">
          <w:t xml:space="preserve"> will receive </w:t>
        </w:r>
        <w:r w:rsidR="00AC536C">
          <w:t xml:space="preserve">an availability charge true-up </w:t>
        </w:r>
        <w:r w:rsidR="00F72A84">
          <w:t xml:space="preserve">payment </w:t>
        </w:r>
        <w:r w:rsidR="002D78DE">
          <w:rPr>
            <w:rFonts w:cs="Tahoma"/>
            <w:color w:val="000000" w:themeColor="text1"/>
          </w:rPr>
          <w:t>if</w:t>
        </w:r>
        <w:r w:rsidR="00F72A84" w:rsidRPr="6908EE7F">
          <w:rPr>
            <w:rFonts w:cs="Tahoma"/>
            <w:color w:val="000000" w:themeColor="text1"/>
          </w:rPr>
          <w:t xml:space="preserve"> on average</w:t>
        </w:r>
        <w:r w:rsidR="00B47716" w:rsidRPr="6908EE7F">
          <w:rPr>
            <w:rFonts w:cs="Tahoma"/>
            <w:color w:val="000000" w:themeColor="text1"/>
          </w:rPr>
          <w:t>,</w:t>
        </w:r>
        <w:r w:rsidR="00FB3182" w:rsidRPr="6908EE7F">
          <w:rPr>
            <w:rFonts w:cs="Tahoma"/>
            <w:color w:val="000000" w:themeColor="text1"/>
          </w:rPr>
          <w:t xml:space="preserve"> over the </w:t>
        </w:r>
        <w:r w:rsidR="00FB3182" w:rsidRPr="6908EE7F">
          <w:rPr>
            <w:rFonts w:cs="Tahoma"/>
            <w:i/>
            <w:iCs/>
            <w:color w:val="000000" w:themeColor="text1"/>
          </w:rPr>
          <w:t>obligation period</w:t>
        </w:r>
        <w:r w:rsidR="00F72A84" w:rsidRPr="6908EE7F">
          <w:rPr>
            <w:rFonts w:cs="Tahoma"/>
            <w:color w:val="000000" w:themeColor="text1"/>
          </w:rPr>
          <w:t xml:space="preserve">, </w:t>
        </w:r>
        <w:r w:rsidR="00F72A84" w:rsidRPr="00A6337C">
          <w:rPr>
            <w:rFonts w:cs="Tahoma"/>
            <w:color w:val="000000" w:themeColor="text1"/>
          </w:rPr>
          <w:t xml:space="preserve">the availability of a </w:t>
        </w:r>
        <w:r w:rsidR="00F72A84" w:rsidRPr="00BC24DB">
          <w:rPr>
            <w:rFonts w:cs="Tahoma"/>
            <w:i/>
            <w:iCs/>
            <w:color w:val="000000" w:themeColor="text1"/>
          </w:rPr>
          <w:t>capacity auction resource</w:t>
        </w:r>
        <w:r w:rsidR="00F72A84" w:rsidRPr="00A6337C">
          <w:rPr>
            <w:rFonts w:cs="Tahoma"/>
            <w:color w:val="000000" w:themeColor="text1"/>
          </w:rPr>
          <w:t xml:space="preserve"> is determined to be greater than or equal to its </w:t>
        </w:r>
        <w:r w:rsidR="00F72A84" w:rsidRPr="00A6337C">
          <w:rPr>
            <w:rFonts w:cs="Tahoma"/>
            <w:i/>
            <w:iCs/>
            <w:color w:val="000000" w:themeColor="text1"/>
          </w:rPr>
          <w:t>capacity obligation</w:t>
        </w:r>
        <w:r w:rsidR="00F324FE">
          <w:t>.</w:t>
        </w:r>
        <w:r w:rsidR="00AC536C" w:rsidRPr="6908EE7F">
          <w:rPr>
            <w:strike/>
          </w:rPr>
          <w:t xml:space="preserve"> </w:t>
        </w:r>
      </w:ins>
    </w:p>
    <w:p w14:paraId="26549C16" w14:textId="419527E5" w:rsidR="00FF2235" w:rsidRPr="003A5684" w:rsidRDefault="3D97A644" w:rsidP="00FF2235">
      <w:pPr>
        <w:pStyle w:val="BodyText"/>
        <w:rPr>
          <w:ins w:id="1097" w:author="Author"/>
        </w:rPr>
      </w:pPr>
      <w:ins w:id="1098" w:author="Author">
        <w:r w:rsidRPr="00A6337C">
          <w:rPr>
            <w:iCs/>
          </w:rPr>
          <w:t>Eligible</w:t>
        </w:r>
        <w:r w:rsidRPr="6908EE7F">
          <w:rPr>
            <w:i/>
            <w:iCs/>
          </w:rPr>
          <w:t xml:space="preserve"> c</w:t>
        </w:r>
        <w:r w:rsidR="00FF2235" w:rsidRPr="6908EE7F">
          <w:rPr>
            <w:i/>
            <w:iCs/>
          </w:rPr>
          <w:t xml:space="preserve">apacity auction resources </w:t>
        </w:r>
        <w:r w:rsidR="00FF2235">
          <w:t xml:space="preserve">will receive a true-up </w:t>
        </w:r>
        <w:r w:rsidR="00B47716">
          <w:t xml:space="preserve">payment </w:t>
        </w:r>
        <w:r w:rsidR="00FF2235">
          <w:t xml:space="preserve">based on the quantity of </w:t>
        </w:r>
        <w:r w:rsidR="00E51430" w:rsidRPr="6908EE7F">
          <w:rPr>
            <w:i/>
            <w:iCs/>
          </w:rPr>
          <w:t xml:space="preserve">auction </w:t>
        </w:r>
        <w:r w:rsidR="00FF2235" w:rsidRPr="6908EE7F">
          <w:rPr>
            <w:i/>
            <w:iCs/>
          </w:rPr>
          <w:t>capacity</w:t>
        </w:r>
        <w:r w:rsidR="00FF2235">
          <w:t xml:space="preserve"> in excess of the</w:t>
        </w:r>
        <w:r w:rsidR="482DD887">
          <w:t>ir</w:t>
        </w:r>
        <w:r w:rsidR="00FF2235">
          <w:t xml:space="preserve"> </w:t>
        </w:r>
        <w:r w:rsidR="00FF2235" w:rsidRPr="00BC24DB">
          <w:rPr>
            <w:i/>
            <w:iCs/>
          </w:rPr>
          <w:t>capacity obligation</w:t>
        </w:r>
        <w:r w:rsidR="00FF2235">
          <w:t xml:space="preserve"> made available during applicable hours of day-ahead, through to the last hour of pre-dispatch and real-time as outlined in the section 1.6.26.3.2</w:t>
        </w:r>
        <w:r w:rsidR="00FF2235" w:rsidRPr="6908EE7F">
          <w:rPr>
            <w:i/>
            <w:iCs/>
          </w:rPr>
          <w:t>.</w:t>
        </w:r>
      </w:ins>
    </w:p>
    <w:p w14:paraId="1D92D561" w14:textId="02686880" w:rsidR="00B67BE7" w:rsidRDefault="201FEA9E" w:rsidP="00AC536C">
      <w:pPr>
        <w:pStyle w:val="BodyText"/>
        <w:rPr>
          <w:ins w:id="1099" w:author="Author"/>
        </w:rPr>
      </w:pPr>
      <w:ins w:id="1100" w:author="Author">
        <w:r w:rsidRPr="6908EE7F">
          <w:rPr>
            <w:i/>
            <w:iCs/>
          </w:rPr>
          <w:t xml:space="preserve">Resource available </w:t>
        </w:r>
        <w:r w:rsidR="00C02537" w:rsidRPr="6908EE7F">
          <w:rPr>
            <w:i/>
            <w:iCs/>
          </w:rPr>
          <w:t>capacity</w:t>
        </w:r>
        <w:r w:rsidR="00F72A84">
          <w:t xml:space="preserve"> used to calculate the true-up</w:t>
        </w:r>
        <w:r w:rsidR="00FF2235">
          <w:t xml:space="preserve"> payment</w:t>
        </w:r>
        <w:r w:rsidR="00F72A84">
          <w:t xml:space="preserve"> for each </w:t>
        </w:r>
        <w:r w:rsidR="001622B1">
          <w:t xml:space="preserve">applicable </w:t>
        </w:r>
        <w:r w:rsidR="00F72A84">
          <w:t>hour is capped at the minimum of</w:t>
        </w:r>
        <w:r w:rsidR="00B67BE7">
          <w:t>:</w:t>
        </w:r>
      </w:ins>
    </w:p>
    <w:p w14:paraId="42A92327" w14:textId="415EF3F6" w:rsidR="3C83B974" w:rsidRDefault="3C83B974" w:rsidP="00BC24DB">
      <w:pPr>
        <w:pStyle w:val="BodyText"/>
        <w:numPr>
          <w:ilvl w:val="0"/>
          <w:numId w:val="133"/>
        </w:numPr>
        <w:rPr>
          <w:ins w:id="1101" w:author="Author"/>
          <w:i/>
          <w:iCs/>
        </w:rPr>
      </w:pPr>
      <w:ins w:id="1102" w:author="Author">
        <w:r>
          <w:t>resource</w:t>
        </w:r>
        <w:r w:rsidRPr="6908EE7F">
          <w:rPr>
            <w:i/>
            <w:iCs/>
          </w:rPr>
          <w:t xml:space="preserve"> energy bids or energy offers</w:t>
        </w:r>
        <w:r w:rsidR="0A070487" w:rsidRPr="6908EE7F">
          <w:rPr>
            <w:i/>
            <w:iCs/>
          </w:rPr>
          <w:t xml:space="preserve"> as applicable,</w:t>
        </w:r>
      </w:ins>
    </w:p>
    <w:p w14:paraId="42CAE7FD" w14:textId="7760C6DC" w:rsidR="00BB5CDC" w:rsidRPr="00BB5CDC" w:rsidRDefault="00BB5CDC" w:rsidP="00BC24DB">
      <w:pPr>
        <w:pStyle w:val="BodyText"/>
        <w:numPr>
          <w:ilvl w:val="0"/>
          <w:numId w:val="133"/>
        </w:numPr>
        <w:rPr>
          <w:ins w:id="1103" w:author="Author"/>
        </w:rPr>
      </w:pPr>
      <w:ins w:id="1104" w:author="Author">
        <w:r w:rsidRPr="6908EE7F">
          <w:rPr>
            <w:i/>
            <w:iCs/>
          </w:rPr>
          <w:t>capacity auction resource’s</w:t>
        </w:r>
        <w:r>
          <w:t xml:space="preserve"> </w:t>
        </w:r>
        <w:r w:rsidRPr="6908EE7F">
          <w:rPr>
            <w:i/>
            <w:iCs/>
          </w:rPr>
          <w:t>cleared ICAP,</w:t>
        </w:r>
      </w:ins>
    </w:p>
    <w:p w14:paraId="3051424F" w14:textId="0F182B5F" w:rsidR="00B67BE7" w:rsidRDefault="1D1E3DCD" w:rsidP="00BC24DB">
      <w:pPr>
        <w:pStyle w:val="BodyText"/>
        <w:numPr>
          <w:ilvl w:val="0"/>
          <w:numId w:val="133"/>
        </w:numPr>
        <w:rPr>
          <w:ins w:id="1105" w:author="Author"/>
        </w:rPr>
      </w:pPr>
      <w:ins w:id="1106" w:author="Author">
        <w:r>
          <w:t>1</w:t>
        </w:r>
        <w:r w:rsidR="524FD0C9">
          <w:t>1</w:t>
        </w:r>
        <w:r>
          <w:t xml:space="preserve">5% </w:t>
        </w:r>
        <w:r w:rsidR="376DAE28">
          <w:t>of</w:t>
        </w:r>
        <w:r>
          <w:t xml:space="preserve"> a </w:t>
        </w:r>
        <w:r w:rsidR="6386D426" w:rsidRPr="6908EE7F">
          <w:rPr>
            <w:i/>
            <w:iCs/>
          </w:rPr>
          <w:t xml:space="preserve">capacity auction </w:t>
        </w:r>
        <w:r w:rsidRPr="6908EE7F">
          <w:rPr>
            <w:i/>
            <w:iCs/>
          </w:rPr>
          <w:t>resource’s</w:t>
        </w:r>
        <w:r>
          <w:t xml:space="preserve"> </w:t>
        </w:r>
        <w:r w:rsidRPr="6908EE7F">
          <w:rPr>
            <w:i/>
            <w:iCs/>
          </w:rPr>
          <w:t>capacity obligation</w:t>
        </w:r>
        <w:r w:rsidR="169184BD" w:rsidRPr="6908EE7F">
          <w:rPr>
            <w:i/>
            <w:iCs/>
          </w:rPr>
          <w:t>,</w:t>
        </w:r>
        <w:r w:rsidR="44E771A1" w:rsidRPr="6908EE7F">
          <w:rPr>
            <w:i/>
            <w:iCs/>
          </w:rPr>
          <w:t xml:space="preserve"> </w:t>
        </w:r>
      </w:ins>
    </w:p>
    <w:p w14:paraId="565CDC91" w14:textId="17680028" w:rsidR="00F01E9C" w:rsidRPr="00F01E9C" w:rsidRDefault="61A9AD92" w:rsidP="00BC24DB">
      <w:pPr>
        <w:pStyle w:val="BodyText"/>
        <w:numPr>
          <w:ilvl w:val="0"/>
          <w:numId w:val="133"/>
        </w:numPr>
        <w:rPr>
          <w:ins w:id="1107" w:author="Author"/>
        </w:rPr>
      </w:pPr>
      <w:ins w:id="1108" w:author="Author">
        <w:r w:rsidRPr="00A6337C">
          <w:rPr>
            <w:i/>
            <w:iCs/>
          </w:rPr>
          <w:t>capacity auction</w:t>
        </w:r>
        <w:r w:rsidR="0ADFE79E" w:rsidRPr="00A6337C">
          <w:rPr>
            <w:i/>
            <w:iCs/>
          </w:rPr>
          <w:t xml:space="preserve"> resource’s </w:t>
        </w:r>
        <w:r w:rsidR="0ADFE79E" w:rsidRPr="00A6337C">
          <w:t>registered capability</w:t>
        </w:r>
        <w:r w:rsidR="0ADFE79E" w:rsidRPr="00A6337C">
          <w:rPr>
            <w:i/>
            <w:iCs/>
          </w:rPr>
          <w:t xml:space="preserve"> </w:t>
        </w:r>
        <w:r w:rsidR="0ADFE79E" w:rsidRPr="00A6337C">
          <w:t xml:space="preserve">(applicable only </w:t>
        </w:r>
        <w:r w:rsidR="247AC563" w:rsidRPr="00A6337C">
          <w:t xml:space="preserve">to </w:t>
        </w:r>
        <w:r w:rsidR="0ADFE79E" w:rsidRPr="00A6337C">
          <w:rPr>
            <w:i/>
            <w:iCs/>
          </w:rPr>
          <w:t>HDR</w:t>
        </w:r>
        <w:r w:rsidR="0ADFE79E" w:rsidRPr="00A6337C">
          <w:t>s)</w:t>
        </w:r>
      </w:ins>
    </w:p>
    <w:p w14:paraId="5135F127" w14:textId="28CB8ACF" w:rsidR="00AC536C" w:rsidRDefault="00AC536C" w:rsidP="00AC536C">
      <w:pPr>
        <w:pStyle w:val="BodyText"/>
        <w:rPr>
          <w:ins w:id="1109" w:author="Author"/>
        </w:rPr>
      </w:pPr>
      <w:ins w:id="1110" w:author="Author">
        <w:r w:rsidRPr="00802D1E">
          <w:t>The</w:t>
        </w:r>
        <w:r>
          <w:rPr>
            <w:i/>
          </w:rPr>
          <w:t xml:space="preserve"> </w:t>
        </w:r>
        <w:r>
          <w:t xml:space="preserve">availability charge true-up </w:t>
        </w:r>
        <w:r w:rsidR="00F324FE">
          <w:t xml:space="preserve">payment </w:t>
        </w:r>
        <w:r>
          <w:t xml:space="preserve">will be calculated and settled at the end of </w:t>
        </w:r>
        <w:r w:rsidR="00F324FE">
          <w:t>each</w:t>
        </w:r>
        <w:r>
          <w:t xml:space="preserve"> </w:t>
        </w:r>
        <w:r w:rsidRPr="007F3B0E">
          <w:rPr>
            <w:i/>
          </w:rPr>
          <w:t>obligation period</w:t>
        </w:r>
        <w:r>
          <w:t>. The true-up</w:t>
        </w:r>
        <w:r w:rsidR="00C02537">
          <w:t xml:space="preserve"> payment</w:t>
        </w:r>
        <w:r>
          <w:t xml:space="preserve"> is </w:t>
        </w:r>
        <w:r w:rsidR="00F324FE">
          <w:t>capped</w:t>
        </w:r>
        <w:r>
          <w:t xml:space="preserve"> to the sum of the availability charges </w:t>
        </w:r>
        <w:r w:rsidR="00F324FE">
          <w:t xml:space="preserve">incurred </w:t>
        </w:r>
        <w:r>
          <w:t xml:space="preserve">to the </w:t>
        </w:r>
        <w:r w:rsidRPr="00C24039">
          <w:rPr>
            <w:i/>
          </w:rPr>
          <w:t>capacity auction resource</w:t>
        </w:r>
        <w:r>
          <w:t xml:space="preserve"> during the </w:t>
        </w:r>
        <w:r w:rsidR="001622B1">
          <w:t xml:space="preserve">applicable </w:t>
        </w:r>
        <w:r w:rsidRPr="0001661F">
          <w:rPr>
            <w:i/>
          </w:rPr>
          <w:t>obligation period</w:t>
        </w:r>
        <w:r w:rsidR="00F324FE" w:rsidRPr="00935D5D">
          <w:rPr>
            <w:rFonts w:cs="Tahoma"/>
            <w:color w:val="000000"/>
            <w:position w:val="2"/>
          </w:rPr>
          <w:t>; i.e., no extra payment for over availability</w:t>
        </w:r>
        <w:r w:rsidR="00F324FE">
          <w:rPr>
            <w:rFonts w:cs="Tahoma"/>
            <w:color w:val="000000"/>
            <w:position w:val="2"/>
          </w:rPr>
          <w:t>.</w:t>
        </w:r>
      </w:ins>
    </w:p>
    <w:p w14:paraId="29517F4D" w14:textId="1BFA42EA" w:rsidR="00AC536C" w:rsidRDefault="00AC536C" w:rsidP="00AC536C">
      <w:pPr>
        <w:pStyle w:val="BodyText"/>
        <w:rPr>
          <w:ins w:id="1111" w:author="Author"/>
          <w:i/>
        </w:rPr>
      </w:pPr>
      <w:ins w:id="1112" w:author="Author">
        <w:r w:rsidRPr="0001661F">
          <w:t>The</w:t>
        </w:r>
        <w:r>
          <w:t xml:space="preserve"> </w:t>
        </w:r>
        <w:r>
          <w:rPr>
            <w:i/>
          </w:rPr>
          <w:t xml:space="preserve">IESO </w:t>
        </w:r>
        <w:r w:rsidRPr="00016AF7">
          <w:t>use</w:t>
        </w:r>
        <w:r>
          <w:t>s</w:t>
        </w:r>
        <w:r w:rsidRPr="0001661F">
          <w:t xml:space="preserve"> </w:t>
        </w:r>
        <w:r w:rsidRPr="0001661F">
          <w:rPr>
            <w:i/>
          </w:rPr>
          <w:t>charge type</w:t>
        </w:r>
        <w:r w:rsidRPr="0001661F">
          <w:t xml:space="preserve"> 13</w:t>
        </w:r>
        <w:r>
          <w:t>21</w:t>
        </w:r>
        <w:r w:rsidRPr="0001661F">
          <w:t xml:space="preserve"> “Capacity Obligation – Availability Charge</w:t>
        </w:r>
        <w:r>
          <w:t xml:space="preserve"> True-Up</w:t>
        </w:r>
        <w:r w:rsidR="001622B1">
          <w:t xml:space="preserve"> Payment</w:t>
        </w:r>
        <w:r w:rsidRPr="0001661F">
          <w:t>”</w:t>
        </w:r>
        <w:r>
          <w:t xml:space="preserve"> to settle the true-up</w:t>
        </w:r>
        <w:r w:rsidRPr="0001661F">
          <w:rPr>
            <w:i/>
          </w:rPr>
          <w:t>.</w:t>
        </w:r>
      </w:ins>
    </w:p>
    <w:p w14:paraId="1D5F5C7D" w14:textId="2D449E59" w:rsidR="008924E8" w:rsidRPr="00C24039" w:rsidRDefault="61659D6F" w:rsidP="2100A187">
      <w:pPr>
        <w:pStyle w:val="Heading5"/>
        <w:rPr>
          <w:ins w:id="1113" w:author="Author"/>
          <w:b/>
          <w:bCs/>
        </w:rPr>
      </w:pPr>
      <w:ins w:id="1114" w:author="Author">
        <w:r w:rsidRPr="2100A187">
          <w:rPr>
            <w:b/>
            <w:bCs/>
          </w:rPr>
          <w:t>1.6.26.3.2B</w:t>
        </w:r>
        <w:r w:rsidR="005030A1">
          <w:tab/>
        </w:r>
        <w:r w:rsidR="005030A1">
          <w:tab/>
        </w:r>
        <w:r w:rsidR="300AF7FD" w:rsidRPr="2100A187">
          <w:rPr>
            <w:b/>
            <w:bCs/>
          </w:rPr>
          <w:t>Augmented</w:t>
        </w:r>
        <w:r w:rsidR="735A29FB" w:rsidRPr="2100A187">
          <w:rPr>
            <w:b/>
            <w:bCs/>
          </w:rPr>
          <w:t xml:space="preserve"> Availability Charge</w:t>
        </w:r>
      </w:ins>
    </w:p>
    <w:p w14:paraId="304CA575" w14:textId="21E71E06" w:rsidR="00D3727E" w:rsidRPr="00566441" w:rsidRDefault="004030B6" w:rsidP="00AC536C">
      <w:pPr>
        <w:pStyle w:val="BodyText"/>
        <w:rPr>
          <w:ins w:id="1115" w:author="Author"/>
          <w:highlight w:val="yellow"/>
        </w:rPr>
      </w:pPr>
      <w:ins w:id="1116" w:author="Author">
        <w:r w:rsidRPr="00BB5CDC">
          <w:t xml:space="preserve">In </w:t>
        </w:r>
        <w:r w:rsidR="419B179B" w:rsidRPr="00BB5CDC">
          <w:t xml:space="preserve">order to </w:t>
        </w:r>
        <w:r w:rsidR="00771211" w:rsidRPr="00BB5CDC">
          <w:t xml:space="preserve">signal the importance of </w:t>
        </w:r>
        <w:r w:rsidR="419B179B" w:rsidRPr="00BB5CDC">
          <w:t xml:space="preserve">performance at times of system need, </w:t>
        </w:r>
        <w:r w:rsidR="072CBA8B" w:rsidRPr="00BB5CDC">
          <w:t>a</w:t>
        </w:r>
        <w:r w:rsidR="16241491" w:rsidRPr="00BB5CDC">
          <w:t xml:space="preserve"> higher availability charge </w:t>
        </w:r>
        <w:r w:rsidR="00771211" w:rsidRPr="00BB5CDC">
          <w:t>will be</w:t>
        </w:r>
        <w:r w:rsidR="419B179B" w:rsidRPr="00BB5CDC">
          <w:t xml:space="preserve"> </w:t>
        </w:r>
        <w:r w:rsidR="16241491" w:rsidRPr="00BB5CDC">
          <w:t xml:space="preserve">applied to all </w:t>
        </w:r>
        <w:r w:rsidR="16241491" w:rsidRPr="00BB5CDC">
          <w:rPr>
            <w:i/>
            <w:iCs/>
          </w:rPr>
          <w:t>CMPs</w:t>
        </w:r>
        <w:r w:rsidR="16241491" w:rsidRPr="00BB5CDC">
          <w:t xml:space="preserve"> with </w:t>
        </w:r>
        <w:r w:rsidR="16241491" w:rsidRPr="00BB5CDC">
          <w:rPr>
            <w:i/>
            <w:iCs/>
          </w:rPr>
          <w:t>capacity obligations</w:t>
        </w:r>
        <w:r w:rsidR="16241491" w:rsidRPr="00BB5CDC">
          <w:t xml:space="preserve"> that fail  </w:t>
        </w:r>
        <w:r w:rsidR="00771211" w:rsidRPr="00BB5CDC">
          <w:t xml:space="preserve">to make their </w:t>
        </w:r>
        <w:r w:rsidR="00771211" w:rsidRPr="00BB5CDC">
          <w:rPr>
            <w:i/>
          </w:rPr>
          <w:t>cleared UCAP</w:t>
        </w:r>
        <w:r w:rsidR="00771211" w:rsidRPr="00BB5CDC">
          <w:t xml:space="preserve"> availabl</w:t>
        </w:r>
        <w:r w:rsidR="00C50022" w:rsidRPr="00BB5CDC">
          <w:t>e</w:t>
        </w:r>
        <w:r w:rsidR="00771211" w:rsidRPr="00BB5CDC">
          <w:t xml:space="preserve"> during the following conditions:</w:t>
        </w:r>
      </w:ins>
    </w:p>
    <w:p w14:paraId="75474CC6" w14:textId="02695FF3" w:rsidR="00771211" w:rsidRPr="0016735D" w:rsidRDefault="16241491" w:rsidP="00BC24DB">
      <w:pPr>
        <w:pStyle w:val="ListParagraph"/>
        <w:numPr>
          <w:ilvl w:val="0"/>
          <w:numId w:val="132"/>
        </w:numPr>
        <w:rPr>
          <w:ins w:id="1117" w:author="Author"/>
        </w:rPr>
      </w:pPr>
      <w:ins w:id="1118" w:author="Author">
        <w:r w:rsidRPr="0016735D">
          <w:t xml:space="preserve">Where and </w:t>
        </w:r>
        <w:r w:rsidR="362BA1F4" w:rsidRPr="0016735D">
          <w:t>when the IESO has issued an advisory notice</w:t>
        </w:r>
        <w:r w:rsidR="007C3FEC" w:rsidRPr="0016735D">
          <w:t xml:space="preserve"> for </w:t>
        </w:r>
        <w:r w:rsidR="00851C01">
          <w:t>the</w:t>
        </w:r>
        <w:r w:rsidR="007C3FEC" w:rsidRPr="0016735D">
          <w:t xml:space="preserve"> </w:t>
        </w:r>
        <w:r w:rsidR="000239B0" w:rsidRPr="0016735D">
          <w:t xml:space="preserve">potential </w:t>
        </w:r>
        <w:r w:rsidR="007C3FEC" w:rsidRPr="0016735D">
          <w:t xml:space="preserve">declaration of an </w:t>
        </w:r>
        <w:r w:rsidR="007C3FEC" w:rsidRPr="0016735D">
          <w:rPr>
            <w:i/>
          </w:rPr>
          <w:t>emergency operating state</w:t>
        </w:r>
        <w:r w:rsidR="007C3FEC" w:rsidRPr="0016735D">
          <w:t xml:space="preserve">. </w:t>
        </w:r>
        <w:r w:rsidR="002B60FD">
          <w:t xml:space="preserve">The augmented availability charge </w:t>
        </w:r>
        <w:r w:rsidR="61AFAC0F" w:rsidRPr="0016735D">
          <w:t xml:space="preserve">will remain in place </w:t>
        </w:r>
        <w:r w:rsidR="0016735D" w:rsidRPr="00BB5CDC">
          <w:t xml:space="preserve">until the expiration stated on the advisory notice for a potential declaration of an </w:t>
        </w:r>
        <w:r w:rsidR="0016735D" w:rsidRPr="00BB5CDC">
          <w:rPr>
            <w:i/>
            <w:iCs/>
          </w:rPr>
          <w:t>emergency operating state,</w:t>
        </w:r>
        <w:del w:id="1119" w:author="Author">
          <w:r w:rsidR="0016735D" w:rsidRPr="00BB5CDC" w:rsidDel="00851C01">
            <w:rPr>
              <w:i/>
              <w:iCs/>
            </w:rPr>
            <w:delText xml:space="preserve"> </w:delText>
          </w:r>
        </w:del>
      </w:ins>
    </w:p>
    <w:p w14:paraId="7690D8F4" w14:textId="0D5E51FF" w:rsidR="00F56EB0" w:rsidRDefault="000239B0" w:rsidP="00F56EB0">
      <w:pPr>
        <w:pStyle w:val="ListParagraph"/>
        <w:numPr>
          <w:ilvl w:val="0"/>
          <w:numId w:val="132"/>
        </w:numPr>
        <w:rPr>
          <w:ins w:id="1120" w:author="Author"/>
        </w:rPr>
      </w:pPr>
      <w:ins w:id="1121" w:author="Author">
        <w:r>
          <w:t>W</w:t>
        </w:r>
        <w:r w:rsidR="5FC2D676" w:rsidRPr="0016735D">
          <w:t>here</w:t>
        </w:r>
        <w:r>
          <w:t xml:space="preserve"> and when</w:t>
        </w:r>
        <w:r w:rsidR="5FC2D676" w:rsidRPr="0016735D">
          <w:t xml:space="preserve"> a</w:t>
        </w:r>
        <w:r w:rsidR="5EE65CA8" w:rsidRPr="0016735D">
          <w:t>n</w:t>
        </w:r>
        <w:r w:rsidR="5FC2D676" w:rsidRPr="0016735D">
          <w:t xml:space="preserve"> </w:t>
        </w:r>
        <w:r w:rsidR="5FC2D676" w:rsidRPr="00F56EB0">
          <w:rPr>
            <w:i/>
            <w:iCs/>
          </w:rPr>
          <w:t>HDR resource</w:t>
        </w:r>
        <w:r w:rsidR="5FC2D676" w:rsidRPr="0016735D">
          <w:t xml:space="preserve"> has been put on standby</w:t>
        </w:r>
        <w:r w:rsidR="7E580E6A" w:rsidRPr="0016735D">
          <w:t xml:space="preserve"> and </w:t>
        </w:r>
        <w:r>
          <w:t xml:space="preserve">the charge </w:t>
        </w:r>
        <w:r w:rsidR="7E580E6A" w:rsidRPr="0016735D">
          <w:t>will continue</w:t>
        </w:r>
        <w:r>
          <w:t xml:space="preserve"> to be in place</w:t>
        </w:r>
        <w:r w:rsidR="7E580E6A" w:rsidRPr="0016735D">
          <w:t xml:space="preserve"> until the end of the availability window for that day</w:t>
        </w:r>
        <w:r w:rsidR="5FC2D676" w:rsidRPr="0016735D">
          <w:t>.</w:t>
        </w:r>
      </w:ins>
    </w:p>
    <w:p w14:paraId="25DC314A" w14:textId="760EC7DD" w:rsidR="00771211" w:rsidRPr="0016735D" w:rsidRDefault="003040F7" w:rsidP="00F56EB0">
      <w:pPr>
        <w:rPr>
          <w:ins w:id="1122" w:author="Author"/>
        </w:rPr>
      </w:pPr>
      <w:ins w:id="1123" w:author="Author">
        <w:r>
          <w:t xml:space="preserve">For the settlement of this charge, </w:t>
        </w:r>
        <w:r w:rsidRPr="0016735D">
          <w:t xml:space="preserve">the non-performance factor (NPF), used to calculate the normal availability charge CT1315, will be increased by an additional NPF for the </w:t>
        </w:r>
        <w:r>
          <w:t>augmented</w:t>
        </w:r>
        <w:r w:rsidRPr="0016735D">
          <w:t xml:space="preserve"> availability charge so that the net NPF is 10 for both availability charges. The </w:t>
        </w:r>
        <w:r>
          <w:t>augmented</w:t>
        </w:r>
        <w:r w:rsidRPr="0016735D">
          <w:t xml:space="preserve"> availability charge will be applicable for the hours of availability from the next run of PD through to real-time</w:t>
        </w:r>
        <w:r>
          <w:t>.</w:t>
        </w:r>
      </w:ins>
    </w:p>
    <w:p w14:paraId="45B85D63" w14:textId="4FEF1C96" w:rsidR="007C3FEC" w:rsidRDefault="6E8B85C6" w:rsidP="00771211">
      <w:pPr>
        <w:rPr>
          <w:ins w:id="1124" w:author="Author"/>
        </w:rPr>
      </w:pPr>
      <w:ins w:id="1125" w:author="Author">
        <w:r w:rsidRPr="0016735D">
          <w:t xml:space="preserve">The </w:t>
        </w:r>
        <w:r w:rsidRPr="0016735D">
          <w:rPr>
            <w:i/>
            <w:iCs/>
          </w:rPr>
          <w:t xml:space="preserve">IESO </w:t>
        </w:r>
        <w:r w:rsidRPr="0016735D">
          <w:t xml:space="preserve">uses </w:t>
        </w:r>
        <w:r w:rsidRPr="0016735D">
          <w:rPr>
            <w:i/>
            <w:iCs/>
          </w:rPr>
          <w:t>charge type</w:t>
        </w:r>
        <w:r w:rsidRPr="0016735D">
          <w:t xml:space="preserve"> 1322 “Capacity Obligation – </w:t>
        </w:r>
        <w:r w:rsidR="00C50022" w:rsidRPr="0016735D">
          <w:t>Augmented</w:t>
        </w:r>
        <w:r w:rsidRPr="0016735D">
          <w:t xml:space="preserve"> Availability Charge” t</w:t>
        </w:r>
        <w:r w:rsidR="16241491" w:rsidRPr="0016735D">
          <w:t>o settle this charge</w:t>
        </w:r>
        <w:r w:rsidRPr="0016735D">
          <w:rPr>
            <w:i/>
            <w:iCs/>
          </w:rPr>
          <w:t>.</w:t>
        </w:r>
        <w:r w:rsidR="00CD1FDE" w:rsidRPr="00A71E1E" w:rsidDel="00B60965">
          <w:t xml:space="preserve"> </w:t>
        </w:r>
      </w:ins>
    </w:p>
    <w:p w14:paraId="2398E82C" w14:textId="0B8D45B8" w:rsidR="008924E8" w:rsidRPr="008924E8" w:rsidRDefault="00CD1FDE" w:rsidP="008924E8">
      <w:pPr>
        <w:pStyle w:val="Heading5"/>
        <w:rPr>
          <w:ins w:id="1126" w:author="Author"/>
          <w:b/>
        </w:rPr>
      </w:pPr>
      <w:ins w:id="1127" w:author="Author">
        <w:r w:rsidRPr="00A71E1E">
          <w:rPr>
            <w:b/>
          </w:rPr>
          <w:t>1.6.26.3.3</w:t>
        </w:r>
        <w:r w:rsidRPr="00A71E1E">
          <w:rPr>
            <w:b/>
          </w:rPr>
          <w:tab/>
          <w:t>Administration Charges</w:t>
        </w:r>
      </w:ins>
    </w:p>
    <w:p w14:paraId="051EF34F" w14:textId="68AAF5EE" w:rsidR="003F48F3" w:rsidRDefault="0044104A" w:rsidP="00CD1FDE">
      <w:pPr>
        <w:spacing w:before="120"/>
        <w:rPr>
          <w:ins w:id="1128" w:author="Author"/>
        </w:rPr>
      </w:pPr>
      <w:ins w:id="1129" w:author="Author">
        <w:r>
          <w:t>Administration c</w:t>
        </w:r>
        <w:r w:rsidRPr="0044104A">
          <w:t>harges apply</w:t>
        </w:r>
        <w:r>
          <w:rPr>
            <w:i/>
          </w:rPr>
          <w:t xml:space="preserve"> </w:t>
        </w:r>
        <w:r w:rsidRPr="0044104A">
          <w:t>when</w:t>
        </w:r>
        <w:r>
          <w:rPr>
            <w:i/>
          </w:rPr>
          <w:t xml:space="preserve"> </w:t>
        </w:r>
      </w:ins>
      <w:r w:rsidR="00CD1FDE" w:rsidRPr="006E7403">
        <w:rPr>
          <w:i/>
        </w:rPr>
        <w:t>CMP</w:t>
      </w:r>
      <w:r w:rsidR="00CD1FDE" w:rsidRPr="00A71E1E">
        <w:t xml:space="preserve">s with </w:t>
      </w:r>
      <w:r w:rsidR="00CD1FDE" w:rsidRPr="00A410AE">
        <w:rPr>
          <w:i/>
        </w:rPr>
        <w:t>HDR resources</w:t>
      </w:r>
      <w:r w:rsidR="00CD1FDE">
        <w:rPr>
          <w:i/>
        </w:rPr>
        <w:t xml:space="preserve"> </w:t>
      </w:r>
      <w:r w:rsidR="00CD1FDE" w:rsidRPr="00A71E1E">
        <w:t xml:space="preserve">that are not revenue-metered by the </w:t>
      </w:r>
      <w:r w:rsidR="00CD1FDE" w:rsidRPr="00A71E1E">
        <w:rPr>
          <w:i/>
        </w:rPr>
        <w:t>IESO</w:t>
      </w:r>
      <w:r w:rsidR="00CD1FDE" w:rsidRPr="00A71E1E">
        <w:t xml:space="preserve"> </w:t>
      </w:r>
      <w:del w:id="1130" w:author="Author">
        <w:r w:rsidR="00CD1FDE" w:rsidRPr="00A71E1E">
          <w:delText>are required (i) for C&amp;I HDRs,</w:delText>
        </w:r>
      </w:del>
      <w:ins w:id="1131" w:author="Author">
        <w:r w:rsidR="003F48F3">
          <w:t xml:space="preserve">or with </w:t>
        </w:r>
        <w:r>
          <w:rPr>
            <w:i/>
          </w:rPr>
          <w:t>g</w:t>
        </w:r>
        <w:r w:rsidR="003F48F3">
          <w:rPr>
            <w:i/>
          </w:rPr>
          <w:t>enerator</w:t>
        </w:r>
        <w:r w:rsidR="00B21C48">
          <w:rPr>
            <w:i/>
          </w:rPr>
          <w:t>-</w:t>
        </w:r>
        <w:r w:rsidR="003F48F3">
          <w:rPr>
            <w:i/>
          </w:rPr>
          <w:t xml:space="preserve">backed </w:t>
        </w:r>
        <w:r>
          <w:rPr>
            <w:i/>
          </w:rPr>
          <w:t>c</w:t>
        </w:r>
        <w:r w:rsidR="003F48F3">
          <w:rPr>
            <w:i/>
          </w:rPr>
          <w:t xml:space="preserve">apacity </w:t>
        </w:r>
        <w:r>
          <w:rPr>
            <w:i/>
          </w:rPr>
          <w:t>i</w:t>
        </w:r>
        <w:r w:rsidR="003F48F3">
          <w:rPr>
            <w:i/>
          </w:rPr>
          <w:t xml:space="preserve">mport </w:t>
        </w:r>
        <w:r>
          <w:rPr>
            <w:i/>
          </w:rPr>
          <w:t>r</w:t>
        </w:r>
        <w:r w:rsidR="003F48F3">
          <w:rPr>
            <w:i/>
          </w:rPr>
          <w:t>esources</w:t>
        </w:r>
        <w:r w:rsidR="003F48F3" w:rsidRPr="00A71E1E">
          <w:t xml:space="preserve"> </w:t>
        </w:r>
        <w:r>
          <w:t>fail</w:t>
        </w:r>
      </w:ins>
      <w:r>
        <w:t xml:space="preserve"> </w:t>
      </w:r>
      <w:r w:rsidR="003F48F3">
        <w:t>to provide</w:t>
      </w:r>
      <w:ins w:id="1132" w:author="Author">
        <w:r w:rsidR="003F48F3">
          <w:t>:</w:t>
        </w:r>
        <w:r w:rsidR="00CD1FDE" w:rsidRPr="00A71E1E">
          <w:t xml:space="preserve"> </w:t>
        </w:r>
      </w:ins>
    </w:p>
    <w:p w14:paraId="78ECE4D8" w14:textId="01A997A9" w:rsidR="003F48F3" w:rsidRDefault="00CD1FDE" w:rsidP="00BC24DB">
      <w:pPr>
        <w:pStyle w:val="ListParagraph"/>
        <w:numPr>
          <w:ilvl w:val="0"/>
          <w:numId w:val="129"/>
        </w:numPr>
        <w:spacing w:before="120"/>
        <w:rPr>
          <w:ins w:id="1133" w:author="Author"/>
        </w:rPr>
      </w:pPr>
      <w:ins w:id="1134" w:author="Author">
        <w:r w:rsidRPr="00A71E1E">
          <w:t xml:space="preserve">for C&amp;I </w:t>
        </w:r>
        <w:r w:rsidRPr="003F48F3">
          <w:rPr>
            <w:i/>
          </w:rPr>
          <w:t>HDR</w:t>
        </w:r>
        <w:r w:rsidRPr="00A71E1E">
          <w:t>s,</w:t>
        </w:r>
      </w:ins>
      <w:r w:rsidRPr="00A71E1E">
        <w:t xml:space="preserve"> monthly measurement data </w:t>
      </w:r>
      <w:r w:rsidR="007112EE" w:rsidRPr="007112EE">
        <w:t>for the month in which there was at least one activation</w:t>
      </w:r>
      <w:r w:rsidR="009A0156">
        <w:t xml:space="preserve"> </w:t>
      </w:r>
      <w:r w:rsidRPr="00A71E1E">
        <w:t>and</w:t>
      </w:r>
      <w:r w:rsidR="009A0156">
        <w:t xml:space="preserve"> corresponding </w:t>
      </w:r>
      <w:r w:rsidRPr="00A71E1E">
        <w:t>historical measurement data,</w:t>
      </w:r>
      <w:del w:id="1135" w:author="Author">
        <w:r w:rsidRPr="00A71E1E">
          <w:delText xml:space="preserve"> or (ii) </w:delText>
        </w:r>
      </w:del>
    </w:p>
    <w:p w14:paraId="4C35B808" w14:textId="622BECF5" w:rsidR="00DE38D2" w:rsidRDefault="6F5A6A7C" w:rsidP="00BC24DB">
      <w:pPr>
        <w:pStyle w:val="ListParagraph"/>
        <w:numPr>
          <w:ilvl w:val="0"/>
          <w:numId w:val="129"/>
        </w:numPr>
        <w:spacing w:before="120"/>
        <w:rPr>
          <w:ins w:id="1136" w:author="Author"/>
        </w:rPr>
      </w:pPr>
      <w:r>
        <w:t xml:space="preserve">for residential </w:t>
      </w:r>
      <w:r w:rsidRPr="6908EE7F">
        <w:rPr>
          <w:i/>
          <w:iCs/>
        </w:rPr>
        <w:t>HDR</w:t>
      </w:r>
      <w:r>
        <w:t xml:space="preserve">s, </w:t>
      </w:r>
      <w:del w:id="1137" w:author="Author">
        <w:r w:rsidR="00CD1FDE" w:rsidRPr="00A71E1E">
          <w:delText xml:space="preserve">to provide </w:delText>
        </w:r>
      </w:del>
      <w:r>
        <w:t>measurement data only for activation days,</w:t>
      </w:r>
      <w:ins w:id="1138" w:author="Author">
        <w:r w:rsidR="4BEAD09D">
          <w:t xml:space="preserve"> and</w:t>
        </w:r>
        <w:r w:rsidR="3DE45EF3">
          <w:t>;</w:t>
        </w:r>
        <w:r w:rsidR="4BEAD09D">
          <w:t xml:space="preserve"> </w:t>
        </w:r>
      </w:ins>
    </w:p>
    <w:p w14:paraId="3E7A5B6A" w14:textId="1CC5DC30" w:rsidR="292F73EB" w:rsidRDefault="0488ADC3" w:rsidP="00BC24DB">
      <w:pPr>
        <w:pStyle w:val="ListParagraph"/>
        <w:numPr>
          <w:ilvl w:val="0"/>
          <w:numId w:val="129"/>
        </w:numPr>
        <w:spacing w:before="120"/>
        <w:rPr>
          <w:ins w:id="1139" w:author="Author"/>
          <w:strike/>
        </w:rPr>
      </w:pPr>
      <w:ins w:id="1140" w:author="Author">
        <w:r>
          <w:t>for g</w:t>
        </w:r>
        <w:r w:rsidRPr="6908EE7F">
          <w:rPr>
            <w:i/>
            <w:iCs/>
          </w:rPr>
          <w:t>enerator-b</w:t>
        </w:r>
        <w:r w:rsidR="484A25DF" w:rsidRPr="6908EE7F">
          <w:rPr>
            <w:i/>
            <w:iCs/>
          </w:rPr>
          <w:t>acked</w:t>
        </w:r>
        <w:r>
          <w:t xml:space="preserve"> c</w:t>
        </w:r>
        <w:r w:rsidRPr="6908EE7F">
          <w:rPr>
            <w:i/>
            <w:iCs/>
          </w:rPr>
          <w:t>apacity import r</w:t>
        </w:r>
        <w:r w:rsidR="484A25DF" w:rsidRPr="6908EE7F">
          <w:rPr>
            <w:i/>
            <w:iCs/>
          </w:rPr>
          <w:t>esources</w:t>
        </w:r>
        <w:r w:rsidR="484A25DF">
          <w:t xml:space="preserve">, </w:t>
        </w:r>
        <w:r w:rsidR="5EE65CA8">
          <w:t>a</w:t>
        </w:r>
        <w:r w:rsidR="4680C7C6">
          <w:t xml:space="preserve"> data</w:t>
        </w:r>
        <w:r w:rsidR="5EE65CA8">
          <w:t xml:space="preserve"> submission</w:t>
        </w:r>
        <w:r w:rsidR="4680C7C6">
          <w:t xml:space="preserve"> </w:t>
        </w:r>
        <w:r w:rsidR="5EE65CA8">
          <w:t xml:space="preserve">to confirm the capability of </w:t>
        </w:r>
        <w:r w:rsidR="00C50022">
          <w:t xml:space="preserve">each </w:t>
        </w:r>
        <w:r w:rsidR="00C50022">
          <w:rPr>
            <w:i/>
          </w:rPr>
          <w:t xml:space="preserve">generation unit </w:t>
        </w:r>
        <w:r w:rsidR="00C50022">
          <w:t xml:space="preserve">associated with the </w:t>
        </w:r>
        <w:r w:rsidR="00C50022">
          <w:rPr>
            <w:i/>
          </w:rPr>
          <w:t>generator-backed capacity import</w:t>
        </w:r>
        <w:r w:rsidR="5EE65CA8">
          <w:t xml:space="preserve"> </w:t>
        </w:r>
        <w:r w:rsidR="5EE65CA8" w:rsidRPr="00C50022">
          <w:rPr>
            <w:i/>
          </w:rPr>
          <w:t>resource</w:t>
        </w:r>
        <w:r w:rsidR="5EE65CA8">
          <w:t xml:space="preserve"> for a </w:t>
        </w:r>
        <w:r w:rsidR="5EE65CA8" w:rsidRPr="6908EE7F">
          <w:rPr>
            <w:i/>
            <w:iCs/>
          </w:rPr>
          <w:t xml:space="preserve">capacity auction capacity </w:t>
        </w:r>
        <w:r w:rsidR="4680C7C6" w:rsidRPr="6908EE7F">
          <w:rPr>
            <w:i/>
            <w:iCs/>
          </w:rPr>
          <w:t>test</w:t>
        </w:r>
        <w:r w:rsidR="4680C7C6">
          <w:t xml:space="preserve"> as described in Market Manual 12: Capacity Auctions</w:t>
        </w:r>
      </w:ins>
    </w:p>
    <w:p w14:paraId="77DE40B7" w14:textId="04D65475" w:rsidR="00CD1FDE" w:rsidRPr="00A71E1E" w:rsidRDefault="003F48F3" w:rsidP="00CD1FDE">
      <w:pPr>
        <w:spacing w:before="120"/>
      </w:pPr>
      <w:ins w:id="1141" w:author="Author">
        <w:r>
          <w:t>In all cases, measurement data</w:t>
        </w:r>
        <w:r w:rsidR="007C3FEC">
          <w:t xml:space="preserve"> or data submissions</w:t>
        </w:r>
        <w:r>
          <w:t xml:space="preserve"> must be provided</w:t>
        </w:r>
      </w:ins>
      <w:r w:rsidR="00CD1FDE" w:rsidRPr="00A71E1E">
        <w:t xml:space="preserve"> on/by the sixth (6</w:t>
      </w:r>
      <w:r w:rsidR="00CD1FDE" w:rsidRPr="00A71E1E">
        <w:rPr>
          <w:vertAlign w:val="superscript"/>
        </w:rPr>
        <w:t>th</w:t>
      </w:r>
      <w:r w:rsidR="00CD1FDE" w:rsidRPr="00A71E1E">
        <w:t xml:space="preserve">) </w:t>
      </w:r>
      <w:r w:rsidR="00CD1FDE" w:rsidRPr="00A71E1E">
        <w:rPr>
          <w:i/>
        </w:rPr>
        <w:t>business day</w:t>
      </w:r>
      <w:r w:rsidR="00CD1FDE" w:rsidRPr="00A71E1E">
        <w:t xml:space="preserve"> before the end of the month following the month in which the monthly data relates.  For example, </w:t>
      </w:r>
      <w:r w:rsidR="009A0156" w:rsidRPr="009A0156">
        <w:t xml:space="preserve">if there was at least one activation </w:t>
      </w:r>
      <w:ins w:id="1142" w:author="Author">
        <w:r w:rsidR="00FD0B81">
          <w:t xml:space="preserve">of an </w:t>
        </w:r>
        <w:r w:rsidR="00FD0B81">
          <w:rPr>
            <w:i/>
          </w:rPr>
          <w:t>HDR resource</w:t>
        </w:r>
        <w:r w:rsidR="009A0156" w:rsidRPr="009A0156">
          <w:t xml:space="preserve"> </w:t>
        </w:r>
      </w:ins>
      <w:r w:rsidR="009A0156" w:rsidRPr="009A0156">
        <w:t>during the month of May, then the</w:t>
      </w:r>
      <w:r w:rsidR="009A0156">
        <w:t xml:space="preserve"> </w:t>
      </w:r>
      <w:r w:rsidR="00CD1FDE" w:rsidRPr="00A71E1E">
        <w:t xml:space="preserve">measurement data for the month of May and historical data (i.e. 35 </w:t>
      </w:r>
      <w:r w:rsidR="009A0156">
        <w:rPr>
          <w:i/>
        </w:rPr>
        <w:t xml:space="preserve">business </w:t>
      </w:r>
      <w:r w:rsidR="00CD1FDE" w:rsidRPr="00A71E1E">
        <w:rPr>
          <w:i/>
        </w:rPr>
        <w:t>days</w:t>
      </w:r>
      <w:r w:rsidR="00CD1FDE" w:rsidRPr="00A71E1E">
        <w:t xml:space="preserve"> prior) are due six (6) </w:t>
      </w:r>
      <w:r w:rsidR="00CD1FDE" w:rsidRPr="00A71E1E">
        <w:rPr>
          <w:i/>
        </w:rPr>
        <w:t>business days</w:t>
      </w:r>
      <w:r w:rsidR="00CD1FDE" w:rsidRPr="00A71E1E">
        <w:t xml:space="preserve"> before the end of June.</w:t>
      </w:r>
      <w:ins w:id="1143" w:author="Author">
        <w:r w:rsidR="00FD0B81">
          <w:t xml:space="preserve"> If there was a </w:t>
        </w:r>
        <w:r w:rsidR="00F73FEF" w:rsidRPr="00F73FEF">
          <w:rPr>
            <w:i/>
          </w:rPr>
          <w:t>capacity auction capacity test</w:t>
        </w:r>
        <w:r w:rsidR="00F73FEF">
          <w:t xml:space="preserve"> for</w:t>
        </w:r>
        <w:r w:rsidR="00FD0B81">
          <w:t xml:space="preserve"> a </w:t>
        </w:r>
        <w:r w:rsidR="00421D1D">
          <w:rPr>
            <w:i/>
          </w:rPr>
          <w:t>g</w:t>
        </w:r>
        <w:r w:rsidR="00FD0B81">
          <w:rPr>
            <w:i/>
          </w:rPr>
          <w:t>enerator</w:t>
        </w:r>
        <w:r w:rsidR="00B21C48">
          <w:rPr>
            <w:i/>
          </w:rPr>
          <w:t>-</w:t>
        </w:r>
        <w:r w:rsidR="00FD0B81">
          <w:rPr>
            <w:i/>
          </w:rPr>
          <w:t xml:space="preserve">backed capacity </w:t>
        </w:r>
        <w:r w:rsidR="00421D1D">
          <w:rPr>
            <w:i/>
          </w:rPr>
          <w:t>i</w:t>
        </w:r>
        <w:r w:rsidR="00FD0B81">
          <w:rPr>
            <w:i/>
          </w:rPr>
          <w:t xml:space="preserve">mport </w:t>
        </w:r>
        <w:r w:rsidR="00421D1D">
          <w:rPr>
            <w:i/>
          </w:rPr>
          <w:t>r</w:t>
        </w:r>
        <w:r w:rsidR="00FD0B81">
          <w:rPr>
            <w:i/>
          </w:rPr>
          <w:t xml:space="preserve">esource </w:t>
        </w:r>
        <w:r w:rsidR="00FD0B81">
          <w:t xml:space="preserve">during the month of May, the measurement data for the month of May is due six (6) </w:t>
        </w:r>
        <w:r w:rsidR="00FD0B81">
          <w:rPr>
            <w:i/>
          </w:rPr>
          <w:t>business days</w:t>
        </w:r>
        <w:r w:rsidR="00FD0B81">
          <w:t xml:space="preserve"> before the end of June.</w:t>
        </w:r>
      </w:ins>
    </w:p>
    <w:p w14:paraId="2465AF88" w14:textId="4A2E668B" w:rsidR="00CD1FDE" w:rsidRPr="00A71E1E" w:rsidRDefault="00CD1FDE" w:rsidP="00CD1FDE">
      <w:r w:rsidRPr="00A71E1E">
        <w:t xml:space="preserve">Upon </w:t>
      </w:r>
      <w:r w:rsidRPr="00A71E1E">
        <w:rPr>
          <w:i/>
        </w:rPr>
        <w:t>IESO</w:t>
      </w:r>
      <w:r w:rsidRPr="00A71E1E">
        <w:t xml:space="preserve">’s notification of errors or discrepancies with the data submitted by the deadline, </w:t>
      </w:r>
      <w:r w:rsidRPr="006C3830">
        <w:rPr>
          <w:i/>
        </w:rPr>
        <w:t>CMP</w:t>
      </w:r>
      <w:r w:rsidRPr="00A71E1E">
        <w:t>s who re-submit measurement data (without errors)</w:t>
      </w:r>
      <w:r w:rsidR="009A0156">
        <w:t xml:space="preserve"> by the re-submission deadline </w:t>
      </w:r>
      <w:r w:rsidRPr="00A71E1E">
        <w:t>can avoid an administration charge.  However, failure to provide error-free measurement data</w:t>
      </w:r>
      <w:r>
        <w:t xml:space="preserve"> </w:t>
      </w:r>
      <w:r w:rsidRPr="00A02C93">
        <w:t xml:space="preserve">(refer to Section </w:t>
      </w:r>
      <w:r w:rsidR="007A5FB1">
        <w:t>5.3</w:t>
      </w:r>
      <w:del w:id="1144" w:author="Author">
        <w:r w:rsidR="007A5FB1">
          <w:delText>.2</w:delText>
        </w:r>
      </w:del>
      <w:r w:rsidRPr="00A02C93">
        <w:t xml:space="preserve"> of Market Manual, Part 12: Capacity Auctions)</w:t>
      </w:r>
      <w:r w:rsidRPr="00A71E1E">
        <w:t xml:space="preserve"> by the re-submission deadline will result in an administration charge.</w:t>
      </w:r>
    </w:p>
    <w:p w14:paraId="280642DE" w14:textId="7120CB3E" w:rsidR="00957481" w:rsidRPr="00957481" w:rsidRDefault="00CD1FDE" w:rsidP="00E96605">
      <w:r w:rsidRPr="00A02C93">
        <w:rPr>
          <w:rFonts w:eastAsiaTheme="minorEastAsia"/>
        </w:rPr>
        <w:t xml:space="preserve">The administration charge will also be applicable to a </w:t>
      </w:r>
      <w:del w:id="1145" w:author="Author">
        <w:r w:rsidRPr="00A02C93">
          <w:rPr>
            <w:rFonts w:eastAsiaTheme="minorEastAsia"/>
            <w:i/>
          </w:rPr>
          <w:delText>capacity market participant</w:delText>
        </w:r>
      </w:del>
      <w:ins w:id="1146" w:author="Author">
        <w:r w:rsidR="00DA3708">
          <w:rPr>
            <w:rFonts w:eastAsiaTheme="minorEastAsia"/>
            <w:i/>
          </w:rPr>
          <w:t>CMP</w:t>
        </w:r>
        <w:r w:rsidRPr="00A02C93">
          <w:rPr>
            <w:rFonts w:eastAsiaTheme="minorEastAsia"/>
          </w:rPr>
          <w:t xml:space="preserve"> </w:t>
        </w:r>
        <w:r w:rsidR="003F48F3">
          <w:rPr>
            <w:rFonts w:eastAsiaTheme="minorEastAsia"/>
          </w:rPr>
          <w:t xml:space="preserve">with a virtual </w:t>
        </w:r>
        <w:r w:rsidR="003F48F3">
          <w:rPr>
            <w:rFonts w:eastAsiaTheme="minorEastAsia"/>
            <w:i/>
          </w:rPr>
          <w:t>HDR resource</w:t>
        </w:r>
      </w:ins>
      <w:r>
        <w:rPr>
          <w:rFonts w:eastAsiaTheme="minorEastAsia"/>
          <w:i/>
        </w:rPr>
        <w:t xml:space="preserve"> </w:t>
      </w:r>
      <w:r w:rsidRPr="00A02C93">
        <w:rPr>
          <w:rFonts w:eastAsiaTheme="minorEastAsia"/>
        </w:rPr>
        <w:t xml:space="preserve">if the submitted measurement data is determined to be inaccurate during an audit conducted by the </w:t>
      </w:r>
      <w:r w:rsidRPr="00FD0B81">
        <w:rPr>
          <w:rFonts w:eastAsiaTheme="minorEastAsia"/>
          <w:i/>
        </w:rPr>
        <w:t>IESO</w:t>
      </w:r>
      <w:r w:rsidRPr="00A02C93">
        <w:rPr>
          <w:rFonts w:eastAsiaTheme="minorEastAsia"/>
        </w:rPr>
        <w:t>.</w:t>
      </w:r>
      <w:r>
        <w:rPr>
          <w:rFonts w:eastAsiaTheme="minorEastAsia"/>
        </w:rPr>
        <w:t xml:space="preserve"> </w:t>
      </w:r>
      <w:r w:rsidRPr="00A71E1E">
        <w:rPr>
          <w:rFonts w:eastAsiaTheme="minorEastAsia"/>
        </w:rPr>
        <w:t xml:space="preserve">We use </w:t>
      </w:r>
      <w:r w:rsidRPr="00A71E1E">
        <w:rPr>
          <w:rFonts w:eastAsiaTheme="minorEastAsia"/>
          <w:i/>
        </w:rPr>
        <w:t>charge type</w:t>
      </w:r>
      <w:r w:rsidRPr="00A71E1E">
        <w:rPr>
          <w:rFonts w:eastAsiaTheme="minorEastAsia"/>
        </w:rPr>
        <w:t xml:space="preserve"> 1316 “</w:t>
      </w:r>
      <w:r>
        <w:rPr>
          <w:rFonts w:eastAsiaTheme="minorEastAsia"/>
        </w:rPr>
        <w:t xml:space="preserve">Capacity Obligation </w:t>
      </w:r>
      <w:r w:rsidRPr="00A71E1E">
        <w:rPr>
          <w:rFonts w:eastAsiaTheme="minorEastAsia"/>
        </w:rPr>
        <w:t xml:space="preserve">– Administration Charge” for applicable </w:t>
      </w:r>
      <w:r w:rsidRPr="006C3830">
        <w:rPr>
          <w:rFonts w:eastAsiaTheme="minorEastAsia"/>
          <w:i/>
        </w:rPr>
        <w:t>CMP</w:t>
      </w:r>
      <w:r w:rsidRPr="00A71E1E">
        <w:rPr>
          <w:rFonts w:eastAsiaTheme="minorEastAsia"/>
        </w:rPr>
        <w:t>s who failed to provide the required measurement data by the deadline (6</w:t>
      </w:r>
      <w:r w:rsidRPr="00A71E1E">
        <w:rPr>
          <w:rFonts w:eastAsiaTheme="minorEastAsia"/>
          <w:vertAlign w:val="superscript"/>
        </w:rPr>
        <w:t>th</w:t>
      </w:r>
      <w:r w:rsidRPr="00A71E1E">
        <w:rPr>
          <w:rFonts w:eastAsiaTheme="minorEastAsia"/>
        </w:rPr>
        <w:t xml:space="preserve"> </w:t>
      </w:r>
      <w:r w:rsidRPr="00A71E1E">
        <w:rPr>
          <w:rFonts w:eastAsiaTheme="minorEastAsia"/>
          <w:i/>
        </w:rPr>
        <w:t>business day</w:t>
      </w:r>
      <w:r w:rsidRPr="00A71E1E">
        <w:rPr>
          <w:rFonts w:eastAsiaTheme="minorEastAsia"/>
        </w:rPr>
        <w:t xml:space="preserve"> before the end of the month) or (if applicable) the re-submission deadline, as applicable.</w:t>
      </w:r>
    </w:p>
    <w:p w14:paraId="1A2DECFF" w14:textId="77777777" w:rsidR="00CD1FDE" w:rsidRPr="003D04F9" w:rsidRDefault="00CD1FDE" w:rsidP="003D04F9">
      <w:pPr>
        <w:pStyle w:val="Heading5"/>
        <w:rPr>
          <w:b/>
        </w:rPr>
      </w:pPr>
      <w:r w:rsidRPr="003D04F9">
        <w:rPr>
          <w:b/>
        </w:rPr>
        <w:t>1.6.26.3.4</w:t>
      </w:r>
      <w:r w:rsidRPr="003D04F9">
        <w:rPr>
          <w:b/>
        </w:rPr>
        <w:tab/>
        <w:t>Dispatch Charges</w:t>
      </w:r>
    </w:p>
    <w:p w14:paraId="7316870A" w14:textId="77777777" w:rsidR="00CD1FDE" w:rsidRDefault="00CD1FDE" w:rsidP="00CD1FDE">
      <w:pPr>
        <w:spacing w:before="120"/>
      </w:pPr>
      <w:r w:rsidRPr="00A71E1E">
        <w:t xml:space="preserve">The dispatch charge is a non-performance charge applicable only to C&amp;I </w:t>
      </w:r>
      <w:r w:rsidRPr="00A410AE">
        <w:rPr>
          <w:i/>
        </w:rPr>
        <w:t>HDR resources</w:t>
      </w:r>
      <w:r w:rsidRPr="00A71E1E">
        <w:t xml:space="preserve"> that have failed to follow their dispatch instruction.  A fifteen percent (15%) dead band of the dispatch instruction will be used in this assessment.  The dispatch charge applies to the </w:t>
      </w:r>
      <w:r w:rsidRPr="00A71E1E">
        <w:rPr>
          <w:i/>
        </w:rPr>
        <w:t>dispatch hour</w:t>
      </w:r>
      <w:r w:rsidRPr="00A71E1E">
        <w:t xml:space="preserve"> when a C&amp;I </w:t>
      </w:r>
      <w:r w:rsidRPr="00A410AE">
        <w:rPr>
          <w:i/>
        </w:rPr>
        <w:t>HDR resource</w:t>
      </w:r>
      <w:r w:rsidRPr="00A71E1E">
        <w:t xml:space="preserve"> fails to meet their dispatch instruction within the specified dead band for any 5-minute interval within the </w:t>
      </w:r>
      <w:r w:rsidRPr="00A71E1E">
        <w:rPr>
          <w:i/>
        </w:rPr>
        <w:t>dispatch hour</w:t>
      </w:r>
      <w:r w:rsidRPr="00A71E1E">
        <w:t>.</w:t>
      </w:r>
    </w:p>
    <w:p w14:paraId="145CFACC" w14:textId="192D1F4D" w:rsidR="00CD1FDE" w:rsidRPr="00A71E1E" w:rsidRDefault="00CD1FDE" w:rsidP="00A410AE">
      <w:pPr>
        <w:spacing w:before="120"/>
      </w:pPr>
      <w:r w:rsidRPr="00A71E1E">
        <w:t>The C&amp;I HDR resource is deemed to have failed in meeting its dispatch instruction if the following condition is true:</w:t>
      </w:r>
    </w:p>
    <w:p w14:paraId="4E0E1CFB" w14:textId="77777777" w:rsidR="00CD1FDE" w:rsidRPr="00A71E1E" w:rsidRDefault="005C5CD4" w:rsidP="00CD1FDE">
      <w:pPr>
        <w:jc w:val="center"/>
      </w:pPr>
      <m:oMathPara>
        <m:oMath>
          <m:sSub>
            <m:sSubPr>
              <m:ctrlPr>
                <w:rPr>
                  <w:rFonts w:ascii="Cambria Math" w:hAnsi="Cambria Math"/>
                </w:rPr>
              </m:ctrlPr>
            </m:sSubPr>
            <m:e>
              <m:r>
                <m:rPr>
                  <m:sty m:val="p"/>
                </m:rPr>
                <w:rPr>
                  <w:rFonts w:ascii="Cambria Math" w:hAnsi="Cambria Math"/>
                </w:rPr>
                <m:t>Baseline</m:t>
              </m:r>
            </m:e>
            <m:sub>
              <m:r>
                <m:rPr>
                  <m:sty m:val="p"/>
                </m:rPr>
                <w:rPr>
                  <w:rFonts w:ascii="Cambria Math" w:hAnsi="Cambria Math"/>
                </w:rPr>
                <m:t>i</m:t>
              </m:r>
            </m:sub>
          </m:sSub>
          <m:r>
            <m:rPr>
              <m:sty m:val="p"/>
            </m:rPr>
            <w:rPr>
              <w:rFonts w:ascii="Cambria Math" w:hAnsi="Cambria Math"/>
            </w:rPr>
            <m:t xml:space="preserve">- </m:t>
          </m:r>
          <m:sSub>
            <m:sSubPr>
              <m:ctrlPr>
                <w:rPr>
                  <w:rFonts w:ascii="Cambria Math" w:hAnsi="Cambria Math"/>
                </w:rPr>
              </m:ctrlPr>
            </m:sSubPr>
            <m:e>
              <m:r>
                <m:rPr>
                  <m:sty m:val="p"/>
                </m:rPr>
                <w:rPr>
                  <w:rFonts w:ascii="Cambria Math" w:hAnsi="Cambria Math"/>
                </w:rPr>
                <m:t>Actual Consumption</m:t>
              </m:r>
            </m:e>
            <m:sub>
              <m:r>
                <m:rPr>
                  <m:sty m:val="p"/>
                </m:rPr>
                <w:rPr>
                  <w:rFonts w:ascii="Cambria Math" w:hAnsi="Cambria Math"/>
                </w:rPr>
                <m:t>i</m:t>
              </m:r>
            </m:sub>
          </m:sSub>
          <m:r>
            <m:rPr>
              <m:sty m:val="p"/>
            </m:rPr>
            <w:rPr>
              <w:rFonts w:ascii="Cambria Math" w:hAnsi="Cambria Math"/>
            </w:rPr>
            <m:t xml:space="preserve">&lt; 85% x </m:t>
          </m:r>
          <m:sSub>
            <m:sSubPr>
              <m:ctrlPr>
                <w:rPr>
                  <w:rFonts w:ascii="Cambria Math" w:hAnsi="Cambria Math"/>
                </w:rPr>
              </m:ctrlPr>
            </m:sSubPr>
            <m:e>
              <m:r>
                <m:rPr>
                  <m:sty m:val="p"/>
                </m:rPr>
                <w:rPr>
                  <w:rFonts w:ascii="Cambria Math" w:hAnsi="Cambria Math"/>
                </w:rPr>
                <m:t>(Total Bid Qty</m:t>
              </m:r>
            </m:e>
            <m:sub>
              <m:r>
                <m:rPr>
                  <m:sty m:val="p"/>
                </m:rPr>
                <w:rPr>
                  <w:rFonts w:ascii="Cambria Math" w:hAnsi="Cambria Math"/>
                </w:rPr>
                <m:t>i</m:t>
              </m:r>
            </m:sub>
          </m:sSub>
          <m:r>
            <m:rPr>
              <m:sty m:val="p"/>
            </m:rPr>
            <w:rPr>
              <w:rFonts w:ascii="Cambria Math" w:hAnsi="Cambria Math"/>
            </w:rPr>
            <m:t xml:space="preserve">- </m:t>
          </m:r>
          <m:sSub>
            <m:sSubPr>
              <m:ctrlPr>
                <w:rPr>
                  <w:rFonts w:ascii="Cambria Math" w:hAnsi="Cambria Math"/>
                </w:rPr>
              </m:ctrlPr>
            </m:sSubPr>
            <m:e>
              <m:r>
                <m:rPr>
                  <m:sty m:val="p"/>
                </m:rPr>
                <w:rPr>
                  <w:rFonts w:ascii="Cambria Math" w:hAnsi="Cambria Math"/>
                </w:rPr>
                <m:t>Schedule</m:t>
              </m:r>
            </m:e>
            <m:sub>
              <m:r>
                <m:rPr>
                  <m:sty m:val="p"/>
                </m:rPr>
                <w:rPr>
                  <w:rFonts w:ascii="Cambria Math" w:hAnsi="Cambria Math"/>
                </w:rPr>
                <m:t xml:space="preserve">i </m:t>
              </m:r>
            </m:sub>
          </m:sSub>
          <m:r>
            <w:rPr>
              <w:rFonts w:ascii="Cambria Math" w:hAnsi="Cambria Math"/>
            </w:rPr>
            <m:t>)</m:t>
          </m:r>
        </m:oMath>
      </m:oMathPara>
    </w:p>
    <w:p w14:paraId="0E7A9DDB" w14:textId="77777777" w:rsidR="00CD1FDE" w:rsidRPr="00A71E1E" w:rsidRDefault="00CD1FDE" w:rsidP="00CD1FDE">
      <w:r w:rsidRPr="00A71E1E">
        <w:t>Where:</w:t>
      </w:r>
    </w:p>
    <w:p w14:paraId="110697C7" w14:textId="77777777" w:rsidR="00CD1FDE" w:rsidRPr="00A71E1E" w:rsidRDefault="00CD1FDE" w:rsidP="00CD1FDE">
      <w:pPr>
        <w:pStyle w:val="ListParagraph"/>
        <w:numPr>
          <w:ilvl w:val="0"/>
          <w:numId w:val="114"/>
        </w:numPr>
        <w:spacing w:after="200" w:line="276" w:lineRule="auto"/>
      </w:pPr>
      <w:r w:rsidRPr="00A71E1E">
        <w:t xml:space="preserve">“i” is an interval within the </w:t>
      </w:r>
      <w:r w:rsidRPr="00A71E1E">
        <w:rPr>
          <w:i/>
        </w:rPr>
        <w:t>dispatch hour</w:t>
      </w:r>
      <w:r w:rsidRPr="00A71E1E">
        <w:t xml:space="preserve"> within the activation event.</w:t>
      </w:r>
    </w:p>
    <w:p w14:paraId="44F97021" w14:textId="77777777" w:rsidR="00CD1FDE" w:rsidRPr="00A71E1E" w:rsidRDefault="00CD1FDE" w:rsidP="00CD1FDE">
      <w:pPr>
        <w:pStyle w:val="ListParagraph"/>
        <w:numPr>
          <w:ilvl w:val="0"/>
          <w:numId w:val="114"/>
        </w:numPr>
        <w:spacing w:after="200" w:line="276" w:lineRule="auto"/>
      </w:pPr>
      <w:r w:rsidRPr="00A71E1E">
        <w:t xml:space="preserve">“Baseline” is the calculated C&amp;I HDR baseline for the interval (see section 1.6.26.3.1). </w:t>
      </w:r>
    </w:p>
    <w:p w14:paraId="304F7CBA" w14:textId="77777777" w:rsidR="00CD1FDE" w:rsidRPr="00A71E1E" w:rsidRDefault="00CD1FDE" w:rsidP="00CD1FDE">
      <w:pPr>
        <w:pStyle w:val="ListParagraph"/>
        <w:numPr>
          <w:ilvl w:val="0"/>
          <w:numId w:val="114"/>
        </w:numPr>
        <w:spacing w:after="200" w:line="276" w:lineRule="auto"/>
      </w:pPr>
      <w:r w:rsidRPr="00A71E1E">
        <w:t xml:space="preserve">“Actual Consumption” is the measurement data for the interval. </w:t>
      </w:r>
    </w:p>
    <w:p w14:paraId="7470C422" w14:textId="77777777" w:rsidR="00CD1FDE" w:rsidRPr="00A71E1E" w:rsidRDefault="00CD1FDE" w:rsidP="00CD1FDE">
      <w:pPr>
        <w:pStyle w:val="ListParagraph"/>
        <w:numPr>
          <w:ilvl w:val="0"/>
          <w:numId w:val="114"/>
        </w:numPr>
        <w:spacing w:after="200" w:line="276" w:lineRule="auto"/>
      </w:pPr>
      <w:r w:rsidRPr="00A71E1E">
        <w:t xml:space="preserve">“Total Bid Qty” is the maximum quantity of the </w:t>
      </w:r>
      <w:r w:rsidRPr="00A71E1E">
        <w:rPr>
          <w:i/>
        </w:rPr>
        <w:t>demand response</w:t>
      </w:r>
      <w:r w:rsidRPr="00A71E1E">
        <w:t xml:space="preserve"> </w:t>
      </w:r>
      <w:r w:rsidRPr="00A71E1E">
        <w:rPr>
          <w:i/>
        </w:rPr>
        <w:t>energy</w:t>
      </w:r>
      <w:r w:rsidRPr="00A71E1E">
        <w:t xml:space="preserve"> </w:t>
      </w:r>
      <w:r w:rsidRPr="00A71E1E">
        <w:rPr>
          <w:i/>
        </w:rPr>
        <w:t>bid</w:t>
      </w:r>
      <w:r w:rsidRPr="00A71E1E">
        <w:t xml:space="preserve"> converted to an interval equivalent.</w:t>
      </w:r>
    </w:p>
    <w:p w14:paraId="25214104" w14:textId="77777777" w:rsidR="00CD1FDE" w:rsidRPr="00A71E1E" w:rsidRDefault="00CD1FDE" w:rsidP="00CD1FDE">
      <w:pPr>
        <w:pStyle w:val="ListParagraph"/>
        <w:numPr>
          <w:ilvl w:val="0"/>
          <w:numId w:val="114"/>
        </w:numPr>
        <w:spacing w:after="200" w:line="276" w:lineRule="auto"/>
      </w:pPr>
      <w:r w:rsidRPr="00A71E1E">
        <w:t>“Schedule” is the real-time constrained schedule quantity amount for the interval.</w:t>
      </w:r>
    </w:p>
    <w:p w14:paraId="07C80941" w14:textId="5502E65D" w:rsidR="00CD1FDE" w:rsidRPr="00A71E1E" w:rsidRDefault="00CD1FDE" w:rsidP="00CD1FDE">
      <w:r w:rsidRPr="00A71E1E">
        <w:t>For greater clarity, if measurement data for the interval required for “Actual Consumption” is missing (i.e. measurement data was not submitted), Baseline</w:t>
      </w:r>
      <w:r w:rsidRPr="00A71E1E">
        <w:rPr>
          <w:vertAlign w:val="subscript"/>
        </w:rPr>
        <w:t>i</w:t>
      </w:r>
      <w:r w:rsidRPr="00A71E1E">
        <w:t xml:space="preserve"> - Actual Consumption</w:t>
      </w:r>
      <w:r w:rsidRPr="00A71E1E">
        <w:rPr>
          <w:vertAlign w:val="subscript"/>
        </w:rPr>
        <w:t>i</w:t>
      </w:r>
      <w:r w:rsidRPr="00A71E1E">
        <w:t xml:space="preserve">, in the above formula is 0. We use </w:t>
      </w:r>
      <w:r w:rsidRPr="00A71E1E">
        <w:rPr>
          <w:i/>
        </w:rPr>
        <w:t>charge type</w:t>
      </w:r>
      <w:r w:rsidRPr="00A71E1E">
        <w:t xml:space="preserve"> </w:t>
      </w:r>
      <w:r w:rsidRPr="00A71E1E">
        <w:rPr>
          <w:rFonts w:eastAsiaTheme="minorEastAsia"/>
        </w:rPr>
        <w:t>1317 “</w:t>
      </w:r>
      <w:r>
        <w:rPr>
          <w:rFonts w:eastAsiaTheme="minorEastAsia"/>
        </w:rPr>
        <w:t>Capacity Obligation</w:t>
      </w:r>
      <w:r w:rsidRPr="00A71E1E">
        <w:rPr>
          <w:rFonts w:eastAsiaTheme="minorEastAsia"/>
        </w:rPr>
        <w:t xml:space="preserve"> – Dispatch Charge” to settle the dispatch charge when a </w:t>
      </w:r>
      <w:r w:rsidRPr="00A71E1E">
        <w:t>C&amp;I</w:t>
      </w:r>
      <w:r w:rsidRPr="00A71E1E">
        <w:rPr>
          <w:rFonts w:eastAsiaTheme="minorEastAsia"/>
        </w:rPr>
        <w:t xml:space="preserve"> HDR resource failed to follow its dispatch instruction. </w:t>
      </w:r>
    </w:p>
    <w:p w14:paraId="2017AB14" w14:textId="77777777" w:rsidR="00CD1FDE" w:rsidRPr="00A71E1E" w:rsidRDefault="00CD1FDE" w:rsidP="00CD1FDE">
      <w:pPr>
        <w:pStyle w:val="Heading5"/>
        <w:rPr>
          <w:b/>
        </w:rPr>
      </w:pPr>
      <w:r w:rsidRPr="00A71E1E">
        <w:rPr>
          <w:b/>
        </w:rPr>
        <w:t>1.6.26.3.5</w:t>
      </w:r>
      <w:r w:rsidRPr="00A71E1E">
        <w:rPr>
          <w:b/>
        </w:rPr>
        <w:tab/>
        <w:t>Capacity Charges</w:t>
      </w:r>
    </w:p>
    <w:p w14:paraId="059BB202" w14:textId="1222072E" w:rsidR="00CD1FDE" w:rsidRDefault="00CD1FDE" w:rsidP="006E23D6">
      <w:pPr>
        <w:spacing w:after="100" w:afterAutospacing="1"/>
        <w:textAlignment w:val="baseline"/>
      </w:pPr>
      <w:r>
        <w:t xml:space="preserve">The capacity charge is applicable to all participating </w:t>
      </w:r>
      <w:r w:rsidRPr="6908EE7F">
        <w:rPr>
          <w:i/>
          <w:iCs/>
        </w:rPr>
        <w:t>capacity auction resources</w:t>
      </w:r>
      <w:r>
        <w:t xml:space="preserve"> when they fail to </w:t>
      </w:r>
      <w:del w:id="1147" w:author="Author">
        <w:r>
          <w:delText xml:space="preserve">deliver on their </w:delText>
        </w:r>
        <w:r w:rsidRPr="00A02C93">
          <w:rPr>
            <w:i/>
          </w:rPr>
          <w:delText>capacity obligations</w:delText>
        </w:r>
        <w:r w:rsidR="003E0FEB">
          <w:delText xml:space="preserve"> during a test activation</w:delText>
        </w:r>
        <w:r>
          <w:delText>.</w:delText>
        </w:r>
      </w:del>
      <w:ins w:id="1148" w:author="Author">
        <w:r w:rsidR="004030B6">
          <w:t xml:space="preserve"> deliver </w:t>
        </w:r>
        <w:r w:rsidR="00C50022">
          <w:t>capacity up to</w:t>
        </w:r>
        <w:r w:rsidR="004030B6">
          <w:t xml:space="preserve"> their </w:t>
        </w:r>
        <w:r w:rsidR="004030B6" w:rsidRPr="6908EE7F">
          <w:rPr>
            <w:i/>
            <w:iCs/>
          </w:rPr>
          <w:t>cleared IC</w:t>
        </w:r>
        <w:r w:rsidR="00836F61" w:rsidRPr="6908EE7F">
          <w:rPr>
            <w:i/>
            <w:iCs/>
          </w:rPr>
          <w:t>AP</w:t>
        </w:r>
        <w:r w:rsidR="003E0FEB" w:rsidRPr="6908EE7F">
          <w:rPr>
            <w:i/>
            <w:iCs/>
          </w:rPr>
          <w:t xml:space="preserve"> </w:t>
        </w:r>
        <w:r w:rsidR="003E0FEB">
          <w:t xml:space="preserve">during a </w:t>
        </w:r>
        <w:r w:rsidR="00EF7280" w:rsidRPr="6908EE7F">
          <w:rPr>
            <w:i/>
            <w:iCs/>
          </w:rPr>
          <w:t xml:space="preserve">capacity auction </w:t>
        </w:r>
        <w:r w:rsidR="0027460E" w:rsidRPr="6908EE7F">
          <w:rPr>
            <w:i/>
            <w:iCs/>
          </w:rPr>
          <w:t xml:space="preserve">capacity </w:t>
        </w:r>
        <w:r w:rsidR="003E0FEB" w:rsidRPr="6908EE7F">
          <w:rPr>
            <w:i/>
            <w:iCs/>
          </w:rPr>
          <w:t>test</w:t>
        </w:r>
        <w:r w:rsidR="0027460E">
          <w:t xml:space="preserve"> </w:t>
        </w:r>
        <w:r>
          <w:t>.</w:t>
        </w:r>
        <w:r w:rsidR="00D14471">
          <w:t xml:space="preserve"> </w:t>
        </w:r>
        <w:r w:rsidR="004B7D49" w:rsidRPr="6908EE7F">
          <w:rPr>
            <w:rFonts w:cs="Tahoma"/>
            <w:color w:val="000000" w:themeColor="text1"/>
          </w:rPr>
          <w:t>The capacity charge for failed</w:t>
        </w:r>
        <w:r w:rsidR="00566441" w:rsidRPr="6908EE7F">
          <w:rPr>
            <w:rFonts w:cs="Tahoma"/>
            <w:color w:val="000000" w:themeColor="text1"/>
          </w:rPr>
          <w:t xml:space="preserve"> </w:t>
        </w:r>
        <w:r w:rsidR="00566441" w:rsidRPr="6908EE7F">
          <w:rPr>
            <w:rFonts w:cs="Tahoma"/>
            <w:i/>
            <w:iCs/>
            <w:color w:val="000000" w:themeColor="text1"/>
          </w:rPr>
          <w:t>capacity auction</w:t>
        </w:r>
        <w:r w:rsidR="004B7D49" w:rsidRPr="6908EE7F">
          <w:rPr>
            <w:rFonts w:cs="Tahoma"/>
            <w:i/>
            <w:iCs/>
            <w:color w:val="000000" w:themeColor="text1"/>
          </w:rPr>
          <w:t xml:space="preserve"> </w:t>
        </w:r>
        <w:r w:rsidR="0027460E" w:rsidRPr="6908EE7F">
          <w:rPr>
            <w:rFonts w:cs="Tahoma"/>
            <w:i/>
            <w:iCs/>
            <w:color w:val="000000" w:themeColor="text1"/>
          </w:rPr>
          <w:t xml:space="preserve">capacity </w:t>
        </w:r>
        <w:r w:rsidR="004B7D49" w:rsidRPr="6908EE7F">
          <w:rPr>
            <w:rFonts w:cs="Tahoma"/>
            <w:i/>
            <w:iCs/>
            <w:color w:val="000000" w:themeColor="text1"/>
          </w:rPr>
          <w:t>test</w:t>
        </w:r>
        <w:r w:rsidR="004B7D49" w:rsidRPr="6908EE7F">
          <w:rPr>
            <w:rFonts w:cs="Tahoma"/>
            <w:color w:val="000000" w:themeColor="text1"/>
          </w:rPr>
          <w:t xml:space="preserve"> activations is equal to one month’s availability payment</w:t>
        </w:r>
        <w:r w:rsidR="43A30192" w:rsidRPr="6908EE7F">
          <w:rPr>
            <w:rFonts w:cs="Tahoma"/>
            <w:color w:val="000000" w:themeColor="text1"/>
          </w:rPr>
          <w:t>.</w:t>
        </w:r>
        <w:r w:rsidR="006E23D6">
          <w:rPr>
            <w:rFonts w:cs="Tahoma"/>
            <w:color w:val="000000" w:themeColor="text1"/>
          </w:rPr>
          <w:t xml:space="preserve"> </w:t>
        </w:r>
        <w:r w:rsidR="006E23D6">
          <w:rPr>
            <w:rFonts w:cs="Tahoma"/>
            <w:i/>
            <w:color w:val="000000" w:themeColor="text1"/>
          </w:rPr>
          <w:t>C</w:t>
        </w:r>
        <w:r w:rsidRPr="00A02C93">
          <w:rPr>
            <w:i/>
          </w:rPr>
          <w:t>harge type</w:t>
        </w:r>
        <w:r w:rsidRPr="00A02C93">
          <w:t xml:space="preserve"> 1318 “Capacity Obligation – Capacity Charge” </w:t>
        </w:r>
        <w:r w:rsidR="006E23D6">
          <w:t xml:space="preserve">is used </w:t>
        </w:r>
        <w:r w:rsidRPr="00A02C93">
          <w:t>to settle the capacity charges</w:t>
        </w:r>
      </w:ins>
    </w:p>
    <w:p w14:paraId="3E7A3AB7" w14:textId="77777777" w:rsidR="00CD1FDE" w:rsidRDefault="00CD1FDE" w:rsidP="00CD1FDE">
      <w:pPr>
        <w:spacing w:before="120"/>
        <w:rPr>
          <w:del w:id="1149" w:author="Author"/>
        </w:rPr>
      </w:pPr>
      <w:del w:id="1150" w:author="Author">
        <w:r w:rsidRPr="00A02C93">
          <w:delText xml:space="preserve">We use </w:delText>
        </w:r>
        <w:r w:rsidRPr="00A02C93">
          <w:rPr>
            <w:i/>
          </w:rPr>
          <w:delText>charge type</w:delText>
        </w:r>
        <w:r w:rsidRPr="00A02C93">
          <w:delText xml:space="preserve"> 1318 “Capacity Obligation – Capacity Charge” to settle the capacity charges</w:delText>
        </w:r>
      </w:del>
    </w:p>
    <w:p w14:paraId="4108B43E" w14:textId="425F36D4" w:rsidR="00CD1FDE" w:rsidRPr="00CD1FDE" w:rsidRDefault="00CD1FDE" w:rsidP="00C500CB">
      <w:pPr>
        <w:spacing w:before="240"/>
        <w:rPr>
          <w:b/>
        </w:rPr>
      </w:pPr>
      <w:r w:rsidRPr="00CD1FDE">
        <w:rPr>
          <w:b/>
        </w:rPr>
        <w:t xml:space="preserve">Assessment for </w:t>
      </w:r>
      <w:r w:rsidRPr="00957481">
        <w:rPr>
          <w:b/>
          <w:i/>
        </w:rPr>
        <w:t>Capacity Dispatchable Load Resources</w:t>
      </w:r>
      <w:r w:rsidRPr="00CD1FDE">
        <w:rPr>
          <w:b/>
        </w:rPr>
        <w:t xml:space="preserve">, </w:t>
      </w:r>
      <w:r w:rsidRPr="00957481">
        <w:rPr>
          <w:b/>
          <w:i/>
        </w:rPr>
        <w:t>Capacity Storage Resources</w:t>
      </w:r>
      <w:r w:rsidRPr="00CD1FDE">
        <w:rPr>
          <w:b/>
        </w:rPr>
        <w:t xml:space="preserve">, </w:t>
      </w:r>
      <w:r w:rsidRPr="00957481">
        <w:rPr>
          <w:b/>
          <w:i/>
        </w:rPr>
        <w:t>Capacity Generation Resources</w:t>
      </w:r>
      <w:ins w:id="1151" w:author="Author">
        <w:r w:rsidR="00F324FE">
          <w:rPr>
            <w:b/>
          </w:rPr>
          <w:t>,</w:t>
        </w:r>
      </w:ins>
      <w:r w:rsidRPr="00CD1FDE">
        <w:rPr>
          <w:b/>
        </w:rPr>
        <w:t xml:space="preserve"> </w:t>
      </w:r>
      <w:r w:rsidR="00D428B6">
        <w:rPr>
          <w:b/>
        </w:rPr>
        <w:t>and</w:t>
      </w:r>
      <w:ins w:id="1152" w:author="Author">
        <w:r w:rsidR="00D428B6">
          <w:rPr>
            <w:b/>
          </w:rPr>
          <w:t xml:space="preserve"> </w:t>
        </w:r>
        <w:r w:rsidR="00E65F66">
          <w:rPr>
            <w:b/>
            <w:i/>
          </w:rPr>
          <w:t>Generator-</w:t>
        </w:r>
        <w:r w:rsidR="00D428B6" w:rsidRPr="00F324FE">
          <w:rPr>
            <w:b/>
            <w:i/>
          </w:rPr>
          <w:t>Backed</w:t>
        </w:r>
      </w:ins>
      <w:r w:rsidR="00D428B6" w:rsidRPr="00F324FE">
        <w:rPr>
          <w:b/>
          <w:i/>
        </w:rPr>
        <w:t xml:space="preserve"> </w:t>
      </w:r>
      <w:r w:rsidRPr="00F324FE">
        <w:rPr>
          <w:b/>
          <w:i/>
        </w:rPr>
        <w:t>Capacity Import Resources</w:t>
      </w:r>
    </w:p>
    <w:p w14:paraId="2A12D48D" w14:textId="4637CB48" w:rsidR="00957481" w:rsidRDefault="00CD1FDE" w:rsidP="00CD1FDE">
      <w:pPr>
        <w:spacing w:before="120"/>
      </w:pPr>
      <w:r w:rsidRPr="00A02C93">
        <w:t xml:space="preserve">The capacity charge is applicable when the </w:t>
      </w:r>
      <w:r w:rsidRPr="00A410AE">
        <w:t>resource</w:t>
      </w:r>
      <w:r w:rsidRPr="00A02C93">
        <w:t xml:space="preserve"> fails </w:t>
      </w:r>
      <w:r>
        <w:t xml:space="preserve">to deliver </w:t>
      </w:r>
      <w:del w:id="1153" w:author="Author">
        <w:r>
          <w:delText xml:space="preserve">its </w:delText>
        </w:r>
      </w:del>
      <w:r w:rsidR="00C50022">
        <w:t xml:space="preserve">capacity </w:t>
      </w:r>
      <w:del w:id="1154" w:author="Author">
        <w:r w:rsidRPr="00A02C93">
          <w:rPr>
            <w:i/>
          </w:rPr>
          <w:delText>obligation</w:delText>
        </w:r>
      </w:del>
      <w:ins w:id="1155" w:author="Author">
        <w:r w:rsidR="00C50022">
          <w:t xml:space="preserve">up to </w:t>
        </w:r>
        <w:r w:rsidR="00BF1B7A">
          <w:t xml:space="preserve">its </w:t>
        </w:r>
        <w:r w:rsidR="00BF1B7A" w:rsidRPr="74EF2A53">
          <w:rPr>
            <w:i/>
            <w:iCs/>
          </w:rPr>
          <w:t>cleared IC</w:t>
        </w:r>
        <w:r w:rsidR="00836F61" w:rsidRPr="00E3394B">
          <w:rPr>
            <w:i/>
          </w:rPr>
          <w:t>AP</w:t>
        </w:r>
      </w:ins>
      <w:r>
        <w:t xml:space="preserve"> </w:t>
      </w:r>
      <w:r w:rsidR="003E0FEB">
        <w:t>during a</w:t>
      </w:r>
      <w:r w:rsidR="00E3394B">
        <w:t xml:space="preserve"> </w:t>
      </w:r>
      <w:ins w:id="1156" w:author="Author">
        <w:r w:rsidR="00E3394B" w:rsidRPr="00EF7280">
          <w:rPr>
            <w:i/>
          </w:rPr>
          <w:t>capacity auction capacity</w:t>
        </w:r>
        <w:r w:rsidR="003E0FEB">
          <w:t xml:space="preserve"> </w:t>
        </w:r>
      </w:ins>
      <w:r w:rsidR="003E0FEB" w:rsidRPr="00957481">
        <w:rPr>
          <w:i/>
        </w:rPr>
        <w:t>test</w:t>
      </w:r>
      <w:r w:rsidR="00445549">
        <w:t xml:space="preserve"> </w:t>
      </w:r>
      <w:del w:id="1157" w:author="Author">
        <w:r w:rsidR="003E0FEB">
          <w:delText>activation</w:delText>
        </w:r>
      </w:del>
      <w:r w:rsidRPr="00A02C93">
        <w:t xml:space="preserve">. The assessment </w:t>
      </w:r>
      <w:ins w:id="1158" w:author="Author">
        <w:r w:rsidR="00F36D73">
          <w:t xml:space="preserve">for a </w:t>
        </w:r>
        <w:r w:rsidR="00E3394B" w:rsidRPr="00EF7280">
          <w:rPr>
            <w:i/>
          </w:rPr>
          <w:t xml:space="preserve">capacity auction </w:t>
        </w:r>
        <w:r w:rsidR="00E3394B" w:rsidRPr="00E3394B">
          <w:rPr>
            <w:i/>
          </w:rPr>
          <w:t xml:space="preserve">capacity </w:t>
        </w:r>
        <w:r w:rsidR="00F36D73" w:rsidRPr="00E3394B">
          <w:rPr>
            <w:i/>
          </w:rPr>
          <w:t>test</w:t>
        </w:r>
        <w:r w:rsidRPr="00A02C93">
          <w:t xml:space="preserve"> </w:t>
        </w:r>
      </w:ins>
      <w:r w:rsidRPr="00A02C93">
        <w:t>is further outlined in Market Manual 12.</w:t>
      </w:r>
      <w:ins w:id="1159" w:author="Author">
        <w:r w:rsidR="005C7939">
          <w:t xml:space="preserve"> A five</w:t>
        </w:r>
        <w:r w:rsidR="00A37F07">
          <w:t xml:space="preserve"> percent</w:t>
        </w:r>
        <w:r w:rsidR="005C7939">
          <w:t xml:space="preserve"> (5%) </w:t>
        </w:r>
        <w:r w:rsidR="003D04F9">
          <w:t>threshold</w:t>
        </w:r>
        <w:r w:rsidR="00A37F07">
          <w:t xml:space="preserve"> </w:t>
        </w:r>
        <w:r w:rsidR="005C7939">
          <w:t xml:space="preserve">of the </w:t>
        </w:r>
        <w:r w:rsidR="00E3394B">
          <w:rPr>
            <w:i/>
          </w:rPr>
          <w:t xml:space="preserve">cleared </w:t>
        </w:r>
        <w:r w:rsidR="00836F61">
          <w:rPr>
            <w:i/>
          </w:rPr>
          <w:t>ICAP</w:t>
        </w:r>
        <w:r w:rsidR="005C7939">
          <w:t xml:space="preserve"> will be used in the assessment.</w:t>
        </w:r>
      </w:ins>
    </w:p>
    <w:p w14:paraId="68DDED95" w14:textId="7D5A8E3E" w:rsidR="006E23D6" w:rsidRPr="006E23D6" w:rsidRDefault="006E23D6" w:rsidP="00CD1FDE">
      <w:pPr>
        <w:spacing w:before="120"/>
        <w:rPr>
          <w:ins w:id="1160" w:author="Author"/>
          <w:b/>
          <w:i/>
        </w:rPr>
      </w:pPr>
      <w:ins w:id="1161" w:author="Author">
        <w:r w:rsidRPr="006E23D6">
          <w:rPr>
            <w:b/>
          </w:rPr>
          <w:t xml:space="preserve">Assessment for </w:t>
        </w:r>
        <w:r w:rsidRPr="006E23D6">
          <w:rPr>
            <w:b/>
            <w:i/>
          </w:rPr>
          <w:t>Generator-Backed Capacity Import Resources</w:t>
        </w:r>
      </w:ins>
    </w:p>
    <w:p w14:paraId="160FECCB" w14:textId="1B02E553" w:rsidR="006E23D6" w:rsidRPr="006E23D6" w:rsidRDefault="006E23D6" w:rsidP="00CD1FDE">
      <w:pPr>
        <w:spacing w:before="120"/>
        <w:rPr>
          <w:ins w:id="1162" w:author="Author"/>
        </w:rPr>
      </w:pPr>
      <w:ins w:id="1163" w:author="Author">
        <w:r w:rsidRPr="00A02C93">
          <w:t xml:space="preserve">The capacity charge is applicable when the </w:t>
        </w:r>
        <w:r w:rsidRPr="00A410AE">
          <w:t>resource</w:t>
        </w:r>
        <w:r w:rsidRPr="00A02C93">
          <w:t xml:space="preserve"> fails </w:t>
        </w:r>
        <w:r>
          <w:t xml:space="preserve">to both deliver capacity up to its </w:t>
        </w:r>
        <w:r w:rsidRPr="74EF2A53">
          <w:rPr>
            <w:i/>
            <w:iCs/>
          </w:rPr>
          <w:t>cleared IC</w:t>
        </w:r>
        <w:r w:rsidRPr="00E3394B">
          <w:rPr>
            <w:i/>
          </w:rPr>
          <w:t>AP</w:t>
        </w:r>
        <w:r>
          <w:t xml:space="preserve"> and successfully schedule a corresponding intertie transaction for the </w:t>
        </w:r>
        <w:r>
          <w:rPr>
            <w:i/>
          </w:rPr>
          <w:t xml:space="preserve">cleared ICAP </w:t>
        </w:r>
        <w:r>
          <w:t xml:space="preserve">during a </w:t>
        </w:r>
        <w:r w:rsidRPr="00EF7280">
          <w:rPr>
            <w:i/>
          </w:rPr>
          <w:t>capacity auction capacity</w:t>
        </w:r>
        <w:r>
          <w:t xml:space="preserve"> </w:t>
        </w:r>
        <w:r w:rsidRPr="00957481">
          <w:rPr>
            <w:i/>
          </w:rPr>
          <w:t>test</w:t>
        </w:r>
        <w:r w:rsidRPr="00A02C93">
          <w:t xml:space="preserve">. The assessment </w:t>
        </w:r>
        <w:r>
          <w:t xml:space="preserve">for a </w:t>
        </w:r>
        <w:r w:rsidRPr="00EF7280">
          <w:rPr>
            <w:i/>
          </w:rPr>
          <w:t xml:space="preserve">capacity auction </w:t>
        </w:r>
        <w:r w:rsidRPr="00E3394B">
          <w:rPr>
            <w:i/>
          </w:rPr>
          <w:t>capacity test</w:t>
        </w:r>
        <w:r w:rsidRPr="00A02C93">
          <w:t xml:space="preserve"> is further outlined in Market Manual 12.</w:t>
        </w:r>
        <w:r>
          <w:t xml:space="preserve"> A five percent (5%) threshold of the </w:t>
        </w:r>
        <w:r>
          <w:rPr>
            <w:i/>
          </w:rPr>
          <w:t>cleared ICAP</w:t>
        </w:r>
        <w:r>
          <w:t xml:space="preserve"> will be used in the assessment.</w:t>
        </w:r>
      </w:ins>
    </w:p>
    <w:p w14:paraId="04F2010E" w14:textId="7D50B270" w:rsidR="00CD1FDE" w:rsidRPr="00C50022" w:rsidRDefault="00CD1FDE" w:rsidP="00C500CB">
      <w:pPr>
        <w:spacing w:before="240"/>
        <w:rPr>
          <w:b/>
          <w:i/>
        </w:rPr>
      </w:pPr>
      <w:r w:rsidRPr="00CD1FDE">
        <w:rPr>
          <w:b/>
        </w:rPr>
        <w:t>Additional Consideration for</w:t>
      </w:r>
      <w:ins w:id="1164" w:author="Author">
        <w:r w:rsidR="00D428B6">
          <w:rPr>
            <w:b/>
          </w:rPr>
          <w:t xml:space="preserve"> </w:t>
        </w:r>
        <w:r w:rsidR="004E25A2" w:rsidRPr="004E25A2">
          <w:rPr>
            <w:b/>
            <w:i/>
          </w:rPr>
          <w:t>Generator-</w:t>
        </w:r>
        <w:r w:rsidR="00D428B6" w:rsidRPr="004E25A2">
          <w:rPr>
            <w:b/>
            <w:i/>
          </w:rPr>
          <w:t>Backed Capacity Import Resources</w:t>
        </w:r>
        <w:r w:rsidR="00C50022">
          <w:rPr>
            <w:b/>
            <w:i/>
          </w:rPr>
          <w:t xml:space="preserve"> </w:t>
        </w:r>
        <w:r w:rsidR="00C50022">
          <w:rPr>
            <w:b/>
          </w:rPr>
          <w:t xml:space="preserve">and </w:t>
        </w:r>
        <w:r w:rsidR="00C50022">
          <w:rPr>
            <w:b/>
            <w:i/>
          </w:rPr>
          <w:t>System-Backed</w:t>
        </w:r>
      </w:ins>
      <w:r w:rsidR="00C50022">
        <w:rPr>
          <w:b/>
          <w:i/>
        </w:rPr>
        <w:t xml:space="preserve"> Capacity Import Resources</w:t>
      </w:r>
    </w:p>
    <w:p w14:paraId="6B61A812" w14:textId="0879F0F0" w:rsidR="00957481" w:rsidRDefault="00CD1FDE" w:rsidP="00CD1FDE">
      <w:pPr>
        <w:spacing w:before="120"/>
      </w:pPr>
      <w:del w:id="1165" w:author="Author">
        <w:r w:rsidRPr="00A02C93">
          <w:delText>For</w:delText>
        </w:r>
      </w:del>
      <w:ins w:id="1166" w:author="Author">
        <w:r w:rsidRPr="00A02C93">
          <w:t xml:space="preserve">For </w:t>
        </w:r>
        <w:r w:rsidR="00421D1D">
          <w:rPr>
            <w:i/>
          </w:rPr>
          <w:t>g</w:t>
        </w:r>
        <w:r w:rsidR="004E25A2">
          <w:rPr>
            <w:i/>
          </w:rPr>
          <w:t>enerator-</w:t>
        </w:r>
        <w:r w:rsidR="00D428B6">
          <w:rPr>
            <w:i/>
          </w:rPr>
          <w:t>backed</w:t>
        </w:r>
        <w:r>
          <w:rPr>
            <w:i/>
          </w:rPr>
          <w:t xml:space="preserve"> </w:t>
        </w:r>
        <w:r w:rsidRPr="00A02C93">
          <w:rPr>
            <w:i/>
          </w:rPr>
          <w:t>capacity import resources</w:t>
        </w:r>
        <w:r w:rsidR="00C50022">
          <w:rPr>
            <w:i/>
          </w:rPr>
          <w:t xml:space="preserve"> </w:t>
        </w:r>
        <w:r w:rsidR="00C50022">
          <w:t xml:space="preserve">and </w:t>
        </w:r>
        <w:r w:rsidR="00C50022">
          <w:rPr>
            <w:i/>
          </w:rPr>
          <w:t>system-backed</w:t>
        </w:r>
      </w:ins>
      <w:r w:rsidR="00C50022">
        <w:rPr>
          <w:i/>
        </w:rPr>
        <w:t xml:space="preserve"> capacity import resources</w:t>
      </w:r>
      <w:r w:rsidRPr="00A02C93">
        <w:t xml:space="preserve">, the charge applies if the scheduled intertie transaction is curtailed partially or in full during </w:t>
      </w:r>
      <w:r w:rsidRPr="00A02C93">
        <w:rPr>
          <w:i/>
        </w:rPr>
        <w:t>real-time</w:t>
      </w:r>
      <w:r w:rsidRPr="00A02C93">
        <w:t xml:space="preserve"> after being scheduled during a </w:t>
      </w:r>
      <w:r w:rsidRPr="00A02C93">
        <w:rPr>
          <w:i/>
        </w:rPr>
        <w:t>pre-dispatch</w:t>
      </w:r>
      <w:r w:rsidRPr="00A02C93">
        <w:t xml:space="preserve"> run</w:t>
      </w:r>
      <w:del w:id="1167" w:author="Author">
        <w:r w:rsidRPr="00A02C93">
          <w:delText>; the</w:delText>
        </w:r>
      </w:del>
      <w:ins w:id="1168" w:author="Author">
        <w:r w:rsidR="00957481">
          <w:t xml:space="preserve"> during </w:t>
        </w:r>
        <w:r w:rsidR="007141D8">
          <w:t>a</w:t>
        </w:r>
      </w:ins>
      <w:r w:rsidR="007141D8">
        <w:t xml:space="preserve"> </w:t>
      </w:r>
      <w:r w:rsidR="007141D8">
        <w:rPr>
          <w:i/>
        </w:rPr>
        <w:t xml:space="preserve">capacity </w:t>
      </w:r>
      <w:del w:id="1169" w:author="Author">
        <w:r w:rsidRPr="00A02C93">
          <w:rPr>
            <w:i/>
          </w:rPr>
          <w:delText>market participant</w:delText>
        </w:r>
      </w:del>
      <w:ins w:id="1170" w:author="Author">
        <w:r w:rsidR="007141D8">
          <w:rPr>
            <w:i/>
          </w:rPr>
          <w:t>auction capacity test</w:t>
        </w:r>
        <w:r w:rsidRPr="00A02C93">
          <w:t xml:space="preserve">; the </w:t>
        </w:r>
        <w:r w:rsidR="00DA3708">
          <w:rPr>
            <w:i/>
          </w:rPr>
          <w:t>CMP</w:t>
        </w:r>
      </w:ins>
      <w:r w:rsidRPr="00A02C93">
        <w:t xml:space="preserve"> will be exempt from the capacity charge where the curtailment reason is one of the following: TLRi, TLRe, ADQh</w:t>
      </w:r>
      <w:r w:rsidRPr="00A02C93">
        <w:rPr>
          <w:vertAlign w:val="superscript"/>
        </w:rPr>
        <w:footnoteReference w:id="36"/>
      </w:r>
      <w:r w:rsidRPr="00A02C93">
        <w:t xml:space="preserve">. </w:t>
      </w:r>
    </w:p>
    <w:p w14:paraId="23A63145" w14:textId="1D508C4A" w:rsidR="00957481" w:rsidRDefault="00206CE7" w:rsidP="00CD1FDE">
      <w:pPr>
        <w:spacing w:before="120"/>
        <w:rPr>
          <w:ins w:id="1171" w:author="Author"/>
        </w:rPr>
      </w:pPr>
      <w:ins w:id="1172" w:author="Author">
        <w:r>
          <w:t>I</w:t>
        </w:r>
        <w:r w:rsidR="00957481">
          <w:t>f supporting data required</w:t>
        </w:r>
        <w:r w:rsidR="006E23D6">
          <w:t xml:space="preserve"> </w:t>
        </w:r>
        <w:r w:rsidR="00957481">
          <w:t xml:space="preserve">as part of the </w:t>
        </w:r>
        <w:r w:rsidR="00957481">
          <w:rPr>
            <w:i/>
          </w:rPr>
          <w:t>capacity auction capacity test</w:t>
        </w:r>
        <w:r w:rsidR="00957481">
          <w:t xml:space="preserve"> is missing (i.e. data was not submitted), then the </w:t>
        </w:r>
        <w:r w:rsidR="00992F0F">
          <w:t xml:space="preserve">MW delivered by the </w:t>
        </w:r>
        <w:r w:rsidR="00992F0F">
          <w:rPr>
            <w:i/>
          </w:rPr>
          <w:t>generator backed capacity import resource</w:t>
        </w:r>
        <w:r w:rsidR="00957481">
          <w:t xml:space="preserve"> is assumed to be 0 and a capacity charge will apply.</w:t>
        </w:r>
      </w:ins>
    </w:p>
    <w:p w14:paraId="6D92EA98" w14:textId="69541ADF" w:rsidR="00CD1FDE" w:rsidRPr="00CD1FDE" w:rsidRDefault="00CD1FDE" w:rsidP="00C500CB">
      <w:pPr>
        <w:spacing w:before="240"/>
        <w:rPr>
          <w:b/>
        </w:rPr>
      </w:pPr>
      <w:r w:rsidRPr="00CD1FDE">
        <w:rPr>
          <w:b/>
        </w:rPr>
        <w:t xml:space="preserve">Assessment for HDR </w:t>
      </w:r>
      <w:r w:rsidR="005F4390">
        <w:rPr>
          <w:b/>
        </w:rPr>
        <w:t>R</w:t>
      </w:r>
      <w:r w:rsidRPr="00CD1FDE">
        <w:rPr>
          <w:b/>
        </w:rPr>
        <w:t>esources</w:t>
      </w:r>
    </w:p>
    <w:p w14:paraId="383EBC9C" w14:textId="7117B348" w:rsidR="00CD1FDE" w:rsidRDefault="4E46A018" w:rsidP="00A410AE">
      <w:pPr>
        <w:spacing w:before="120"/>
      </w:pPr>
      <w:r>
        <w:t xml:space="preserve">The charge applies when </w:t>
      </w:r>
      <w:r w:rsidR="23F62A7E">
        <w:t>the resource</w:t>
      </w:r>
      <w:r>
        <w:t xml:space="preserve"> fails to deliver </w:t>
      </w:r>
      <w:r w:rsidRPr="61AFAC0F">
        <w:rPr>
          <w:i/>
          <w:iCs/>
        </w:rPr>
        <w:t>demand response capacity</w:t>
      </w:r>
      <w:r>
        <w:t xml:space="preserve"> up to its </w:t>
      </w:r>
      <w:del w:id="1173" w:author="Author">
        <w:r w:rsidR="00CD1FDE" w:rsidRPr="00A02C93">
          <w:rPr>
            <w:i/>
          </w:rPr>
          <w:delText>capacity obligation</w:delText>
        </w:r>
      </w:del>
      <w:ins w:id="1174" w:author="Author">
        <w:r w:rsidR="5BEA1D59" w:rsidRPr="61AFAC0F">
          <w:rPr>
            <w:i/>
            <w:iCs/>
          </w:rPr>
          <w:t>cleared ICAP</w:t>
        </w:r>
      </w:ins>
      <w:r w:rsidR="5BEA1D59">
        <w:t xml:space="preserve"> </w:t>
      </w:r>
      <w:r>
        <w:t xml:space="preserve">into the </w:t>
      </w:r>
      <w:r w:rsidRPr="61AFAC0F">
        <w:rPr>
          <w:i/>
          <w:iCs/>
        </w:rPr>
        <w:t>energy market</w:t>
      </w:r>
      <w:r w:rsidR="23F62A7E">
        <w:t xml:space="preserve"> during a</w:t>
      </w:r>
      <w:r w:rsidR="5BEA1D59">
        <w:t xml:space="preserve"> </w:t>
      </w:r>
      <w:ins w:id="1175" w:author="Author">
        <w:r w:rsidR="33710E21" w:rsidRPr="61AFAC0F">
          <w:rPr>
            <w:i/>
            <w:iCs/>
          </w:rPr>
          <w:t xml:space="preserve">capacity auction </w:t>
        </w:r>
        <w:r w:rsidR="5BEA1D59" w:rsidRPr="61AFAC0F">
          <w:rPr>
            <w:i/>
            <w:iCs/>
          </w:rPr>
          <w:t>capacity</w:t>
        </w:r>
        <w:r w:rsidR="23F62A7E" w:rsidRPr="61AFAC0F">
          <w:rPr>
            <w:i/>
            <w:iCs/>
          </w:rPr>
          <w:t xml:space="preserve"> </w:t>
        </w:r>
      </w:ins>
      <w:r w:rsidR="23F62A7E" w:rsidRPr="61AFAC0F">
        <w:rPr>
          <w:i/>
          <w:iCs/>
        </w:rPr>
        <w:t>test</w:t>
      </w:r>
      <w:del w:id="1176" w:author="Author">
        <w:r w:rsidR="003E0FEB">
          <w:delText xml:space="preserve"> activation</w:delText>
        </w:r>
      </w:del>
      <w:r w:rsidR="6FF97052" w:rsidRPr="61AFAC0F">
        <w:rPr>
          <w:i/>
          <w:iCs/>
        </w:rPr>
        <w:t>.</w:t>
      </w:r>
    </w:p>
    <w:p w14:paraId="3545D6D4" w14:textId="77777777" w:rsidR="00CD1FDE" w:rsidRPr="00A71E1E" w:rsidRDefault="00CD1FDE" w:rsidP="00CD1FDE">
      <w:pPr>
        <w:spacing w:before="120"/>
        <w:rPr>
          <w:del w:id="1177" w:author="Author"/>
        </w:rPr>
      </w:pPr>
    </w:p>
    <w:p w14:paraId="1460B35F" w14:textId="12EDA8BF" w:rsidR="00CD1FDE" w:rsidRPr="00A71E1E" w:rsidRDefault="00CD1FDE" w:rsidP="00CD1FDE">
      <w:r w:rsidRPr="00A71E1E">
        <w:t>A t</w:t>
      </w:r>
      <w:del w:id="1178" w:author="Author">
        <w:r w:rsidRPr="00A71E1E">
          <w:delText>w</w:delText>
        </w:r>
      </w:del>
      <w:r w:rsidR="005C7939">
        <w:t>en</w:t>
      </w:r>
      <w:del w:id="1179" w:author="Author">
        <w:r w:rsidRPr="00A71E1E">
          <w:delText>ty</w:delText>
        </w:r>
      </w:del>
      <w:r w:rsidRPr="00A71E1E">
        <w:t xml:space="preserve"> percent (</w:t>
      </w:r>
      <w:del w:id="1180" w:author="Author">
        <w:r w:rsidRPr="00A71E1E">
          <w:delText>20</w:delText>
        </w:r>
      </w:del>
      <w:ins w:id="1181" w:author="Author">
        <w:r w:rsidR="00445549">
          <w:t>1</w:t>
        </w:r>
        <w:r w:rsidRPr="00A71E1E">
          <w:t>0</w:t>
        </w:r>
      </w:ins>
      <w:r w:rsidRPr="00A71E1E">
        <w:t>%) dead band</w:t>
      </w:r>
      <w:r w:rsidR="003D04F9">
        <w:t xml:space="preserve"> of the </w:t>
      </w:r>
      <w:del w:id="1182" w:author="Author">
        <w:r w:rsidRPr="00A410AE">
          <w:rPr>
            <w:i/>
          </w:rPr>
          <w:delText>dispatch instruction</w:delText>
        </w:r>
      </w:del>
      <w:ins w:id="1183" w:author="Author">
        <w:r w:rsidR="003D04F9">
          <w:rPr>
            <w:i/>
          </w:rPr>
          <w:t>cleared ICAP</w:t>
        </w:r>
      </w:ins>
      <w:r w:rsidRPr="00A71E1E">
        <w:t xml:space="preserve"> will be used in the assessment.  We will assess C&amp;I and residential HDR resources differently as described below.  </w:t>
      </w:r>
    </w:p>
    <w:p w14:paraId="5CCDF809" w14:textId="182FBCD3" w:rsidR="00CD1FDE" w:rsidRPr="00A71E1E" w:rsidRDefault="00CD1FDE" w:rsidP="00C500CB">
      <w:pPr>
        <w:spacing w:before="240"/>
        <w:rPr>
          <w:b/>
          <w:u w:val="single"/>
        </w:rPr>
      </w:pPr>
      <w:r w:rsidRPr="00A71E1E">
        <w:rPr>
          <w:b/>
          <w:u w:val="single"/>
        </w:rPr>
        <w:t xml:space="preserve">Capacity Charge Assessment </w:t>
      </w:r>
      <w:r>
        <w:rPr>
          <w:b/>
          <w:u w:val="single"/>
        </w:rPr>
        <w:t>for</w:t>
      </w:r>
      <w:r w:rsidRPr="00A71E1E">
        <w:rPr>
          <w:b/>
          <w:u w:val="single"/>
        </w:rPr>
        <w:t xml:space="preserve"> C&amp;I HDRs:</w:t>
      </w:r>
    </w:p>
    <w:p w14:paraId="64B157C5" w14:textId="426F6B59" w:rsidR="00CD1FDE" w:rsidRPr="00A71E1E" w:rsidRDefault="007D292D" w:rsidP="00CD1FDE">
      <w:r>
        <w:t xml:space="preserve">A </w:t>
      </w:r>
      <w:r w:rsidR="00CD1FDE" w:rsidRPr="00A71E1E">
        <w:t xml:space="preserve">C&amp;I HDR resource will be deemed to have failed to provide </w:t>
      </w:r>
      <w:r w:rsidR="00CD1FDE" w:rsidRPr="00A410AE">
        <w:t>capacity</w:t>
      </w:r>
      <w:r w:rsidR="00CD1FDE" w:rsidRPr="00A71E1E">
        <w:t xml:space="preserve"> if the following condition is true for the</w:t>
      </w:r>
      <w:r w:rsidR="00CD1FDE">
        <w:t xml:space="preserve"> </w:t>
      </w:r>
      <w:ins w:id="1184" w:author="Author">
        <w:r w:rsidR="00454302" w:rsidRPr="00454302">
          <w:rPr>
            <w:i/>
          </w:rPr>
          <w:t xml:space="preserve">capacity auction </w:t>
        </w:r>
        <w:r w:rsidR="00794F88" w:rsidRPr="00454302">
          <w:rPr>
            <w:i/>
          </w:rPr>
          <w:t xml:space="preserve">capacity </w:t>
        </w:r>
      </w:ins>
      <w:r w:rsidR="00CD1FDE" w:rsidRPr="00454302">
        <w:rPr>
          <w:i/>
        </w:rPr>
        <w:t>test</w:t>
      </w:r>
      <w:r w:rsidR="00CD1FDE" w:rsidRPr="00A71E1E">
        <w:t xml:space="preserve"> activation</w:t>
      </w:r>
      <w:del w:id="1185" w:author="Author">
        <w:r w:rsidR="00CD1FDE" w:rsidRPr="00A71E1E">
          <w:delText xml:space="preserve"> event</w:delText>
        </w:r>
      </w:del>
      <w:r w:rsidR="00CD1FDE" w:rsidRPr="00A71E1E">
        <w:t>:</w:t>
      </w:r>
    </w:p>
    <w:p w14:paraId="15BE0D58" w14:textId="77777777" w:rsidR="00CD1FDE" w:rsidRPr="00A71E1E" w:rsidRDefault="00CD1FDE" w:rsidP="00CD1FDE">
      <w:pPr>
        <w:rPr>
          <w:del w:id="1186" w:author="Author"/>
        </w:rPr>
      </w:pPr>
      <m:oMath>
        <m:r>
          <m:rPr>
            <m:sty m:val="p"/>
          </m:rPr>
          <w:rPr>
            <w:rFonts w:ascii="Cambria Math" w:hAnsi="Cambria Math"/>
          </w:rPr>
          <m:t xml:space="preserve">Average </m:t>
        </m:r>
        <m:d>
          <m:dPr>
            <m:ctrlPr>
              <w:rPr>
                <w:rFonts w:ascii="Cambria Math" w:hAnsi="Cambria Math"/>
              </w:rPr>
            </m:ctrlPr>
          </m:dPr>
          <m:e>
            <m:sSub>
              <m:sSubPr>
                <m:ctrlPr>
                  <w:rPr>
                    <w:rFonts w:ascii="Cambria Math" w:hAnsi="Cambria Math"/>
                  </w:rPr>
                </m:ctrlPr>
              </m:sSubPr>
              <m:e>
                <m:r>
                  <m:rPr>
                    <m:sty m:val="p"/>
                  </m:rPr>
                  <w:rPr>
                    <w:rFonts w:ascii="Cambria Math" w:hAnsi="Cambria Math"/>
                  </w:rPr>
                  <m:t>C&amp;I HDR Baseline</m:t>
                </m:r>
              </m:e>
              <m:sub>
                <m:r>
                  <m:rPr>
                    <m:sty m:val="p"/>
                  </m:rPr>
                  <w:rPr>
                    <w:rFonts w:ascii="Cambria Math" w:hAnsi="Cambria Math"/>
                  </w:rPr>
                  <m:t>i</m:t>
                </m:r>
              </m:sub>
            </m:sSub>
            <m:r>
              <m:rPr>
                <m:sty m:val="p"/>
              </m:rPr>
              <w:rPr>
                <w:rFonts w:ascii="Cambria Math" w:hAnsi="Cambria Math"/>
              </w:rPr>
              <m:t xml:space="preserve">- </m:t>
            </m:r>
            <m:sSub>
              <m:sSubPr>
                <m:ctrlPr>
                  <w:rPr>
                    <w:rFonts w:ascii="Cambria Math" w:hAnsi="Cambria Math"/>
                  </w:rPr>
                </m:ctrlPr>
              </m:sSubPr>
              <m:e>
                <m:r>
                  <m:rPr>
                    <m:sty m:val="p"/>
                  </m:rPr>
                  <w:rPr>
                    <w:rFonts w:ascii="Cambria Math" w:hAnsi="Cambria Math"/>
                  </w:rPr>
                  <m:t>Actual Consumption</m:t>
                </m:r>
              </m:e>
              <m:sub>
                <m:r>
                  <m:rPr>
                    <m:sty m:val="p"/>
                  </m:rPr>
                  <w:rPr>
                    <w:rFonts w:ascii="Cambria Math" w:hAnsi="Cambria Math"/>
                  </w:rPr>
                  <m:t>i</m:t>
                </m:r>
              </m:sub>
            </m:sSub>
          </m:e>
        </m:d>
        <m:r>
          <m:rPr>
            <m:sty m:val="p"/>
          </m:rPr>
          <w:rPr>
            <w:rFonts w:ascii="Cambria Math" w:hAnsi="Cambria Math"/>
          </w:rPr>
          <m:t>&lt;</m:t>
        </m:r>
        <m:r>
          <w:del w:id="1187" w:author="Author">
            <m:rPr>
              <m:sty m:val="p"/>
            </m:rPr>
            <w:rPr>
              <w:rFonts w:ascii="Cambria Math" w:hAnsi="Cambria Math"/>
            </w:rPr>
            <m:t>80</m:t>
          </w:del>
        </m:r>
        <m:r>
          <w:ins w:id="1188" w:author="Author">
            <m:rPr>
              <m:sty m:val="p"/>
            </m:rPr>
            <w:rPr>
              <w:rFonts w:ascii="Cambria Math" w:hAnsi="Cambria Math"/>
            </w:rPr>
            <m:t>90</m:t>
          </w:ins>
        </m:r>
        <m:r>
          <m:rPr>
            <m:sty m:val="p"/>
          </m:rPr>
          <w:rPr>
            <w:rFonts w:ascii="Cambria Math" w:hAnsi="Cambria Math"/>
          </w:rPr>
          <m:t xml:space="preserve">% x </m:t>
        </m:r>
        <m:r>
          <w:del w:id="1189" w:author="Author">
            <m:rPr>
              <m:sty m:val="p"/>
            </m:rPr>
            <w:rPr>
              <w:rFonts w:ascii="Cambria Math" w:hAnsi="Cambria Math"/>
            </w:rPr>
            <m:t>Average (</m:t>
          </w:del>
        </m:r>
        <m:sSub>
          <m:sSubPr>
            <m:ctrlPr>
              <w:del w:id="1190" w:author="Author">
                <w:rPr>
                  <w:rFonts w:ascii="Cambria Math" w:hAnsi="Cambria Math"/>
                </w:rPr>
              </w:del>
            </m:ctrlPr>
          </m:sSubPr>
          <m:e>
            <m:r>
              <w:del w:id="1191" w:author="Author">
                <m:rPr>
                  <m:sty m:val="p"/>
                </m:rPr>
                <w:rPr>
                  <w:rFonts w:ascii="Cambria Math" w:hAnsi="Cambria Math"/>
                </w:rPr>
                <m:t>Total Bid Qty</m:t>
              </w:del>
            </m:r>
          </m:e>
          <m:sub>
            <m:r>
              <w:del w:id="1192" w:author="Author">
                <m:rPr>
                  <m:sty m:val="p"/>
                </m:rPr>
                <w:rPr>
                  <w:rFonts w:ascii="Cambria Math" w:hAnsi="Cambria Math"/>
                </w:rPr>
                <m:t>i</m:t>
              </w:del>
            </m:r>
          </m:sub>
        </m:sSub>
        <m:r>
          <w:del w:id="1193" w:author="Author">
            <m:rPr>
              <m:sty m:val="p"/>
            </m:rPr>
            <w:rPr>
              <w:rFonts w:ascii="Cambria Math" w:hAnsi="Cambria Math"/>
            </w:rPr>
            <m:t xml:space="preserve">- </m:t>
          </w:del>
        </m:r>
        <m:sSub>
          <m:sSubPr>
            <m:ctrlPr>
              <w:del w:id="1194" w:author="Author">
                <w:rPr>
                  <w:rFonts w:ascii="Cambria Math" w:hAnsi="Cambria Math"/>
                </w:rPr>
              </w:del>
            </m:ctrlPr>
          </m:sSubPr>
          <m:e>
            <m:r>
              <w:del w:id="1195" w:author="Author">
                <m:rPr>
                  <m:sty m:val="p"/>
                </m:rPr>
                <w:rPr>
                  <w:rFonts w:ascii="Cambria Math" w:hAnsi="Cambria Math"/>
                </w:rPr>
                <m:t>Schedule</m:t>
              </w:del>
            </m:r>
          </m:e>
          <m:sub>
            <m:r>
              <w:del w:id="1196" w:author="Author">
                <m:rPr>
                  <m:sty m:val="p"/>
                </m:rPr>
                <w:rPr>
                  <w:rFonts w:ascii="Cambria Math" w:hAnsi="Cambria Math"/>
                </w:rPr>
                <m:t>i</m:t>
              </w:del>
            </m:r>
          </m:sub>
        </m:sSub>
      </m:oMath>
      <w:del w:id="1197" w:author="Author">
        <w:r w:rsidRPr="00A71E1E">
          <w:rPr>
            <w:rFonts w:eastAsiaTheme="minorEastAsia"/>
          </w:rPr>
          <w:delText>)</w:delText>
        </w:r>
        <w:r w:rsidRPr="00A71E1E">
          <w:delText xml:space="preserve"> </w:delText>
        </w:r>
      </w:del>
    </w:p>
    <w:p w14:paraId="2BDC1962" w14:textId="37129687" w:rsidR="00CD1FDE" w:rsidRPr="00A71E1E" w:rsidRDefault="00CD1FDE" w:rsidP="00CD1FDE">
      <w:del w:id="1198" w:author="Author">
        <w:r w:rsidRPr="00A71E1E">
          <w:delText>Where</w:delText>
        </w:r>
      </w:del>
      <m:oMath>
        <m:r>
          <w:ins w:id="1199" w:author="Author">
            <w:rPr>
              <w:rFonts w:ascii="Cambria Math" w:hAnsi="Cambria Math"/>
            </w:rPr>
            <m:t>cleared ICAP</m:t>
          </w:ins>
        </m:r>
      </m:oMath>
      <w:ins w:id="1200" w:author="Author">
        <w:r w:rsidRPr="00A71E1E">
          <w:t>Where</w:t>
        </w:r>
      </w:ins>
      <w:r w:rsidRPr="00A71E1E">
        <w:t>:</w:t>
      </w:r>
    </w:p>
    <w:p w14:paraId="35C6856B" w14:textId="77777777" w:rsidR="00CD1FDE" w:rsidRPr="00A71E1E" w:rsidRDefault="00CD1FDE" w:rsidP="00CD1FDE">
      <w:pPr>
        <w:pStyle w:val="ListParagraph"/>
        <w:numPr>
          <w:ilvl w:val="0"/>
          <w:numId w:val="114"/>
        </w:numPr>
        <w:spacing w:after="200" w:line="276" w:lineRule="auto"/>
      </w:pPr>
      <w:r w:rsidRPr="00A71E1E">
        <w:t>“i” is an interval within the activation event.</w:t>
      </w:r>
    </w:p>
    <w:p w14:paraId="1BF928EC" w14:textId="77777777" w:rsidR="00CD1FDE" w:rsidRPr="00A71E1E" w:rsidRDefault="00CD1FDE" w:rsidP="00CD1FDE">
      <w:pPr>
        <w:pStyle w:val="ListParagraph"/>
        <w:numPr>
          <w:ilvl w:val="0"/>
          <w:numId w:val="114"/>
        </w:numPr>
        <w:spacing w:after="200" w:line="276" w:lineRule="auto"/>
      </w:pPr>
      <w:r w:rsidRPr="00A71E1E">
        <w:t>“</w:t>
      </w:r>
      <w:r>
        <w:t xml:space="preserve">C&amp;I HDR </w:t>
      </w:r>
      <w:r w:rsidRPr="00A71E1E">
        <w:t>Baseline” is the calculated C&amp;I HDR baseline for the interval (see section 1.6.26.3.1).</w:t>
      </w:r>
    </w:p>
    <w:p w14:paraId="40A3B16A" w14:textId="77777777" w:rsidR="00CD1FDE" w:rsidRPr="00A71E1E" w:rsidRDefault="00CD1FDE" w:rsidP="00CD1FDE">
      <w:pPr>
        <w:pStyle w:val="ListParagraph"/>
        <w:numPr>
          <w:ilvl w:val="0"/>
          <w:numId w:val="114"/>
        </w:numPr>
        <w:spacing w:after="200" w:line="276" w:lineRule="auto"/>
      </w:pPr>
      <w:r w:rsidRPr="00A71E1E">
        <w:t>“Actual Consumption” is the measurement data for the interval.</w:t>
      </w:r>
    </w:p>
    <w:p w14:paraId="62D9F484" w14:textId="77777777" w:rsidR="00CD1FDE" w:rsidRPr="00A71E1E" w:rsidRDefault="00CD1FDE" w:rsidP="00CD1FDE">
      <w:pPr>
        <w:pStyle w:val="ListParagraph"/>
        <w:numPr>
          <w:ilvl w:val="0"/>
          <w:numId w:val="114"/>
        </w:numPr>
        <w:spacing w:after="200" w:line="276" w:lineRule="auto"/>
      </w:pPr>
      <w:r w:rsidRPr="00A71E1E">
        <w:t xml:space="preserve">“Total Bid Qty” is the maximum quantity of the </w:t>
      </w:r>
      <w:r w:rsidRPr="00A71E1E">
        <w:rPr>
          <w:i/>
        </w:rPr>
        <w:t>demand response</w:t>
      </w:r>
      <w:r w:rsidRPr="00A71E1E">
        <w:t xml:space="preserve"> </w:t>
      </w:r>
      <w:r w:rsidRPr="00A71E1E">
        <w:rPr>
          <w:i/>
        </w:rPr>
        <w:t>energy</w:t>
      </w:r>
      <w:r w:rsidRPr="00A71E1E">
        <w:t xml:space="preserve"> </w:t>
      </w:r>
      <w:r w:rsidRPr="00A71E1E">
        <w:rPr>
          <w:i/>
        </w:rPr>
        <w:t>bid</w:t>
      </w:r>
      <w:r w:rsidRPr="00A71E1E">
        <w:t xml:space="preserve"> converted to an interval equivalent.</w:t>
      </w:r>
    </w:p>
    <w:p w14:paraId="5E8650F4" w14:textId="77777777" w:rsidR="00CD1FDE" w:rsidRPr="00A71E1E" w:rsidRDefault="00CD1FDE" w:rsidP="00CD1FDE">
      <w:pPr>
        <w:pStyle w:val="ListParagraph"/>
        <w:numPr>
          <w:ilvl w:val="0"/>
          <w:numId w:val="114"/>
        </w:numPr>
        <w:spacing w:after="200" w:line="276" w:lineRule="auto"/>
      </w:pPr>
      <w:r w:rsidRPr="00A71E1E">
        <w:t>“Schedule” is the real-time constrained schedule quantity amount for the interval.</w:t>
      </w:r>
    </w:p>
    <w:p w14:paraId="61DC9B26" w14:textId="77777777" w:rsidR="00CD1FDE" w:rsidRPr="00A71E1E" w:rsidRDefault="00CD1FDE" w:rsidP="00CD1FDE">
      <w:r w:rsidRPr="00A71E1E">
        <w:t xml:space="preserve">For greater clarity, if measurement data for the interval required for “Actual Consumption” is missing (i.e. measurement data was not submitted), </w:t>
      </w:r>
      <w:r>
        <w:t xml:space="preserve">C&amp;I HDR </w:t>
      </w:r>
      <w:r w:rsidRPr="00A71E1E">
        <w:t>Baseline</w:t>
      </w:r>
      <w:r w:rsidRPr="00A71E1E">
        <w:rPr>
          <w:vertAlign w:val="subscript"/>
        </w:rPr>
        <w:t>i</w:t>
      </w:r>
      <w:r w:rsidRPr="00A71E1E">
        <w:t xml:space="preserve"> - Actual Consumption</w:t>
      </w:r>
      <w:r w:rsidRPr="00A71E1E">
        <w:rPr>
          <w:vertAlign w:val="subscript"/>
        </w:rPr>
        <w:t>i</w:t>
      </w:r>
      <w:r w:rsidRPr="00A71E1E">
        <w:t>, in the above formula is 0.</w:t>
      </w:r>
    </w:p>
    <w:p w14:paraId="6738D9F8" w14:textId="5E89395F" w:rsidR="00CD1FDE" w:rsidRPr="00A71E1E" w:rsidRDefault="00CD1FDE" w:rsidP="00CD1FDE">
      <w:pPr>
        <w:spacing w:before="240"/>
        <w:rPr>
          <w:b/>
          <w:u w:val="single"/>
        </w:rPr>
      </w:pPr>
      <w:r w:rsidRPr="00A71E1E">
        <w:rPr>
          <w:b/>
          <w:u w:val="single"/>
        </w:rPr>
        <w:t xml:space="preserve">Capacity Charge Assessment </w:t>
      </w:r>
      <w:r>
        <w:rPr>
          <w:b/>
          <w:u w:val="single"/>
        </w:rPr>
        <w:t>for</w:t>
      </w:r>
      <w:r w:rsidRPr="00A71E1E">
        <w:rPr>
          <w:b/>
          <w:u w:val="single"/>
        </w:rPr>
        <w:t xml:space="preserve"> Residential HDRs:</w:t>
      </w:r>
    </w:p>
    <w:p w14:paraId="0B0EDEC8" w14:textId="5F257D4D" w:rsidR="00CD1FDE" w:rsidRPr="00A71E1E" w:rsidRDefault="00CD1FDE" w:rsidP="00CD1FDE">
      <w:r w:rsidRPr="00A71E1E">
        <w:t>A residential HDR resource will be deemed to have failed to provide capacity if the following condition is true for the</w:t>
      </w:r>
      <w:r w:rsidR="00836F61">
        <w:t xml:space="preserve"> </w:t>
      </w:r>
      <w:ins w:id="1201" w:author="Author">
        <w:r w:rsidR="0068495A" w:rsidRPr="0068495A">
          <w:rPr>
            <w:i/>
          </w:rPr>
          <w:t xml:space="preserve">capacity auction </w:t>
        </w:r>
        <w:r w:rsidR="00836F61" w:rsidRPr="0068495A">
          <w:rPr>
            <w:i/>
          </w:rPr>
          <w:t>capacity</w:t>
        </w:r>
        <w:r w:rsidRPr="0068495A">
          <w:rPr>
            <w:i/>
          </w:rPr>
          <w:t xml:space="preserve"> </w:t>
        </w:r>
      </w:ins>
      <w:r w:rsidRPr="0068495A">
        <w:rPr>
          <w:i/>
        </w:rPr>
        <w:t>test</w:t>
      </w:r>
      <w:r>
        <w:t xml:space="preserve"> </w:t>
      </w:r>
      <w:r w:rsidRPr="00A71E1E">
        <w:t>activation</w:t>
      </w:r>
      <w:del w:id="1202" w:author="Author">
        <w:r w:rsidRPr="00A71E1E">
          <w:delText xml:space="preserve"> event</w:delText>
        </w:r>
      </w:del>
      <w:r w:rsidRPr="00A71E1E">
        <w:t>:</w:t>
      </w:r>
    </w:p>
    <w:p w14:paraId="54855068" w14:textId="3C44DF05" w:rsidR="00CD1FDE" w:rsidRPr="00A71E1E" w:rsidRDefault="00CD1FDE" w:rsidP="00CD1FDE">
      <w:pPr>
        <w:rPr>
          <w:rFonts w:eastAsiaTheme="minorEastAsia"/>
        </w:rPr>
      </w:pPr>
      <m:oMath>
        <m:r>
          <m:rPr>
            <m:sty m:val="p"/>
          </m:rPr>
          <w:rPr>
            <w:rFonts w:ascii="Cambria Math" w:hAnsi="Cambria Math"/>
          </w:rPr>
          <m:t>Average (</m:t>
        </m:r>
        <m:sSub>
          <m:sSubPr>
            <m:ctrlPr>
              <w:rPr>
                <w:rFonts w:ascii="Cambria Math" w:hAnsi="Cambria Math"/>
              </w:rPr>
            </m:ctrlPr>
          </m:sSubPr>
          <m:e>
            <m:r>
              <m:rPr>
                <m:sty m:val="p"/>
              </m:rPr>
              <w:rPr>
                <w:rFonts w:ascii="Cambria Math" w:hAnsi="Cambria Math"/>
              </w:rPr>
              <m:t>Adjusted Control Group Load</m:t>
            </m:r>
          </m:e>
          <m:sub>
            <m:r>
              <m:rPr>
                <m:sty m:val="p"/>
              </m:rPr>
              <w:rPr>
                <w:rFonts w:ascii="Cambria Math" w:hAnsi="Cambria Math"/>
              </w:rPr>
              <m:t>h</m:t>
            </m:r>
          </m:sub>
        </m:sSub>
        <m:r>
          <m:rPr>
            <m:sty m:val="p"/>
          </m:rPr>
          <w:rPr>
            <w:rFonts w:ascii="Cambria Math" w:hAnsi="Cambria Math"/>
          </w:rPr>
          <m:t xml:space="preserve">- </m:t>
        </m:r>
        <m:sSub>
          <m:sSubPr>
            <m:ctrlPr>
              <w:rPr>
                <w:rFonts w:ascii="Cambria Math" w:hAnsi="Cambria Math"/>
              </w:rPr>
            </m:ctrlPr>
          </m:sSubPr>
          <m:e>
            <m:r>
              <m:rPr>
                <m:sty m:val="p"/>
              </m:rPr>
              <w:rPr>
                <w:rFonts w:ascii="Cambria Math" w:hAnsi="Cambria Math"/>
              </w:rPr>
              <m:t>Treatment Group Load</m:t>
            </m:r>
          </m:e>
          <m:sub>
            <m:r>
              <m:rPr>
                <m:sty m:val="p"/>
              </m:rPr>
              <w:rPr>
                <w:rFonts w:ascii="Cambria Math" w:hAnsi="Cambria Math"/>
              </w:rPr>
              <m:t>h</m:t>
            </m:r>
          </m:sub>
        </m:sSub>
      </m:oMath>
      <w:r w:rsidRPr="00A71E1E">
        <w:rPr>
          <w:rFonts w:eastAsiaTheme="minorEastAsia"/>
        </w:rPr>
        <w:t>)</w:t>
      </w:r>
      <w:r w:rsidRPr="00A71E1E">
        <w:t xml:space="preserve"> x </w:t>
      </w:r>
      <m:oMath>
        <m:r>
          <m:rPr>
            <m:sty m:val="p"/>
          </m:rPr>
          <w:rPr>
            <w:rFonts w:ascii="Cambria Math" w:hAnsi="Cambria Math"/>
          </w:rPr>
          <m:t>Number of Contributors in Treatment Group</m:t>
        </m:r>
      </m:oMath>
      <w:r w:rsidRPr="00A71E1E">
        <w:rPr>
          <w:vertAlign w:val="subscript"/>
        </w:rPr>
        <w:t>m</w:t>
      </w:r>
      <w:r w:rsidRPr="00A71E1E">
        <w:t xml:space="preserve"> &lt; </w:t>
      </w:r>
      <m:oMath>
        <m:r>
          <w:del w:id="1203" w:author="Author">
            <m:rPr>
              <m:sty m:val="p"/>
            </m:rPr>
            <w:rPr>
              <w:rFonts w:ascii="Cambria Math" w:hAnsi="Cambria Math"/>
            </w:rPr>
            <m:t>80% x Average (</m:t>
          </w:del>
        </m:r>
        <m:sSub>
          <m:sSubPr>
            <m:ctrlPr>
              <w:del w:id="1204" w:author="Author">
                <w:rPr>
                  <w:rFonts w:ascii="Cambria Math" w:hAnsi="Cambria Math"/>
                </w:rPr>
              </w:del>
            </m:ctrlPr>
          </m:sSubPr>
          <m:e>
            <m:r>
              <w:del w:id="1205" w:author="Author">
                <w:rPr>
                  <w:rFonts w:ascii="Cambria Math" w:hAnsi="Cambria Math"/>
                </w:rPr>
                <m:t>Total Bid Qty</m:t>
              </w:del>
            </m:r>
          </m:e>
          <m:sub>
            <m:r>
              <w:del w:id="1206" w:author="Author">
                <w:rPr>
                  <w:rFonts w:ascii="Cambria Math" w:hAnsi="Cambria Math"/>
                </w:rPr>
                <m:t>h</m:t>
              </w:del>
            </m:r>
          </m:sub>
        </m:sSub>
        <m:r>
          <w:del w:id="1207" w:author="Author">
            <w:rPr>
              <w:rFonts w:ascii="Cambria Math" w:hAnsi="Cambria Math"/>
            </w:rPr>
            <m:t>-</m:t>
          </w:del>
        </m:r>
        <m:sSub>
          <m:sSubPr>
            <m:ctrlPr>
              <w:del w:id="1208" w:author="Author">
                <w:rPr>
                  <w:rFonts w:ascii="Cambria Math" w:hAnsi="Cambria Math"/>
                  <w:i/>
                </w:rPr>
              </w:del>
            </m:ctrlPr>
          </m:sSubPr>
          <m:e>
            <m:r>
              <w:del w:id="1209" w:author="Author">
                <w:rPr>
                  <w:rFonts w:ascii="Cambria Math" w:hAnsi="Cambria Math"/>
                </w:rPr>
                <m:t>Schedule</m:t>
              </w:del>
            </m:r>
          </m:e>
          <m:sub>
            <m:r>
              <w:del w:id="1210" w:author="Author">
                <w:rPr>
                  <w:rFonts w:ascii="Cambria Math" w:hAnsi="Cambria Math"/>
                </w:rPr>
                <m:t>h</m:t>
              </w:del>
            </m:r>
          </m:sub>
        </m:sSub>
        <m:r>
          <w:del w:id="1211" w:author="Author">
            <w:rPr>
              <w:rFonts w:ascii="Cambria Math" w:hAnsi="Cambria Math"/>
            </w:rPr>
            <m:t>)</m:t>
          </w:del>
        </m:r>
        <m:r>
          <w:ins w:id="1212" w:author="Author">
            <m:rPr>
              <m:sty m:val="p"/>
            </m:rPr>
            <w:rPr>
              <w:rFonts w:ascii="Cambria Math" w:hAnsi="Cambria Math"/>
            </w:rPr>
            <m:t>90% x cleared ICAP</m:t>
          </w:ins>
        </m:r>
        <m:r>
          <w:ins w:id="1213" w:author="Author">
            <w:rPr>
              <w:rFonts w:ascii="Cambria Math" w:hAnsi="Cambria Math"/>
            </w:rPr>
            <m:t>)</m:t>
          </w:ins>
        </m:r>
      </m:oMath>
    </w:p>
    <w:p w14:paraId="196A9700" w14:textId="77777777" w:rsidR="00CD1FDE" w:rsidRPr="00A71E1E" w:rsidRDefault="00CD1FDE" w:rsidP="00CD1FDE">
      <w:pPr>
        <w:rPr>
          <w:rFonts w:eastAsiaTheme="minorEastAsia"/>
        </w:rPr>
      </w:pPr>
      <w:r w:rsidRPr="00A71E1E">
        <w:rPr>
          <w:rFonts w:eastAsiaTheme="minorEastAsia"/>
        </w:rPr>
        <w:t>Where:</w:t>
      </w:r>
    </w:p>
    <w:p w14:paraId="292FA016" w14:textId="77777777" w:rsidR="00CD1FDE" w:rsidRPr="00A71E1E" w:rsidRDefault="00CD1FDE" w:rsidP="00CD1FDE">
      <w:pPr>
        <w:pStyle w:val="ListParagraph"/>
        <w:numPr>
          <w:ilvl w:val="0"/>
          <w:numId w:val="114"/>
        </w:numPr>
        <w:spacing w:after="200" w:line="276" w:lineRule="auto"/>
      </w:pPr>
      <w:r w:rsidRPr="00A71E1E">
        <w:t xml:space="preserve">“h” is an hour of the </w:t>
      </w:r>
      <w:r>
        <w:t xml:space="preserve">test </w:t>
      </w:r>
      <w:r w:rsidRPr="00A71E1E">
        <w:t>activation event.</w:t>
      </w:r>
    </w:p>
    <w:p w14:paraId="231D319A" w14:textId="77777777" w:rsidR="00CD1FDE" w:rsidRPr="00A71E1E" w:rsidRDefault="00CD1FDE" w:rsidP="00CD1FDE">
      <w:pPr>
        <w:pStyle w:val="ListParagraph"/>
        <w:numPr>
          <w:ilvl w:val="0"/>
          <w:numId w:val="114"/>
        </w:numPr>
        <w:spacing w:after="200" w:line="276" w:lineRule="auto"/>
      </w:pPr>
      <w:r w:rsidRPr="00A71E1E">
        <w:t xml:space="preserve">“m” is the month in which the </w:t>
      </w:r>
      <w:r>
        <w:t xml:space="preserve">test </w:t>
      </w:r>
      <w:r w:rsidRPr="00A71E1E">
        <w:t>activation event takes place.</w:t>
      </w:r>
    </w:p>
    <w:p w14:paraId="3204B0F8" w14:textId="77777777" w:rsidR="00CD1FDE" w:rsidRPr="00A71E1E" w:rsidRDefault="00CD1FDE" w:rsidP="00CD1FDE">
      <w:pPr>
        <w:pStyle w:val="ListParagraph"/>
        <w:numPr>
          <w:ilvl w:val="0"/>
          <w:numId w:val="114"/>
        </w:numPr>
        <w:spacing w:after="200" w:line="276" w:lineRule="auto"/>
      </w:pPr>
      <w:r w:rsidRPr="00A71E1E">
        <w:t>“Adjusted Control Group Load” is the calculated residential baseline (see section 1.6.26.3.1).</w:t>
      </w:r>
    </w:p>
    <w:p w14:paraId="7905F3A1" w14:textId="77777777" w:rsidR="00CD1FDE" w:rsidRPr="00A71E1E" w:rsidRDefault="00CD1FDE" w:rsidP="00CD1FDE">
      <w:pPr>
        <w:pStyle w:val="ListParagraph"/>
        <w:numPr>
          <w:ilvl w:val="0"/>
          <w:numId w:val="114"/>
        </w:numPr>
        <w:spacing w:after="200" w:line="276" w:lineRule="auto"/>
      </w:pPr>
      <w:r w:rsidRPr="00A71E1E">
        <w:t>“Treatment Group Load” is the measurement data for the hour divided by the number of contributors in the treatment group for the month.</w:t>
      </w:r>
    </w:p>
    <w:p w14:paraId="74606A03" w14:textId="77777777" w:rsidR="00CD1FDE" w:rsidRPr="00A71E1E" w:rsidRDefault="00CD1FDE" w:rsidP="00CD1FDE">
      <w:pPr>
        <w:pStyle w:val="ListParagraph"/>
        <w:numPr>
          <w:ilvl w:val="0"/>
          <w:numId w:val="114"/>
        </w:numPr>
        <w:spacing w:after="200" w:line="276" w:lineRule="auto"/>
      </w:pPr>
      <w:r w:rsidRPr="00A71E1E">
        <w:t xml:space="preserve">“Total Bid Qty” is the maximum quantity of the </w:t>
      </w:r>
      <w:r w:rsidRPr="00A71E1E">
        <w:rPr>
          <w:i/>
        </w:rPr>
        <w:t>demand response</w:t>
      </w:r>
      <w:r w:rsidRPr="00A410AE">
        <w:rPr>
          <w:i/>
        </w:rPr>
        <w:t xml:space="preserve"> </w:t>
      </w:r>
      <w:r w:rsidRPr="00A71E1E">
        <w:rPr>
          <w:i/>
        </w:rPr>
        <w:t>energy</w:t>
      </w:r>
      <w:r w:rsidRPr="00A71E1E">
        <w:t xml:space="preserve"> </w:t>
      </w:r>
      <w:r w:rsidRPr="00A71E1E">
        <w:rPr>
          <w:i/>
        </w:rPr>
        <w:t>bid</w:t>
      </w:r>
      <w:r w:rsidRPr="00A71E1E">
        <w:t>.</w:t>
      </w:r>
    </w:p>
    <w:p w14:paraId="31CFDF1D" w14:textId="77777777" w:rsidR="00CD1FDE" w:rsidRPr="00A71E1E" w:rsidRDefault="00CD1FDE" w:rsidP="00CD1FDE">
      <w:pPr>
        <w:pStyle w:val="ListParagraph"/>
        <w:numPr>
          <w:ilvl w:val="0"/>
          <w:numId w:val="114"/>
        </w:numPr>
        <w:spacing w:after="200" w:line="276" w:lineRule="auto"/>
      </w:pPr>
      <w:r w:rsidRPr="00A71E1E">
        <w:t>“Schedule” is the real-time constrained schedule quantity amount.</w:t>
      </w:r>
    </w:p>
    <w:p w14:paraId="0EAF3647" w14:textId="269D17F7" w:rsidR="00CD1FDE" w:rsidRDefault="00CD1FDE" w:rsidP="00CD1FDE">
      <w:pPr>
        <w:rPr>
          <w:ins w:id="1214" w:author="Author"/>
        </w:rPr>
      </w:pPr>
      <w:r w:rsidRPr="00A71E1E">
        <w:t>For greater clarity, if measurement data for the hour required are missing (i.e. measurement data was not submitted</w:t>
      </w:r>
      <w:ins w:id="1215" w:author="Author">
        <w:r w:rsidR="007D292D">
          <w:t xml:space="preserve"> </w:t>
        </w:r>
        <w:r w:rsidR="007D292D" w:rsidRPr="00A71E1E">
          <w:t>or the resource failed a subsequent IESO audit</w:t>
        </w:r>
      </w:ins>
      <w:r w:rsidRPr="00A71E1E">
        <w:t xml:space="preserve">), or monthly residential contributor information was not submitted, </w:t>
      </w:r>
      <m:oMath>
        <m:sSub>
          <m:sSubPr>
            <m:ctrlPr>
              <w:rPr>
                <w:rFonts w:ascii="Cambria Math" w:hAnsi="Cambria Math"/>
              </w:rPr>
            </m:ctrlPr>
          </m:sSubPr>
          <m:e>
            <m:r>
              <m:rPr>
                <m:sty m:val="p"/>
              </m:rPr>
              <w:rPr>
                <w:rFonts w:ascii="Cambria Math" w:hAnsi="Cambria Math"/>
              </w:rPr>
              <m:t>Adjusted Control Group Load</m:t>
            </m:r>
          </m:e>
          <m:sub>
            <m:r>
              <m:rPr>
                <m:sty m:val="p"/>
              </m:rPr>
              <w:rPr>
                <w:rFonts w:ascii="Cambria Math" w:hAnsi="Cambria Math"/>
              </w:rPr>
              <m:t>h</m:t>
            </m:r>
          </m:sub>
        </m:sSub>
        <m:r>
          <m:rPr>
            <m:sty m:val="p"/>
          </m:rPr>
          <w:rPr>
            <w:rFonts w:ascii="Cambria Math" w:hAnsi="Cambria Math"/>
          </w:rPr>
          <m:t xml:space="preserve">- </m:t>
        </m:r>
        <m:sSub>
          <m:sSubPr>
            <m:ctrlPr>
              <w:rPr>
                <w:rFonts w:ascii="Cambria Math" w:hAnsi="Cambria Math"/>
              </w:rPr>
            </m:ctrlPr>
          </m:sSubPr>
          <m:e>
            <m:r>
              <m:rPr>
                <m:sty m:val="p"/>
              </m:rPr>
              <w:rPr>
                <w:rFonts w:ascii="Cambria Math" w:hAnsi="Cambria Math"/>
              </w:rPr>
              <m:t>Treatment Group Load</m:t>
            </m:r>
          </m:e>
          <m:sub>
            <m:r>
              <m:rPr>
                <m:sty m:val="p"/>
              </m:rPr>
              <w:rPr>
                <w:rFonts w:ascii="Cambria Math" w:hAnsi="Cambria Math"/>
              </w:rPr>
              <m:t>h</m:t>
            </m:r>
          </m:sub>
        </m:sSub>
      </m:oMath>
      <w:r w:rsidRPr="00A71E1E">
        <w:t>in the above formula is zero (0).</w:t>
      </w:r>
    </w:p>
    <w:p w14:paraId="73AD3738" w14:textId="23794225" w:rsidR="00A6337C" w:rsidRDefault="00A6337C" w:rsidP="00A6337C">
      <w:pPr>
        <w:pStyle w:val="Heading5"/>
        <w:rPr>
          <w:ins w:id="1216" w:author="Author"/>
          <w:b/>
        </w:rPr>
      </w:pPr>
      <w:ins w:id="1217" w:author="Author">
        <w:r w:rsidRPr="00A6337C">
          <w:rPr>
            <w:b/>
          </w:rPr>
          <w:t>1.6.26.3.6 Capacity Call Failure Charge</w:t>
        </w:r>
      </w:ins>
    </w:p>
    <w:p w14:paraId="7DEB5443" w14:textId="32202039" w:rsidR="0013641E" w:rsidRPr="0013641E" w:rsidRDefault="0013641E" w:rsidP="0013641E">
      <w:pPr>
        <w:pStyle w:val="BodyText"/>
        <w:rPr>
          <w:ins w:id="1218" w:author="Author"/>
        </w:rPr>
      </w:pPr>
      <w:ins w:id="1219" w:author="Author">
        <w:r>
          <w:t>(Market Rules: Section</w:t>
        </w:r>
        <w:r w:rsidR="004B1825">
          <w:t xml:space="preserve"> 4.7J.2.7</w:t>
        </w:r>
        <w:r>
          <w:t>)</w:t>
        </w:r>
      </w:ins>
    </w:p>
    <w:p w14:paraId="54532C48" w14:textId="533C5840" w:rsidR="00A6337C" w:rsidRDefault="00A6337C" w:rsidP="00A6337C">
      <w:pPr>
        <w:spacing w:before="120"/>
        <w:rPr>
          <w:ins w:id="1220" w:author="Author"/>
        </w:rPr>
      </w:pPr>
      <w:ins w:id="1221" w:author="Author">
        <w:r>
          <w:t xml:space="preserve">A capacity call failure charge will apply to </w:t>
        </w:r>
        <w:r>
          <w:rPr>
            <w:i/>
          </w:rPr>
          <w:t xml:space="preserve">generator-backed capacity import resources </w:t>
        </w:r>
        <w:r>
          <w:t>that</w:t>
        </w:r>
        <w:r>
          <w:rPr>
            <w:i/>
          </w:rPr>
          <w:t xml:space="preserve"> </w:t>
        </w:r>
        <w:r>
          <w:t xml:space="preserve">fail to </w:t>
        </w:r>
        <w:r w:rsidR="008B18B2">
          <w:t>deliver</w:t>
        </w:r>
        <w:r>
          <w:t xml:space="preserve"> the </w:t>
        </w:r>
        <w:r w:rsidR="008B18B2">
          <w:t xml:space="preserve">MWs </w:t>
        </w:r>
        <w:r>
          <w:t>called upon in response to a capacity call</w:t>
        </w:r>
        <w:r w:rsidR="008B18B2">
          <w:t xml:space="preserve"> </w:t>
        </w:r>
        <w:r w:rsidR="008B18B2" w:rsidRPr="004B1825">
          <w:t xml:space="preserve">in accordance with the process outlined in </w:t>
        </w:r>
        <w:r w:rsidR="004B1825">
          <w:t>“</w:t>
        </w:r>
        <w:r w:rsidR="004B1825" w:rsidRPr="004B1825">
          <w:t>Market Manual 4.3: Real-time Scheduling of the Ph</w:t>
        </w:r>
        <w:r w:rsidR="004B1825">
          <w:t>ysical Markets”</w:t>
        </w:r>
        <w:r>
          <w:t>.</w:t>
        </w:r>
        <w:r w:rsidRPr="00A6337C">
          <w:t xml:space="preserve"> </w:t>
        </w:r>
        <w:r>
          <w:t>T</w:t>
        </w:r>
        <w:r w:rsidRPr="00A02C93">
          <w:t xml:space="preserve">he charge applies if the scheduled intertie transaction is curtailed partially or in full during </w:t>
        </w:r>
        <w:r w:rsidRPr="00A02C93">
          <w:rPr>
            <w:i/>
          </w:rPr>
          <w:t>real-time</w:t>
        </w:r>
        <w:r w:rsidRPr="00A02C93">
          <w:t xml:space="preserve"> after being scheduled during a </w:t>
        </w:r>
        <w:r w:rsidRPr="00A02C93">
          <w:rPr>
            <w:i/>
          </w:rPr>
          <w:t>pre-dispatch</w:t>
        </w:r>
        <w:r w:rsidRPr="00A02C93">
          <w:t xml:space="preserve"> run</w:t>
        </w:r>
        <w:r>
          <w:t xml:space="preserve"> during the capacity call;</w:t>
        </w:r>
        <w:r w:rsidRPr="00A02C93">
          <w:t xml:space="preserve"> the </w:t>
        </w:r>
        <w:r>
          <w:rPr>
            <w:i/>
          </w:rPr>
          <w:t>CMP</w:t>
        </w:r>
        <w:r w:rsidRPr="00A02C93">
          <w:t xml:space="preserve"> will be exempt from the capacity </w:t>
        </w:r>
        <w:r>
          <w:t xml:space="preserve">call failure </w:t>
        </w:r>
        <w:r w:rsidRPr="00A02C93">
          <w:t xml:space="preserve">charge where the curtailment reason is one of the following: TLRi, TLRe, </w:t>
        </w:r>
        <w:r w:rsidR="00C3655F">
          <w:t xml:space="preserve">and </w:t>
        </w:r>
        <w:r w:rsidRPr="00A02C93">
          <w:t>ADQh</w:t>
        </w:r>
        <w:r w:rsidRPr="00A02C93">
          <w:rPr>
            <w:vertAlign w:val="superscript"/>
          </w:rPr>
          <w:footnoteReference w:id="37"/>
        </w:r>
        <w:r w:rsidRPr="00A02C93">
          <w:t xml:space="preserve">. </w:t>
        </w:r>
      </w:ins>
    </w:p>
    <w:p w14:paraId="41DC4AE2" w14:textId="4BFF1648" w:rsidR="00A6337C" w:rsidRDefault="00A6337C" w:rsidP="00A6337C">
      <w:pPr>
        <w:spacing w:before="120"/>
        <w:rPr>
          <w:ins w:id="1224" w:author="Author"/>
        </w:rPr>
      </w:pPr>
      <w:ins w:id="1225" w:author="Author">
        <w:r>
          <w:t xml:space="preserve">The capacity call failure charge will be equal to 2 times the availability payment for </w:t>
        </w:r>
        <w:r w:rsidR="00C3655F">
          <w:t>the</w:t>
        </w:r>
        <w:r>
          <w:t xml:space="preserve"> month</w:t>
        </w:r>
        <w:r w:rsidR="00C3655F">
          <w:t xml:space="preserve"> of the capacity call</w:t>
        </w:r>
        <w:r>
          <w:t>.</w:t>
        </w:r>
      </w:ins>
    </w:p>
    <w:p w14:paraId="0F0EB223" w14:textId="619BCECB" w:rsidR="001C16D1" w:rsidRPr="00A6337C" w:rsidRDefault="001C16D1" w:rsidP="00A6337C">
      <w:pPr>
        <w:spacing w:before="120"/>
        <w:rPr>
          <w:ins w:id="1226" w:author="Author"/>
        </w:rPr>
      </w:pPr>
      <w:ins w:id="1227" w:author="Author">
        <w:r w:rsidRPr="0016735D">
          <w:t xml:space="preserve">The </w:t>
        </w:r>
        <w:r w:rsidRPr="0016735D">
          <w:rPr>
            <w:i/>
            <w:iCs/>
          </w:rPr>
          <w:t xml:space="preserve">IESO </w:t>
        </w:r>
        <w:r w:rsidRPr="0016735D">
          <w:t xml:space="preserve">uses </w:t>
        </w:r>
        <w:r w:rsidRPr="0016735D">
          <w:rPr>
            <w:i/>
            <w:iCs/>
          </w:rPr>
          <w:t>charge type</w:t>
        </w:r>
        <w:r>
          <w:t xml:space="preserve"> 1323</w:t>
        </w:r>
        <w:r w:rsidRPr="0016735D">
          <w:t xml:space="preserve"> “</w:t>
        </w:r>
        <w:r w:rsidRPr="001C16D1">
          <w:t>Capacity Obligation – Capacity Call Failure Charge</w:t>
        </w:r>
        <w:r w:rsidRPr="0016735D">
          <w:t>” to settle this charge</w:t>
        </w:r>
        <w:r w:rsidRPr="001C16D1">
          <w:t>.</w:t>
        </w:r>
      </w:ins>
    </w:p>
    <w:p w14:paraId="60E73094" w14:textId="59876D85" w:rsidR="00BA313F" w:rsidRDefault="00A6337C" w:rsidP="00BA313F">
      <w:pPr>
        <w:pStyle w:val="Heading5"/>
        <w:rPr>
          <w:ins w:id="1228" w:author="Author"/>
          <w:b/>
        </w:rPr>
      </w:pPr>
      <w:ins w:id="1229" w:author="Author">
        <w:r>
          <w:rPr>
            <w:b/>
          </w:rPr>
          <w:t>1.6.26.3.7</w:t>
        </w:r>
        <w:r w:rsidR="00BA313F" w:rsidRPr="00BA313F">
          <w:rPr>
            <w:b/>
          </w:rPr>
          <w:t xml:space="preserve"> Capacity Deficiency Charge</w:t>
        </w:r>
      </w:ins>
    </w:p>
    <w:p w14:paraId="3B81661A" w14:textId="69ED7A79" w:rsidR="008B18B2" w:rsidRPr="008B18B2" w:rsidRDefault="008B18B2" w:rsidP="008B18B2">
      <w:pPr>
        <w:pStyle w:val="BodyText"/>
        <w:rPr>
          <w:ins w:id="1230" w:author="Author"/>
        </w:rPr>
      </w:pPr>
      <w:ins w:id="1231" w:author="Author">
        <w:r>
          <w:t>(Market Rules: Section</w:t>
        </w:r>
        <w:r w:rsidR="004B1825">
          <w:t xml:space="preserve"> 4.7J.2.8</w:t>
        </w:r>
        <w:r>
          <w:t>)</w:t>
        </w:r>
      </w:ins>
    </w:p>
    <w:p w14:paraId="7FE32E3A" w14:textId="0D605660" w:rsidR="00A6337C" w:rsidRDefault="00BA313F" w:rsidP="00061912">
      <w:pPr>
        <w:rPr>
          <w:ins w:id="1232" w:author="Author"/>
        </w:rPr>
      </w:pPr>
      <w:ins w:id="1233" w:author="Author">
        <w:r>
          <w:t xml:space="preserve">A capacity deficiency charge will apply to </w:t>
        </w:r>
        <w:r w:rsidR="00BB5CDC">
          <w:t xml:space="preserve">a </w:t>
        </w:r>
        <w:r>
          <w:rPr>
            <w:i/>
          </w:rPr>
          <w:t xml:space="preserve">generator-backed capacity import resource </w:t>
        </w:r>
        <w:r w:rsidR="00061912">
          <w:t xml:space="preserve">if the </w:t>
        </w:r>
        <w:r w:rsidR="00061912">
          <w:rPr>
            <w:i/>
          </w:rPr>
          <w:t xml:space="preserve">IESO </w:t>
        </w:r>
        <w:r w:rsidR="00061912">
          <w:t xml:space="preserve">determines all or a portion of the </w:t>
        </w:r>
        <w:r w:rsidR="0013641E" w:rsidRPr="0013641E">
          <w:rPr>
            <w:i/>
          </w:rPr>
          <w:t xml:space="preserve">cleared </w:t>
        </w:r>
        <w:r w:rsidR="0075157F">
          <w:rPr>
            <w:i/>
          </w:rPr>
          <w:t>IC</w:t>
        </w:r>
        <w:r w:rsidR="0013641E" w:rsidRPr="0013641E">
          <w:rPr>
            <w:i/>
          </w:rPr>
          <w:t>AP</w:t>
        </w:r>
        <w:r w:rsidR="00061912">
          <w:t xml:space="preserve"> </w:t>
        </w:r>
        <w:r w:rsidR="0013641E">
          <w:t>is</w:t>
        </w:r>
        <w:r w:rsidR="00061912">
          <w:t xml:space="preserve"> contracted or otherwise provided to the </w:t>
        </w:r>
        <w:r w:rsidR="00061912">
          <w:rPr>
            <w:i/>
          </w:rPr>
          <w:t xml:space="preserve">IESO, </w:t>
        </w:r>
        <w:r w:rsidR="00061912">
          <w:t xml:space="preserve">the OEFC, or another </w:t>
        </w:r>
        <w:r w:rsidR="00061912">
          <w:rPr>
            <w:i/>
          </w:rPr>
          <w:t xml:space="preserve">control area operator </w:t>
        </w:r>
        <w:r w:rsidR="00061912">
          <w:t xml:space="preserve">during the </w:t>
        </w:r>
        <w:r w:rsidR="00061912" w:rsidRPr="00061912">
          <w:rPr>
            <w:i/>
          </w:rPr>
          <w:t>obligation period</w:t>
        </w:r>
        <w:r w:rsidR="00061912">
          <w:t xml:space="preserve">. </w:t>
        </w:r>
      </w:ins>
    </w:p>
    <w:p w14:paraId="481A7054" w14:textId="1406AB84" w:rsidR="00AD0F46" w:rsidRDefault="00061912" w:rsidP="00061912">
      <w:pPr>
        <w:rPr>
          <w:ins w:id="1234" w:author="Author"/>
        </w:rPr>
      </w:pPr>
      <w:ins w:id="1235" w:author="Author">
        <w:r>
          <w:t xml:space="preserve">The capacity deficiency charge will be equal to 1.5 times the availability payment for the </w:t>
        </w:r>
        <w:r w:rsidR="001D2A55">
          <w:t xml:space="preserve">entire </w:t>
        </w:r>
        <w:r>
          <w:rPr>
            <w:i/>
          </w:rPr>
          <w:t xml:space="preserve">obligation period </w:t>
        </w:r>
        <w:r w:rsidR="00AD0F46">
          <w:t>function of</w:t>
        </w:r>
        <w:r>
          <w:t xml:space="preserve"> the MWs that were overcommitted.</w:t>
        </w:r>
      </w:ins>
    </w:p>
    <w:p w14:paraId="1E509B28" w14:textId="1615FD66" w:rsidR="00AD0F46" w:rsidRPr="00A6337C" w:rsidRDefault="00AD0F46" w:rsidP="00AD0F46">
      <w:pPr>
        <w:spacing w:before="120"/>
        <w:rPr>
          <w:ins w:id="1236" w:author="Author"/>
        </w:rPr>
      </w:pPr>
      <w:ins w:id="1237" w:author="Author">
        <w:r w:rsidRPr="0016735D">
          <w:t xml:space="preserve">The </w:t>
        </w:r>
        <w:r w:rsidRPr="0016735D">
          <w:rPr>
            <w:i/>
            <w:iCs/>
          </w:rPr>
          <w:t xml:space="preserve">IESO </w:t>
        </w:r>
        <w:r w:rsidRPr="0016735D">
          <w:t xml:space="preserve">uses </w:t>
        </w:r>
        <w:r w:rsidRPr="0016735D">
          <w:rPr>
            <w:i/>
            <w:iCs/>
          </w:rPr>
          <w:t>charge type</w:t>
        </w:r>
        <w:r>
          <w:t xml:space="preserve"> 1324</w:t>
        </w:r>
        <w:r w:rsidRPr="0016735D">
          <w:t xml:space="preserve"> “</w:t>
        </w:r>
        <w:r w:rsidRPr="00AD0F46">
          <w:t>Capacity Obligation – Capacity Deficiency Charge</w:t>
        </w:r>
        <w:r w:rsidRPr="0016735D">
          <w:t>” to settle this charge</w:t>
        </w:r>
        <w:r w:rsidRPr="001C16D1">
          <w:t>.</w:t>
        </w:r>
      </w:ins>
    </w:p>
    <w:p w14:paraId="784DED59" w14:textId="5EEE94E2" w:rsidR="00BA313F" w:rsidRPr="00BA313F" w:rsidRDefault="00BA313F" w:rsidP="00061912"/>
    <w:p w14:paraId="270008FC" w14:textId="77777777" w:rsidR="00CD1FDE" w:rsidRPr="00A71E1E" w:rsidRDefault="00CD1FDE" w:rsidP="00133618">
      <w:pPr>
        <w:pStyle w:val="Heading4"/>
      </w:pPr>
      <w:r w:rsidRPr="00A71E1E">
        <w:t>Non-Performance Charge Exceptions</w:t>
      </w:r>
    </w:p>
    <w:p w14:paraId="47657A5F" w14:textId="66668297" w:rsidR="00CD1FDE" w:rsidRPr="00A71E1E" w:rsidRDefault="00CD1FDE" w:rsidP="00CD1FDE">
      <w:pPr>
        <w:spacing w:before="120"/>
      </w:pPr>
      <w:r w:rsidRPr="004E25A2">
        <w:rPr>
          <w:i/>
        </w:rPr>
        <w:t xml:space="preserve">CMPs </w:t>
      </w:r>
      <w:r w:rsidRPr="00A71E1E">
        <w:t xml:space="preserve">with </w:t>
      </w:r>
      <w:r w:rsidRPr="00A71E1E">
        <w:rPr>
          <w:i/>
        </w:rPr>
        <w:t>capacity obligations</w:t>
      </w:r>
      <w:r w:rsidRPr="00A71E1E">
        <w:t xml:space="preserve"> are subject to non-performance charges if the </w:t>
      </w:r>
      <w:r w:rsidRPr="004E25A2">
        <w:rPr>
          <w:i/>
        </w:rPr>
        <w:t>CMP</w:t>
      </w:r>
      <w:r w:rsidRPr="00A71E1E">
        <w:t xml:space="preserve"> does not satisfy the requirements of its </w:t>
      </w:r>
      <w:r w:rsidRPr="00A71E1E">
        <w:rPr>
          <w:i/>
        </w:rPr>
        <w:t>capacity obligation</w:t>
      </w:r>
      <w:r w:rsidRPr="00A71E1E">
        <w:t xml:space="preserve">.  However, in limited circumstances, a </w:t>
      </w:r>
      <w:r w:rsidRPr="004E25A2">
        <w:rPr>
          <w:i/>
        </w:rPr>
        <w:t>CMP</w:t>
      </w:r>
      <w:r w:rsidRPr="00A71E1E">
        <w:t xml:space="preserve"> may request a reduction or reversal of a previously levied availability charge, dispatch charge, and capacity charge.</w:t>
      </w:r>
    </w:p>
    <w:p w14:paraId="1B146BA6" w14:textId="77777777" w:rsidR="00CD1FDE" w:rsidRPr="00A71E1E" w:rsidRDefault="00CD1FDE" w:rsidP="00CD1FDE">
      <w:pPr>
        <w:pStyle w:val="Heading5"/>
        <w:rPr>
          <w:b/>
        </w:rPr>
      </w:pPr>
      <w:r w:rsidRPr="00A71E1E">
        <w:rPr>
          <w:b/>
        </w:rPr>
        <w:t>1.6.26.4.1</w:t>
      </w:r>
      <w:r w:rsidRPr="00A71E1E">
        <w:rPr>
          <w:b/>
        </w:rPr>
        <w:tab/>
        <w:t>Adjustment Request Requirements</w:t>
      </w:r>
    </w:p>
    <w:p w14:paraId="797290AC" w14:textId="77777777" w:rsidR="00CD1FDE" w:rsidRPr="00A71E1E" w:rsidRDefault="00CD1FDE" w:rsidP="00CD1FDE">
      <w:pPr>
        <w:spacing w:before="120"/>
      </w:pPr>
      <w:r w:rsidRPr="00A71E1E">
        <w:t xml:space="preserve">In order to request an adjustment to a non-performance charge, all requests must be completed using the </w:t>
      </w:r>
      <w:r w:rsidRPr="00A71E1E">
        <w:rPr>
          <w:i/>
        </w:rPr>
        <w:t>notice of disagreement</w:t>
      </w:r>
      <w:r w:rsidRPr="00A71E1E">
        <w:t xml:space="preserve"> (NOD) process.  Supporting documentation and evidence must be provided along with your NOD submission before the NOD deadline. For greater clarity, supporting documentation to support a claim must contain evidence of the allowable exception.  NOD submissions made without any supporting documentations or requests made after the NOD deadline shall be rejected. </w:t>
      </w:r>
    </w:p>
    <w:p w14:paraId="3B2520BA" w14:textId="77777777" w:rsidR="00CD1FDE" w:rsidRPr="00A71E1E" w:rsidRDefault="00CD1FDE" w:rsidP="00CD1FDE">
      <w:pPr>
        <w:pStyle w:val="Heading5"/>
        <w:rPr>
          <w:b/>
        </w:rPr>
      </w:pPr>
      <w:r w:rsidRPr="00A71E1E">
        <w:rPr>
          <w:b/>
        </w:rPr>
        <w:t>1.6.26.4.2</w:t>
      </w:r>
      <w:r w:rsidRPr="00A71E1E">
        <w:rPr>
          <w:b/>
        </w:rPr>
        <w:tab/>
        <w:t>Allowable Scenarios and Adjustments</w:t>
      </w:r>
    </w:p>
    <w:p w14:paraId="1A655E5B" w14:textId="77777777" w:rsidR="00CD1FDE" w:rsidRPr="00A71E1E" w:rsidRDefault="00CD1FDE" w:rsidP="00CD1FDE">
      <w:pPr>
        <w:spacing w:before="120"/>
      </w:pPr>
      <w:r w:rsidRPr="00A71E1E">
        <w:t xml:space="preserve">Non-performance charge exceptions may, upon </w:t>
      </w:r>
      <w:r w:rsidRPr="00A71E1E">
        <w:rPr>
          <w:i/>
        </w:rPr>
        <w:t>IESO</w:t>
      </w:r>
      <w:r w:rsidRPr="00A71E1E">
        <w:t xml:space="preserve"> review, apply to the following </w:t>
      </w:r>
      <w:r>
        <w:t xml:space="preserve">sample </w:t>
      </w:r>
      <w:r w:rsidRPr="00A71E1E">
        <w:t>scenarios:</w:t>
      </w:r>
    </w:p>
    <w:p w14:paraId="3DE19A48" w14:textId="77777777" w:rsidR="00CD1FDE" w:rsidRPr="00A71E1E" w:rsidRDefault="00CD1FDE" w:rsidP="00CD1FDE">
      <w:pPr>
        <w:autoSpaceDE w:val="0"/>
        <w:autoSpaceDN w:val="0"/>
        <w:adjustRightInd w:val="0"/>
        <w:spacing w:after="0"/>
        <w:rPr>
          <w:color w:val="000000"/>
        </w:rPr>
      </w:pPr>
      <w:r w:rsidRPr="00A71E1E">
        <w:rPr>
          <w:b/>
          <w:bCs/>
          <w:color w:val="000000"/>
        </w:rPr>
        <w:t>Scenario 1</w:t>
      </w:r>
      <w:r w:rsidRPr="00A71E1E">
        <w:rPr>
          <w:color w:val="000000"/>
        </w:rPr>
        <w:t xml:space="preserve">: Inability of an otherwise available resource to submit </w:t>
      </w:r>
      <w:r w:rsidRPr="00A71E1E">
        <w:rPr>
          <w:i/>
          <w:color w:val="000000"/>
        </w:rPr>
        <w:t>demand response</w:t>
      </w:r>
      <w:r w:rsidRPr="00A71E1E">
        <w:rPr>
          <w:color w:val="000000"/>
        </w:rPr>
        <w:t xml:space="preserve"> </w:t>
      </w:r>
      <w:r w:rsidRPr="00A71E1E">
        <w:rPr>
          <w:i/>
          <w:color w:val="000000"/>
        </w:rPr>
        <w:t>energy</w:t>
      </w:r>
      <w:r w:rsidRPr="00A71E1E">
        <w:rPr>
          <w:color w:val="000000"/>
        </w:rPr>
        <w:t xml:space="preserve"> </w:t>
      </w:r>
      <w:r w:rsidRPr="00A71E1E">
        <w:rPr>
          <w:i/>
          <w:color w:val="000000"/>
        </w:rPr>
        <w:t>bids</w:t>
      </w:r>
      <w:r w:rsidRPr="00A410AE">
        <w:rPr>
          <w:i/>
          <w:color w:val="000000"/>
        </w:rPr>
        <w:t xml:space="preserve"> </w:t>
      </w:r>
      <w:r w:rsidRPr="00A71E1E">
        <w:rPr>
          <w:i/>
          <w:color w:val="000000"/>
        </w:rPr>
        <w:t xml:space="preserve">or energy offers, </w:t>
      </w:r>
      <w:r w:rsidRPr="00A71E1E">
        <w:rPr>
          <w:color w:val="000000"/>
        </w:rPr>
        <w:t>as applicable</w:t>
      </w:r>
      <w:r w:rsidRPr="00A71E1E">
        <w:rPr>
          <w:i/>
          <w:color w:val="000000"/>
        </w:rPr>
        <w:t>,</w:t>
      </w:r>
      <w:r w:rsidRPr="00A71E1E">
        <w:rPr>
          <w:color w:val="000000"/>
        </w:rPr>
        <w:t xml:space="preserve"> for some or all of the </w:t>
      </w:r>
      <w:r w:rsidRPr="00A71E1E">
        <w:rPr>
          <w:i/>
          <w:color w:val="000000"/>
        </w:rPr>
        <w:t>capacity obligation</w:t>
      </w:r>
      <w:r w:rsidRPr="00A71E1E">
        <w:rPr>
          <w:color w:val="000000"/>
        </w:rPr>
        <w:t xml:space="preserve"> due to the </w:t>
      </w:r>
      <w:r w:rsidRPr="00A71E1E">
        <w:rPr>
          <w:i/>
          <w:color w:val="000000"/>
        </w:rPr>
        <w:t>outage</w:t>
      </w:r>
      <w:r w:rsidRPr="00A71E1E">
        <w:rPr>
          <w:color w:val="000000"/>
        </w:rPr>
        <w:t xml:space="preserve"> of a third party </w:t>
      </w:r>
      <w:r w:rsidRPr="00A71E1E">
        <w:rPr>
          <w:i/>
          <w:color w:val="000000"/>
        </w:rPr>
        <w:t>market participant</w:t>
      </w:r>
      <w:r w:rsidRPr="00A71E1E">
        <w:rPr>
          <w:color w:val="000000"/>
        </w:rPr>
        <w:t xml:space="preserve"> (e.g. a transmission </w:t>
      </w:r>
      <w:r w:rsidRPr="00A71E1E">
        <w:rPr>
          <w:i/>
          <w:color w:val="000000"/>
        </w:rPr>
        <w:t>outage</w:t>
      </w:r>
      <w:r w:rsidRPr="00A71E1E">
        <w:rPr>
          <w:color w:val="000000"/>
        </w:rPr>
        <w:t xml:space="preserve">): </w:t>
      </w:r>
    </w:p>
    <w:p w14:paraId="12E8921A" w14:textId="77777777" w:rsidR="00CD1FDE" w:rsidRPr="00A71E1E" w:rsidRDefault="00CD1FDE" w:rsidP="00CD1FDE">
      <w:pPr>
        <w:autoSpaceDE w:val="0"/>
        <w:autoSpaceDN w:val="0"/>
        <w:adjustRightInd w:val="0"/>
        <w:spacing w:after="0"/>
        <w:rPr>
          <w:color w:val="000000"/>
        </w:rPr>
      </w:pPr>
    </w:p>
    <w:p w14:paraId="7F39B008" w14:textId="02A8A2BF" w:rsidR="00CD1FDE" w:rsidRPr="00A71E1E" w:rsidRDefault="00CD1FDE" w:rsidP="006B5440">
      <w:pPr>
        <w:pStyle w:val="ListParagraph"/>
        <w:numPr>
          <w:ilvl w:val="0"/>
          <w:numId w:val="120"/>
        </w:numPr>
        <w:autoSpaceDE w:val="0"/>
        <w:autoSpaceDN w:val="0"/>
        <w:adjustRightInd w:val="0"/>
        <w:spacing w:after="30"/>
        <w:rPr>
          <w:color w:val="000000"/>
        </w:rPr>
      </w:pPr>
      <w:r w:rsidRPr="00A71E1E">
        <w:rPr>
          <w:color w:val="000000"/>
        </w:rPr>
        <w:t xml:space="preserve">Availability charges will be charged to the </w:t>
      </w:r>
      <w:r w:rsidRPr="004E25A2">
        <w:rPr>
          <w:i/>
          <w:color w:val="000000"/>
        </w:rPr>
        <w:t>CMP</w:t>
      </w:r>
      <w:r w:rsidRPr="00A71E1E">
        <w:rPr>
          <w:color w:val="000000"/>
        </w:rPr>
        <w:t xml:space="preserve">.  The </w:t>
      </w:r>
      <w:r w:rsidRPr="004E25A2">
        <w:rPr>
          <w:i/>
          <w:color w:val="000000"/>
        </w:rPr>
        <w:t>CMP</w:t>
      </w:r>
      <w:r w:rsidRPr="00A71E1E">
        <w:rPr>
          <w:color w:val="000000"/>
        </w:rPr>
        <w:t xml:space="preserve"> must use the existing NOD process to request a reversal of the portion of the availability charge caused by the third party </w:t>
      </w:r>
      <w:r w:rsidRPr="00A71E1E">
        <w:rPr>
          <w:i/>
          <w:color w:val="000000"/>
        </w:rPr>
        <w:t>market participant’s</w:t>
      </w:r>
      <w:r w:rsidRPr="00A71E1E">
        <w:rPr>
          <w:color w:val="000000"/>
        </w:rPr>
        <w:t xml:space="preserve"> </w:t>
      </w:r>
      <w:r w:rsidRPr="00A71E1E">
        <w:rPr>
          <w:i/>
          <w:color w:val="000000"/>
        </w:rPr>
        <w:t>outage</w:t>
      </w:r>
      <w:r w:rsidRPr="00A71E1E">
        <w:rPr>
          <w:color w:val="000000"/>
        </w:rPr>
        <w:t xml:space="preserve"> and provide proof, originating from that third party </w:t>
      </w:r>
      <w:r w:rsidRPr="00A71E1E">
        <w:rPr>
          <w:i/>
          <w:color w:val="000000"/>
        </w:rPr>
        <w:t>market participant</w:t>
      </w:r>
      <w:r w:rsidRPr="00A71E1E">
        <w:rPr>
          <w:color w:val="000000"/>
        </w:rPr>
        <w:t xml:space="preserve">, to the </w:t>
      </w:r>
      <w:r w:rsidRPr="00A71E1E">
        <w:rPr>
          <w:i/>
          <w:color w:val="000000"/>
        </w:rPr>
        <w:t>IESO</w:t>
      </w:r>
      <w:r w:rsidRPr="00A71E1E">
        <w:rPr>
          <w:color w:val="000000"/>
        </w:rPr>
        <w:t xml:space="preserve"> that the failure to provide capacity was due to the actions of that third party </w:t>
      </w:r>
      <w:r w:rsidRPr="00A71E1E">
        <w:rPr>
          <w:i/>
          <w:color w:val="000000"/>
        </w:rPr>
        <w:t>market participant</w:t>
      </w:r>
      <w:r w:rsidRPr="00A71E1E">
        <w:rPr>
          <w:color w:val="000000"/>
        </w:rPr>
        <w:t xml:space="preserve">. </w:t>
      </w:r>
    </w:p>
    <w:p w14:paraId="632312C6" w14:textId="77777777" w:rsidR="00CD1FDE" w:rsidRPr="00A71E1E" w:rsidRDefault="00CD1FDE" w:rsidP="00CD1FDE">
      <w:pPr>
        <w:pStyle w:val="ListParagraph"/>
        <w:autoSpaceDE w:val="0"/>
        <w:autoSpaceDN w:val="0"/>
        <w:adjustRightInd w:val="0"/>
        <w:spacing w:after="30"/>
        <w:rPr>
          <w:color w:val="000000"/>
        </w:rPr>
      </w:pPr>
    </w:p>
    <w:p w14:paraId="5394171C" w14:textId="77777777" w:rsidR="00CD1FDE" w:rsidRPr="00A71E1E" w:rsidRDefault="00CD1FDE" w:rsidP="006B5440">
      <w:pPr>
        <w:pStyle w:val="ListParagraph"/>
        <w:numPr>
          <w:ilvl w:val="0"/>
          <w:numId w:val="120"/>
        </w:numPr>
        <w:autoSpaceDE w:val="0"/>
        <w:autoSpaceDN w:val="0"/>
        <w:adjustRightInd w:val="0"/>
        <w:spacing w:after="0"/>
        <w:rPr>
          <w:color w:val="000000"/>
        </w:rPr>
      </w:pPr>
      <w:r w:rsidRPr="00A71E1E">
        <w:rPr>
          <w:color w:val="000000"/>
        </w:rPr>
        <w:t xml:space="preserve">Dispatch charge and capacity charge – not applicable for the portion impacted by the </w:t>
      </w:r>
      <w:r w:rsidRPr="00A71E1E">
        <w:rPr>
          <w:i/>
          <w:color w:val="000000"/>
        </w:rPr>
        <w:t>outage</w:t>
      </w:r>
      <w:r w:rsidRPr="00A71E1E">
        <w:rPr>
          <w:color w:val="000000"/>
        </w:rPr>
        <w:t xml:space="preserve"> since no </w:t>
      </w:r>
      <w:r w:rsidRPr="006C5429">
        <w:rPr>
          <w:i/>
          <w:color w:val="000000"/>
        </w:rPr>
        <w:t>demand response energy</w:t>
      </w:r>
      <w:r>
        <w:rPr>
          <w:color w:val="000000"/>
        </w:rPr>
        <w:t xml:space="preserve"> </w:t>
      </w:r>
      <w:r w:rsidRPr="00A71E1E">
        <w:rPr>
          <w:i/>
          <w:color w:val="000000"/>
        </w:rPr>
        <w:t>bids</w:t>
      </w:r>
      <w:r>
        <w:rPr>
          <w:i/>
          <w:color w:val="000000"/>
        </w:rPr>
        <w:t>/energy offers</w:t>
      </w:r>
      <w:r w:rsidRPr="00A71E1E">
        <w:rPr>
          <w:color w:val="000000"/>
        </w:rPr>
        <w:t xml:space="preserve"> were submitted. </w:t>
      </w:r>
    </w:p>
    <w:p w14:paraId="73477D90" w14:textId="77777777" w:rsidR="00CD1FDE" w:rsidRPr="00A71E1E" w:rsidRDefault="00CD1FDE" w:rsidP="00CD1FDE">
      <w:pPr>
        <w:pStyle w:val="ListParagraph"/>
        <w:rPr>
          <w:color w:val="000000"/>
        </w:rPr>
      </w:pPr>
    </w:p>
    <w:p w14:paraId="18A8E8D6" w14:textId="77777777" w:rsidR="00CD1FDE" w:rsidRPr="00A71E1E" w:rsidRDefault="00CD1FDE" w:rsidP="00CD1FDE">
      <w:pPr>
        <w:autoSpaceDE w:val="0"/>
        <w:autoSpaceDN w:val="0"/>
        <w:adjustRightInd w:val="0"/>
        <w:spacing w:after="0"/>
        <w:rPr>
          <w:color w:val="000000"/>
        </w:rPr>
      </w:pPr>
      <w:r w:rsidRPr="00A71E1E">
        <w:rPr>
          <w:b/>
          <w:bCs/>
          <w:color w:val="000000"/>
        </w:rPr>
        <w:t>Scenario 2</w:t>
      </w:r>
      <w:r w:rsidRPr="00A71E1E">
        <w:rPr>
          <w:color w:val="000000"/>
        </w:rPr>
        <w:t xml:space="preserve">: Inability for a resource associated with a </w:t>
      </w:r>
      <w:r w:rsidRPr="00A71E1E">
        <w:rPr>
          <w:i/>
          <w:color w:val="000000"/>
        </w:rPr>
        <w:t>capacity obligation</w:t>
      </w:r>
      <w:r w:rsidRPr="00A71E1E">
        <w:rPr>
          <w:color w:val="000000"/>
        </w:rPr>
        <w:t xml:space="preserve"> to provide </w:t>
      </w:r>
      <w:r w:rsidRPr="00A71E1E">
        <w:rPr>
          <w:i/>
          <w:color w:val="000000"/>
        </w:rPr>
        <w:t>auction</w:t>
      </w:r>
      <w:r w:rsidRPr="00A410AE">
        <w:rPr>
          <w:color w:val="000000"/>
        </w:rPr>
        <w:t xml:space="preserve"> </w:t>
      </w:r>
      <w:r w:rsidRPr="00A71E1E">
        <w:rPr>
          <w:i/>
          <w:color w:val="000000"/>
        </w:rPr>
        <w:t>capacity</w:t>
      </w:r>
      <w:r w:rsidRPr="00A71E1E">
        <w:rPr>
          <w:color w:val="000000"/>
        </w:rPr>
        <w:t xml:space="preserve"> due to a </w:t>
      </w:r>
      <w:r w:rsidRPr="00A71E1E">
        <w:rPr>
          <w:i/>
          <w:color w:val="000000"/>
        </w:rPr>
        <w:t>force majeure event</w:t>
      </w:r>
      <w:r w:rsidRPr="00A71E1E">
        <w:rPr>
          <w:color w:val="000000"/>
        </w:rPr>
        <w:t xml:space="preserve">. For a </w:t>
      </w:r>
      <w:r w:rsidRPr="00A71E1E">
        <w:rPr>
          <w:i/>
          <w:color w:val="000000"/>
        </w:rPr>
        <w:t>force majeure event</w:t>
      </w:r>
      <w:r w:rsidRPr="00A71E1E">
        <w:rPr>
          <w:color w:val="000000"/>
        </w:rPr>
        <w:t xml:space="preserve">, a </w:t>
      </w:r>
      <w:r w:rsidRPr="004E25A2">
        <w:rPr>
          <w:i/>
          <w:color w:val="000000"/>
        </w:rPr>
        <w:t>CMP</w:t>
      </w:r>
      <w:r w:rsidRPr="00A71E1E">
        <w:rPr>
          <w:color w:val="000000"/>
        </w:rPr>
        <w:t xml:space="preserve"> must notify the </w:t>
      </w:r>
      <w:r w:rsidRPr="00A71E1E">
        <w:rPr>
          <w:i/>
          <w:color w:val="000000"/>
        </w:rPr>
        <w:t>IESO</w:t>
      </w:r>
      <w:r w:rsidRPr="00A71E1E">
        <w:rPr>
          <w:color w:val="000000"/>
        </w:rPr>
        <w:t xml:space="preserve"> prior to </w:t>
      </w:r>
      <w:r w:rsidRPr="00A71E1E">
        <w:rPr>
          <w:i/>
          <w:color w:val="000000"/>
        </w:rPr>
        <w:t>dispatch</w:t>
      </w:r>
      <w:r w:rsidRPr="00A71E1E">
        <w:rPr>
          <w:color w:val="000000"/>
        </w:rPr>
        <w:t xml:space="preserve">, if possible, so that </w:t>
      </w:r>
      <w:r w:rsidRPr="00A71E1E">
        <w:rPr>
          <w:i/>
          <w:color w:val="000000"/>
        </w:rPr>
        <w:t>demand response energy</w:t>
      </w:r>
      <w:r w:rsidRPr="00A410AE">
        <w:rPr>
          <w:i/>
          <w:color w:val="000000"/>
        </w:rPr>
        <w:t xml:space="preserve"> </w:t>
      </w:r>
      <w:r w:rsidRPr="00A71E1E">
        <w:rPr>
          <w:i/>
          <w:color w:val="000000"/>
        </w:rPr>
        <w:t>bids/energy offers</w:t>
      </w:r>
      <w:r w:rsidRPr="00A71E1E">
        <w:rPr>
          <w:color w:val="000000"/>
        </w:rPr>
        <w:t xml:space="preserve"> can be withdrawn for the resource and the resource will not be scheduled: </w:t>
      </w:r>
    </w:p>
    <w:p w14:paraId="22F92665" w14:textId="77777777" w:rsidR="00CD1FDE" w:rsidRPr="00A71E1E" w:rsidRDefault="00CD1FDE" w:rsidP="00CD1FDE">
      <w:pPr>
        <w:autoSpaceDE w:val="0"/>
        <w:autoSpaceDN w:val="0"/>
        <w:adjustRightInd w:val="0"/>
        <w:spacing w:after="0"/>
        <w:rPr>
          <w:color w:val="000000"/>
        </w:rPr>
      </w:pPr>
    </w:p>
    <w:p w14:paraId="4B42C390" w14:textId="4FFEB0B0" w:rsidR="00CD1FDE" w:rsidRPr="00A71E1E" w:rsidRDefault="00CD1FDE" w:rsidP="006B5440">
      <w:pPr>
        <w:pStyle w:val="ListParagraph"/>
        <w:numPr>
          <w:ilvl w:val="0"/>
          <w:numId w:val="121"/>
        </w:numPr>
        <w:autoSpaceDE w:val="0"/>
        <w:autoSpaceDN w:val="0"/>
        <w:adjustRightInd w:val="0"/>
        <w:spacing w:after="0"/>
        <w:rPr>
          <w:color w:val="000000"/>
        </w:rPr>
      </w:pPr>
      <w:r w:rsidRPr="00A71E1E">
        <w:rPr>
          <w:color w:val="000000"/>
        </w:rPr>
        <w:t xml:space="preserve">Availability charge will be charged to the </w:t>
      </w:r>
      <w:r w:rsidRPr="004E25A2">
        <w:rPr>
          <w:i/>
          <w:color w:val="000000"/>
        </w:rPr>
        <w:t>CMP</w:t>
      </w:r>
      <w:r w:rsidRPr="00A71E1E">
        <w:rPr>
          <w:color w:val="000000"/>
        </w:rPr>
        <w:t xml:space="preserve">. The </w:t>
      </w:r>
      <w:r w:rsidRPr="004E25A2">
        <w:rPr>
          <w:i/>
          <w:color w:val="000000"/>
        </w:rPr>
        <w:t>CMP</w:t>
      </w:r>
      <w:r w:rsidRPr="00A71E1E">
        <w:rPr>
          <w:color w:val="000000"/>
        </w:rPr>
        <w:t xml:space="preserve"> must first adhere to the stringent force majeure requirements (Chapter 1, section 13.3) of the </w:t>
      </w:r>
      <w:r w:rsidRPr="00A71E1E">
        <w:rPr>
          <w:i/>
          <w:color w:val="000000"/>
        </w:rPr>
        <w:t>market rules</w:t>
      </w:r>
      <w:r w:rsidRPr="00A71E1E">
        <w:rPr>
          <w:color w:val="000000"/>
        </w:rPr>
        <w:t xml:space="preserve">, and then make a claim via the NOD process to request an adjustment to an availability charge, dispatch charge or capacity charge as applicable through the existing force majeure provision in Chapter 1, section 13.3 and prove that a force majeure condition was met.  If the </w:t>
      </w:r>
      <w:r w:rsidRPr="00A71E1E">
        <w:rPr>
          <w:i/>
          <w:color w:val="000000"/>
        </w:rPr>
        <w:t>IESO</w:t>
      </w:r>
      <w:r w:rsidRPr="00A71E1E">
        <w:rPr>
          <w:color w:val="000000"/>
        </w:rPr>
        <w:t xml:space="preserve"> is satisfied that the </w:t>
      </w:r>
      <w:r w:rsidRPr="004E25A2">
        <w:rPr>
          <w:i/>
          <w:color w:val="000000"/>
        </w:rPr>
        <w:t>CMP</w:t>
      </w:r>
      <w:r w:rsidRPr="00A71E1E">
        <w:rPr>
          <w:color w:val="000000"/>
        </w:rPr>
        <w:t xml:space="preserve"> has met the notification requirements for a </w:t>
      </w:r>
      <w:r w:rsidRPr="00A71E1E">
        <w:rPr>
          <w:i/>
          <w:color w:val="000000"/>
        </w:rPr>
        <w:t>force majeure event</w:t>
      </w:r>
      <w:r w:rsidRPr="00A71E1E">
        <w:rPr>
          <w:color w:val="000000"/>
        </w:rPr>
        <w:t xml:space="preserve">, and that force majeure conditions have been met, the </w:t>
      </w:r>
      <w:r w:rsidRPr="00A71E1E">
        <w:rPr>
          <w:i/>
          <w:color w:val="000000"/>
        </w:rPr>
        <w:t>IESO</w:t>
      </w:r>
      <w:r w:rsidRPr="00A71E1E">
        <w:rPr>
          <w:color w:val="000000"/>
        </w:rPr>
        <w:t xml:space="preserve"> will reduce the non-performance factor to 1.0 so that any availability charge that exceeded the availability payment earned during the </w:t>
      </w:r>
      <w:r w:rsidRPr="00A71E1E">
        <w:rPr>
          <w:i/>
          <w:color w:val="000000"/>
        </w:rPr>
        <w:t>force majeure event</w:t>
      </w:r>
      <w:r w:rsidRPr="00A71E1E">
        <w:rPr>
          <w:color w:val="000000"/>
        </w:rPr>
        <w:t xml:space="preserve"> will be reimbursed to the </w:t>
      </w:r>
      <w:r w:rsidRPr="004E25A2">
        <w:rPr>
          <w:i/>
          <w:color w:val="000000"/>
        </w:rPr>
        <w:t>CMP</w:t>
      </w:r>
      <w:r w:rsidR="00984429">
        <w:rPr>
          <w:color w:val="000000"/>
        </w:rPr>
        <w:t>.</w:t>
      </w:r>
    </w:p>
    <w:p w14:paraId="5B55411B" w14:textId="77777777" w:rsidR="00CD1FDE" w:rsidRPr="00984429" w:rsidRDefault="00CD1FDE" w:rsidP="00984429">
      <w:pPr>
        <w:autoSpaceDE w:val="0"/>
        <w:autoSpaceDN w:val="0"/>
        <w:adjustRightInd w:val="0"/>
        <w:spacing w:after="0"/>
        <w:ind w:left="360"/>
        <w:rPr>
          <w:color w:val="000000"/>
        </w:rPr>
      </w:pPr>
    </w:p>
    <w:p w14:paraId="70AF81D2" w14:textId="77777777" w:rsidR="00CD1FDE" w:rsidRPr="00A71E1E" w:rsidRDefault="00CD1FDE" w:rsidP="00CD1FDE">
      <w:pPr>
        <w:autoSpaceDE w:val="0"/>
        <w:autoSpaceDN w:val="0"/>
        <w:adjustRightInd w:val="0"/>
        <w:spacing w:after="0"/>
        <w:ind w:firstLine="360"/>
        <w:rPr>
          <w:color w:val="000000"/>
        </w:rPr>
      </w:pPr>
      <w:r w:rsidRPr="00A71E1E">
        <w:rPr>
          <w:color w:val="000000"/>
        </w:rPr>
        <w:t xml:space="preserve">Example: </w:t>
      </w:r>
    </w:p>
    <w:p w14:paraId="18144D67" w14:textId="77777777" w:rsidR="00CD1FDE" w:rsidRPr="00A71E1E" w:rsidRDefault="00CD1FDE" w:rsidP="00CD1FDE">
      <w:pPr>
        <w:autoSpaceDE w:val="0"/>
        <w:autoSpaceDN w:val="0"/>
        <w:adjustRightInd w:val="0"/>
        <w:spacing w:after="21"/>
        <w:ind w:firstLine="360"/>
        <w:rPr>
          <w:color w:val="000000"/>
        </w:rPr>
      </w:pPr>
      <w:r w:rsidRPr="00A71E1E">
        <w:rPr>
          <w:color w:val="000000"/>
        </w:rPr>
        <w:t xml:space="preserve">o </w:t>
      </w:r>
      <w:r w:rsidRPr="00A71E1E">
        <w:rPr>
          <w:i/>
          <w:color w:val="000000"/>
        </w:rPr>
        <w:t>Force majeure event</w:t>
      </w:r>
      <w:r w:rsidRPr="00A71E1E">
        <w:rPr>
          <w:color w:val="000000"/>
        </w:rPr>
        <w:t xml:space="preserve"> takes place in July (subject to verification by </w:t>
      </w:r>
      <w:r w:rsidRPr="00A71E1E">
        <w:rPr>
          <w:i/>
          <w:color w:val="000000"/>
        </w:rPr>
        <w:t>IESO</w:t>
      </w:r>
      <w:r w:rsidRPr="00A71E1E">
        <w:rPr>
          <w:color w:val="000000"/>
        </w:rPr>
        <w:t xml:space="preserve">) </w:t>
      </w:r>
    </w:p>
    <w:p w14:paraId="5DEA227C" w14:textId="77777777" w:rsidR="00CD1FDE" w:rsidRPr="00A71E1E" w:rsidRDefault="00CD1FDE" w:rsidP="00CD1FDE">
      <w:pPr>
        <w:autoSpaceDE w:val="0"/>
        <w:autoSpaceDN w:val="0"/>
        <w:adjustRightInd w:val="0"/>
        <w:spacing w:after="21"/>
        <w:ind w:firstLine="360"/>
        <w:rPr>
          <w:color w:val="000000"/>
        </w:rPr>
      </w:pPr>
      <w:r w:rsidRPr="00A71E1E">
        <w:rPr>
          <w:color w:val="000000"/>
        </w:rPr>
        <w:t xml:space="preserve">o Availability payment of $100 </w:t>
      </w:r>
    </w:p>
    <w:p w14:paraId="7A39E67B" w14:textId="77777777" w:rsidR="00CD1FDE" w:rsidRPr="00A71E1E" w:rsidRDefault="00CD1FDE" w:rsidP="00CD1FDE">
      <w:pPr>
        <w:autoSpaceDE w:val="0"/>
        <w:autoSpaceDN w:val="0"/>
        <w:adjustRightInd w:val="0"/>
        <w:spacing w:after="21"/>
        <w:ind w:left="360"/>
        <w:rPr>
          <w:color w:val="000000"/>
        </w:rPr>
      </w:pPr>
      <w:r w:rsidRPr="00A71E1E">
        <w:rPr>
          <w:color w:val="000000"/>
        </w:rPr>
        <w:t xml:space="preserve">o </w:t>
      </w:r>
      <w:r w:rsidRPr="004E25A2">
        <w:rPr>
          <w:i/>
          <w:color w:val="000000"/>
        </w:rPr>
        <w:t>CMP</w:t>
      </w:r>
      <w:r w:rsidRPr="00A71E1E">
        <w:rPr>
          <w:color w:val="000000"/>
        </w:rPr>
        <w:t xml:space="preserve"> does not submit </w:t>
      </w:r>
      <w:r w:rsidRPr="00A71E1E">
        <w:rPr>
          <w:i/>
          <w:color w:val="000000"/>
        </w:rPr>
        <w:t>demand response</w:t>
      </w:r>
      <w:r w:rsidRPr="00A71E1E">
        <w:rPr>
          <w:color w:val="000000"/>
        </w:rPr>
        <w:t xml:space="preserve"> </w:t>
      </w:r>
      <w:r w:rsidRPr="00A71E1E">
        <w:rPr>
          <w:i/>
          <w:color w:val="000000"/>
        </w:rPr>
        <w:t>energy</w:t>
      </w:r>
      <w:r w:rsidRPr="00A71E1E">
        <w:rPr>
          <w:color w:val="000000"/>
        </w:rPr>
        <w:t xml:space="preserve"> </w:t>
      </w:r>
      <w:r w:rsidRPr="00A71E1E">
        <w:rPr>
          <w:i/>
          <w:color w:val="000000"/>
        </w:rPr>
        <w:t>bid</w:t>
      </w:r>
      <w:r w:rsidRPr="00A71E1E">
        <w:rPr>
          <w:color w:val="000000"/>
        </w:rPr>
        <w:t xml:space="preserve"> or </w:t>
      </w:r>
      <w:r w:rsidRPr="00A71E1E">
        <w:rPr>
          <w:i/>
          <w:color w:val="000000"/>
        </w:rPr>
        <w:t>energy offer</w:t>
      </w:r>
      <w:r w:rsidRPr="00A71E1E">
        <w:rPr>
          <w:color w:val="000000"/>
        </w:rPr>
        <w:t xml:space="preserve">– levied an availability charge of $200 ($100 * non-performance factor of 2.0 for July) </w:t>
      </w:r>
    </w:p>
    <w:p w14:paraId="1A4BEB0E" w14:textId="63353724" w:rsidR="00CD1FDE" w:rsidRPr="00A71E1E" w:rsidRDefault="00CD1FDE" w:rsidP="00CD1FDE">
      <w:pPr>
        <w:autoSpaceDE w:val="0"/>
        <w:autoSpaceDN w:val="0"/>
        <w:adjustRightInd w:val="0"/>
        <w:spacing w:after="21"/>
        <w:ind w:left="360"/>
        <w:rPr>
          <w:color w:val="000000"/>
        </w:rPr>
      </w:pPr>
      <w:r w:rsidRPr="00A71E1E">
        <w:rPr>
          <w:color w:val="000000"/>
        </w:rPr>
        <w:t xml:space="preserve">o CMP must prove adherence to the force majeure requirements in the </w:t>
      </w:r>
      <w:r w:rsidRPr="00A71E1E">
        <w:rPr>
          <w:i/>
          <w:color w:val="000000"/>
        </w:rPr>
        <w:t>market rules</w:t>
      </w:r>
      <w:r w:rsidRPr="00A71E1E">
        <w:rPr>
          <w:color w:val="000000"/>
        </w:rPr>
        <w:t xml:space="preserve"> and submit a NOD </w:t>
      </w:r>
    </w:p>
    <w:p w14:paraId="6D8540FD" w14:textId="77777777" w:rsidR="00CD1FDE" w:rsidRPr="00A71E1E" w:rsidRDefault="00CD1FDE" w:rsidP="00CD1FDE">
      <w:pPr>
        <w:autoSpaceDE w:val="0"/>
        <w:autoSpaceDN w:val="0"/>
        <w:adjustRightInd w:val="0"/>
        <w:spacing w:after="0"/>
        <w:ind w:left="360"/>
        <w:rPr>
          <w:color w:val="000000"/>
        </w:rPr>
      </w:pPr>
      <w:r w:rsidRPr="00A71E1E">
        <w:rPr>
          <w:color w:val="000000"/>
        </w:rPr>
        <w:t xml:space="preserve">o If force majeure conditions are met, </w:t>
      </w:r>
      <w:r w:rsidRPr="00A71E1E">
        <w:rPr>
          <w:i/>
          <w:color w:val="000000"/>
        </w:rPr>
        <w:t>IESO</w:t>
      </w:r>
      <w:r w:rsidRPr="00A71E1E">
        <w:rPr>
          <w:color w:val="000000"/>
        </w:rPr>
        <w:t xml:space="preserve"> will reduce the availability charge to $100 ($100 * non-performance factor of 1.0 for July)</w:t>
      </w:r>
    </w:p>
    <w:p w14:paraId="2C1B2000" w14:textId="77777777" w:rsidR="00CD1FDE" w:rsidRPr="00A71E1E" w:rsidRDefault="00CD1FDE" w:rsidP="00CD1FDE">
      <w:pPr>
        <w:autoSpaceDE w:val="0"/>
        <w:autoSpaceDN w:val="0"/>
        <w:adjustRightInd w:val="0"/>
        <w:spacing w:after="0"/>
        <w:rPr>
          <w:color w:val="000000"/>
        </w:rPr>
      </w:pPr>
    </w:p>
    <w:p w14:paraId="27A75DAB" w14:textId="1F0D4434" w:rsidR="00CD1FDE" w:rsidRPr="00A71E1E" w:rsidRDefault="00CD1FDE" w:rsidP="006B5440">
      <w:pPr>
        <w:pStyle w:val="ListParagraph"/>
        <w:numPr>
          <w:ilvl w:val="0"/>
          <w:numId w:val="121"/>
        </w:numPr>
        <w:autoSpaceDE w:val="0"/>
        <w:autoSpaceDN w:val="0"/>
        <w:adjustRightInd w:val="0"/>
        <w:spacing w:after="0"/>
        <w:rPr>
          <w:color w:val="000000"/>
        </w:rPr>
      </w:pPr>
      <w:r w:rsidRPr="00A71E1E">
        <w:rPr>
          <w:color w:val="000000"/>
        </w:rPr>
        <w:t xml:space="preserve">Dispatch charge and capacity charge– If the </w:t>
      </w:r>
      <w:r w:rsidRPr="004E25A2">
        <w:rPr>
          <w:i/>
          <w:color w:val="000000"/>
        </w:rPr>
        <w:t>CMP</w:t>
      </w:r>
      <w:r w:rsidRPr="00A71E1E">
        <w:rPr>
          <w:color w:val="000000"/>
        </w:rPr>
        <w:t xml:space="preserve"> cannot contact the </w:t>
      </w:r>
      <w:r w:rsidRPr="00A71E1E">
        <w:rPr>
          <w:i/>
          <w:color w:val="000000"/>
        </w:rPr>
        <w:t>IESO</w:t>
      </w:r>
      <w:r w:rsidRPr="00A71E1E">
        <w:rPr>
          <w:color w:val="000000"/>
        </w:rPr>
        <w:t xml:space="preserve"> prior to the force majeure then the </w:t>
      </w:r>
      <w:r w:rsidRPr="00AC130E">
        <w:rPr>
          <w:i/>
          <w:color w:val="000000"/>
        </w:rPr>
        <w:t>CMP</w:t>
      </w:r>
      <w:r w:rsidRPr="00A71E1E">
        <w:rPr>
          <w:color w:val="000000"/>
        </w:rPr>
        <w:t xml:space="preserve"> will receive the dispatch and capacity charges.  Similar to the force majeure claim for the availability charge, the </w:t>
      </w:r>
      <w:r w:rsidRPr="004E25A2">
        <w:rPr>
          <w:i/>
          <w:color w:val="000000"/>
        </w:rPr>
        <w:t>CMP</w:t>
      </w:r>
      <w:r w:rsidRPr="00A71E1E">
        <w:rPr>
          <w:color w:val="000000"/>
        </w:rPr>
        <w:t xml:space="preserve"> will need to utilize the NOD process for a charge reversal. </w:t>
      </w:r>
    </w:p>
    <w:p w14:paraId="5AC12F67" w14:textId="77777777" w:rsidR="00CD1FDE" w:rsidRPr="00A71E1E" w:rsidRDefault="00CD1FDE" w:rsidP="00CD1FDE"/>
    <w:p w14:paraId="40446ACB" w14:textId="77777777" w:rsidR="00CD1FDE" w:rsidRPr="00A71E1E" w:rsidRDefault="00CD1FDE" w:rsidP="00CD1FDE">
      <w:r w:rsidRPr="00A71E1E">
        <w:t xml:space="preserve">In instances where a </w:t>
      </w:r>
      <w:r w:rsidRPr="00A71E1E">
        <w:rPr>
          <w:i/>
        </w:rPr>
        <w:t>force majeure event</w:t>
      </w:r>
      <w:r w:rsidRPr="00A71E1E">
        <w:t xml:space="preserve"> overlaps with non-compliance with </w:t>
      </w:r>
      <w:r w:rsidRPr="00A71E1E">
        <w:rPr>
          <w:i/>
        </w:rPr>
        <w:t>dispatch instructions</w:t>
      </w:r>
      <w:r w:rsidRPr="00A71E1E">
        <w:t xml:space="preserve"> during an event related to the safety of any person, damage to equipment, or violation of any </w:t>
      </w:r>
      <w:r w:rsidRPr="00A71E1E">
        <w:rPr>
          <w:i/>
        </w:rPr>
        <w:t>applicable law</w:t>
      </w:r>
      <w:r w:rsidRPr="00A71E1E">
        <w:t xml:space="preserve">, if the force majeure requirements and conditions are met as determined by the </w:t>
      </w:r>
      <w:r w:rsidRPr="00A71E1E">
        <w:rPr>
          <w:i/>
        </w:rPr>
        <w:t>IESO</w:t>
      </w:r>
      <w:r w:rsidRPr="00A71E1E">
        <w:t xml:space="preserve">, any adjustments made will be consistent with force majeure treatment as noted above in Scenario 2.  </w:t>
      </w:r>
    </w:p>
    <w:p w14:paraId="7437F57B" w14:textId="653B28FC" w:rsidR="00CD1FDE" w:rsidRPr="00A71E1E" w:rsidRDefault="00CD1FDE" w:rsidP="00CD1FDE">
      <w:r w:rsidRPr="00A71E1E">
        <w:t>The following table summarizes the scenarios allowed for non-performance charge exceptions and how each non-performance charge will be adjusted.</w:t>
      </w:r>
    </w:p>
    <w:p w14:paraId="21D1603A" w14:textId="67D8CF8C" w:rsidR="00CD1FDE" w:rsidRPr="00A71E1E" w:rsidRDefault="00CD1FDE" w:rsidP="00CD1FDE">
      <w:pPr>
        <w:pStyle w:val="TableCaption"/>
      </w:pPr>
      <w:bookmarkStart w:id="1238" w:name="_Toc8889614"/>
      <w:bookmarkStart w:id="1239" w:name="_Toc25848376"/>
      <w:bookmarkStart w:id="1240" w:name="_Toc35796428"/>
      <w:bookmarkStart w:id="1241" w:name="_Toc79657835"/>
      <w:r w:rsidRPr="00A71E1E">
        <w:t>Table 1</w:t>
      </w:r>
      <w:r w:rsidR="005241AE" w:rsidRPr="005241AE">
        <w:t>–</w:t>
      </w:r>
      <w:r w:rsidR="005241AE">
        <w:t>4</w:t>
      </w:r>
      <w:r w:rsidRPr="00A71E1E">
        <w:t>:  Scenarios and Adjustments for Exceptions</w:t>
      </w:r>
      <w:bookmarkEnd w:id="1238"/>
      <w:bookmarkEnd w:id="1239"/>
      <w:bookmarkEnd w:id="1240"/>
      <w:bookmarkEnd w:id="1241"/>
    </w:p>
    <w:tbl>
      <w:tblPr>
        <w:tblStyle w:val="TableGrid"/>
        <w:tblW w:w="9648" w:type="dxa"/>
        <w:tblLook w:val="04A0" w:firstRow="1" w:lastRow="0" w:firstColumn="1" w:lastColumn="0" w:noHBand="0" w:noVBand="1"/>
        <w:tblDescription w:val="Table for Scenarios and Adjustments for Exceptions"/>
      </w:tblPr>
      <w:tblGrid>
        <w:gridCol w:w="1728"/>
        <w:gridCol w:w="2700"/>
        <w:gridCol w:w="2610"/>
        <w:gridCol w:w="2610"/>
      </w:tblGrid>
      <w:tr w:rsidR="00CD1FDE" w:rsidRPr="00A71E1E" w14:paraId="26061C97" w14:textId="77777777" w:rsidTr="005F4390">
        <w:trPr>
          <w:tblHeader/>
        </w:trPr>
        <w:tc>
          <w:tcPr>
            <w:tcW w:w="1728" w:type="dxa"/>
            <w:vMerge w:val="restart"/>
            <w:shd w:val="clear" w:color="auto" w:fill="D9D9D9" w:themeFill="background1" w:themeFillShade="D9"/>
          </w:tcPr>
          <w:p w14:paraId="78656450" w14:textId="5D047B08" w:rsidR="00CD1FDE" w:rsidRPr="00A71E1E" w:rsidRDefault="00CD1FDE" w:rsidP="00F36AD1">
            <w:pPr>
              <w:jc w:val="center"/>
              <w:rPr>
                <w:b/>
              </w:rPr>
            </w:pPr>
            <w:r w:rsidRPr="00A71E1E">
              <w:rPr>
                <w:b/>
              </w:rPr>
              <w:t>Scenarios</w:t>
            </w:r>
          </w:p>
        </w:tc>
        <w:tc>
          <w:tcPr>
            <w:tcW w:w="7920" w:type="dxa"/>
            <w:gridSpan w:val="3"/>
            <w:shd w:val="clear" w:color="auto" w:fill="D9D9D9" w:themeFill="background1" w:themeFillShade="D9"/>
          </w:tcPr>
          <w:p w14:paraId="64C649B2" w14:textId="77777777" w:rsidR="00CD1FDE" w:rsidRPr="00A71E1E" w:rsidRDefault="00CD1FDE" w:rsidP="00CD1FDE">
            <w:pPr>
              <w:jc w:val="center"/>
              <w:rPr>
                <w:b/>
              </w:rPr>
            </w:pPr>
            <w:r w:rsidRPr="00A71E1E">
              <w:rPr>
                <w:b/>
              </w:rPr>
              <w:t>Adjustments</w:t>
            </w:r>
          </w:p>
        </w:tc>
      </w:tr>
      <w:tr w:rsidR="00CD1FDE" w:rsidRPr="00A71E1E" w14:paraId="0F28EE1A" w14:textId="77777777" w:rsidTr="005F4390">
        <w:trPr>
          <w:tblHeader/>
        </w:trPr>
        <w:tc>
          <w:tcPr>
            <w:tcW w:w="1728" w:type="dxa"/>
            <w:vMerge/>
            <w:shd w:val="clear" w:color="auto" w:fill="D9D9D9" w:themeFill="background1" w:themeFillShade="D9"/>
          </w:tcPr>
          <w:p w14:paraId="5383880C" w14:textId="77777777" w:rsidR="00CD1FDE" w:rsidRPr="00A71E1E" w:rsidRDefault="00CD1FDE" w:rsidP="00CD1FDE">
            <w:pPr>
              <w:jc w:val="center"/>
              <w:rPr>
                <w:b/>
              </w:rPr>
            </w:pPr>
          </w:p>
        </w:tc>
        <w:tc>
          <w:tcPr>
            <w:tcW w:w="2700" w:type="dxa"/>
            <w:shd w:val="clear" w:color="auto" w:fill="D9D9D9" w:themeFill="background1" w:themeFillShade="D9"/>
          </w:tcPr>
          <w:p w14:paraId="7807213A" w14:textId="5A97D439" w:rsidR="00CD1FDE" w:rsidRPr="00A71E1E" w:rsidRDefault="00CD1FDE" w:rsidP="00CD1FDE">
            <w:pPr>
              <w:jc w:val="center"/>
              <w:rPr>
                <w:b/>
              </w:rPr>
            </w:pPr>
            <w:r w:rsidRPr="00A71E1E">
              <w:rPr>
                <w:b/>
              </w:rPr>
              <w:t xml:space="preserve">Availability </w:t>
            </w:r>
            <w:r w:rsidR="0024654A">
              <w:rPr>
                <w:b/>
              </w:rPr>
              <w:t>C</w:t>
            </w:r>
            <w:r w:rsidRPr="00A71E1E">
              <w:rPr>
                <w:b/>
              </w:rPr>
              <w:t>harges</w:t>
            </w:r>
          </w:p>
        </w:tc>
        <w:tc>
          <w:tcPr>
            <w:tcW w:w="2610" w:type="dxa"/>
            <w:shd w:val="clear" w:color="auto" w:fill="D9D9D9" w:themeFill="background1" w:themeFillShade="D9"/>
          </w:tcPr>
          <w:p w14:paraId="4492AB5A" w14:textId="0DB5682D" w:rsidR="00CD1FDE" w:rsidRPr="00A71E1E" w:rsidRDefault="00CD1FDE" w:rsidP="0024654A">
            <w:pPr>
              <w:jc w:val="center"/>
              <w:rPr>
                <w:b/>
              </w:rPr>
            </w:pPr>
            <w:r w:rsidRPr="00A71E1E">
              <w:rPr>
                <w:b/>
              </w:rPr>
              <w:t xml:space="preserve">Dispatch </w:t>
            </w:r>
            <w:r w:rsidR="0024654A">
              <w:rPr>
                <w:b/>
              </w:rPr>
              <w:t>C</w:t>
            </w:r>
            <w:r w:rsidRPr="00A71E1E">
              <w:rPr>
                <w:b/>
              </w:rPr>
              <w:t>harges</w:t>
            </w:r>
          </w:p>
        </w:tc>
        <w:tc>
          <w:tcPr>
            <w:tcW w:w="2610" w:type="dxa"/>
            <w:shd w:val="clear" w:color="auto" w:fill="D9D9D9" w:themeFill="background1" w:themeFillShade="D9"/>
          </w:tcPr>
          <w:p w14:paraId="49C46A25" w14:textId="036A352F" w:rsidR="00CD1FDE" w:rsidRPr="00A71E1E" w:rsidRDefault="00CD1FDE" w:rsidP="0024654A">
            <w:pPr>
              <w:jc w:val="center"/>
              <w:rPr>
                <w:b/>
              </w:rPr>
            </w:pPr>
            <w:r w:rsidRPr="00A71E1E">
              <w:rPr>
                <w:b/>
              </w:rPr>
              <w:t xml:space="preserve">Capacity </w:t>
            </w:r>
            <w:r w:rsidR="0024654A">
              <w:rPr>
                <w:b/>
              </w:rPr>
              <w:t>C</w:t>
            </w:r>
            <w:r w:rsidRPr="00A71E1E">
              <w:rPr>
                <w:b/>
              </w:rPr>
              <w:t>harges</w:t>
            </w:r>
          </w:p>
        </w:tc>
      </w:tr>
      <w:tr w:rsidR="00CD1FDE" w:rsidRPr="00A71E1E" w14:paraId="275CBB26" w14:textId="77777777" w:rsidTr="00CD1FDE">
        <w:tc>
          <w:tcPr>
            <w:tcW w:w="1728" w:type="dxa"/>
          </w:tcPr>
          <w:p w14:paraId="30431B10" w14:textId="77777777" w:rsidR="00CD1FDE" w:rsidRPr="00A71E1E" w:rsidRDefault="00CD1FDE" w:rsidP="00CD1FDE">
            <w:pPr>
              <w:rPr>
                <w:b/>
              </w:rPr>
            </w:pPr>
            <w:r w:rsidRPr="00A71E1E">
              <w:rPr>
                <w:b/>
              </w:rPr>
              <w:t>1 -</w:t>
            </w:r>
            <w:r w:rsidRPr="00A71E1E">
              <w:rPr>
                <w:b/>
                <w:i/>
              </w:rPr>
              <w:t xml:space="preserve"> IESO</w:t>
            </w:r>
            <w:r w:rsidRPr="00A71E1E">
              <w:rPr>
                <w:b/>
              </w:rPr>
              <w:t xml:space="preserve"> verifies External/Third Party </w:t>
            </w:r>
            <w:r w:rsidRPr="00A71E1E">
              <w:rPr>
                <w:b/>
                <w:i/>
              </w:rPr>
              <w:t>Outage</w:t>
            </w:r>
            <w:r w:rsidRPr="00A71E1E">
              <w:rPr>
                <w:b/>
              </w:rPr>
              <w:t>, documentations  and NOD requirements met</w:t>
            </w:r>
          </w:p>
        </w:tc>
        <w:tc>
          <w:tcPr>
            <w:tcW w:w="2700" w:type="dxa"/>
          </w:tcPr>
          <w:p w14:paraId="1971F075" w14:textId="77777777" w:rsidR="00CD1FDE" w:rsidRPr="00A71E1E" w:rsidRDefault="00CD1FDE" w:rsidP="00CD1FDE">
            <w:r w:rsidRPr="00A71E1E">
              <w:t xml:space="preserve">The affected resource is deemed to have submitted </w:t>
            </w:r>
            <w:r w:rsidRPr="00A71E1E">
              <w:rPr>
                <w:i/>
              </w:rPr>
              <w:t>demand response</w:t>
            </w:r>
            <w:r w:rsidRPr="00A410AE">
              <w:rPr>
                <w:i/>
              </w:rPr>
              <w:t xml:space="preserve"> </w:t>
            </w:r>
            <w:r w:rsidRPr="00A71E1E">
              <w:rPr>
                <w:i/>
              </w:rPr>
              <w:t>energy</w:t>
            </w:r>
            <w:r w:rsidRPr="00A71E1E">
              <w:t xml:space="preserve"> </w:t>
            </w:r>
            <w:r w:rsidRPr="00A71E1E">
              <w:rPr>
                <w:i/>
              </w:rPr>
              <w:t>bid/energy offer</w:t>
            </w:r>
            <w:r w:rsidRPr="00A71E1E">
              <w:t xml:space="preserve"> and the charge is re-assessed using the impacted quantity assessed by the </w:t>
            </w:r>
            <w:r w:rsidRPr="00A71E1E">
              <w:rPr>
                <w:i/>
              </w:rPr>
              <w:t>IESO</w:t>
            </w:r>
            <w:r w:rsidRPr="00A71E1E">
              <w:t>.</w:t>
            </w:r>
          </w:p>
        </w:tc>
        <w:tc>
          <w:tcPr>
            <w:tcW w:w="2610" w:type="dxa"/>
          </w:tcPr>
          <w:p w14:paraId="43228275" w14:textId="77777777" w:rsidR="00CD1FDE" w:rsidRPr="00A71E1E" w:rsidRDefault="00CD1FDE" w:rsidP="00CD1FDE">
            <w:r w:rsidRPr="00A71E1E">
              <w:t xml:space="preserve">Not applicable for the portion impacted by the </w:t>
            </w:r>
            <w:r w:rsidRPr="00A71E1E">
              <w:rPr>
                <w:i/>
              </w:rPr>
              <w:t>outage</w:t>
            </w:r>
            <w:r w:rsidRPr="00A71E1E">
              <w:t xml:space="preserve"> since no </w:t>
            </w:r>
            <w:r w:rsidRPr="00A71E1E">
              <w:rPr>
                <w:i/>
              </w:rPr>
              <w:t>bids</w:t>
            </w:r>
            <w:r w:rsidRPr="00A71E1E">
              <w:t xml:space="preserve"> were submitted.</w:t>
            </w:r>
          </w:p>
        </w:tc>
        <w:tc>
          <w:tcPr>
            <w:tcW w:w="2610" w:type="dxa"/>
          </w:tcPr>
          <w:p w14:paraId="1DF3A70F" w14:textId="77777777" w:rsidR="00CD1FDE" w:rsidRPr="00A71E1E" w:rsidRDefault="00CD1FDE" w:rsidP="00CD1FDE">
            <w:r w:rsidRPr="00A71E1E">
              <w:t xml:space="preserve">Not applicable for the portion impacted by the </w:t>
            </w:r>
            <w:r w:rsidRPr="00A71E1E">
              <w:rPr>
                <w:i/>
              </w:rPr>
              <w:t>outage</w:t>
            </w:r>
            <w:r w:rsidRPr="00A71E1E">
              <w:t xml:space="preserve"> since no </w:t>
            </w:r>
            <w:r w:rsidRPr="00A71E1E">
              <w:rPr>
                <w:i/>
              </w:rPr>
              <w:t>bids/offers</w:t>
            </w:r>
            <w:r w:rsidRPr="00A71E1E">
              <w:t xml:space="preserve"> were submitted.</w:t>
            </w:r>
          </w:p>
        </w:tc>
      </w:tr>
      <w:tr w:rsidR="00CD1FDE" w:rsidRPr="00A71E1E" w14:paraId="21F422EE" w14:textId="77777777" w:rsidTr="00CD1FDE">
        <w:tc>
          <w:tcPr>
            <w:tcW w:w="1728" w:type="dxa"/>
          </w:tcPr>
          <w:p w14:paraId="2B846C55" w14:textId="77777777" w:rsidR="00CD1FDE" w:rsidRPr="00A71E1E" w:rsidRDefault="00CD1FDE" w:rsidP="00CD1FDE">
            <w:pPr>
              <w:rPr>
                <w:b/>
              </w:rPr>
            </w:pPr>
            <w:r w:rsidRPr="00A71E1E">
              <w:rPr>
                <w:b/>
              </w:rPr>
              <w:t xml:space="preserve">2 - </w:t>
            </w:r>
            <w:r w:rsidRPr="00A71E1E">
              <w:rPr>
                <w:b/>
                <w:i/>
              </w:rPr>
              <w:t>IESO</w:t>
            </w:r>
            <w:r w:rsidRPr="00A71E1E">
              <w:rPr>
                <w:b/>
              </w:rPr>
              <w:t xml:space="preserve"> determines Force Majeure conditions, documentation and NOD requirements met </w:t>
            </w:r>
          </w:p>
        </w:tc>
        <w:tc>
          <w:tcPr>
            <w:tcW w:w="2700" w:type="dxa"/>
          </w:tcPr>
          <w:p w14:paraId="123CD651" w14:textId="77777777" w:rsidR="00CD1FDE" w:rsidRPr="00A71E1E" w:rsidRDefault="00CD1FDE" w:rsidP="00CD1FDE">
            <w:r w:rsidRPr="00A71E1E">
              <w:t>The charge is re-calculated using a non-performance factor of 1.0.</w:t>
            </w:r>
          </w:p>
        </w:tc>
        <w:tc>
          <w:tcPr>
            <w:tcW w:w="2610" w:type="dxa"/>
          </w:tcPr>
          <w:p w14:paraId="42F6A84F" w14:textId="575E3039" w:rsidR="00CD1FDE" w:rsidRPr="00A71E1E" w:rsidRDefault="00CD1FDE" w:rsidP="00CD1FDE">
            <w:r w:rsidRPr="00A71E1E">
              <w:t xml:space="preserve">The charge will be reversed (applicable to HDRs only).  </w:t>
            </w:r>
          </w:p>
        </w:tc>
        <w:tc>
          <w:tcPr>
            <w:tcW w:w="2610" w:type="dxa"/>
          </w:tcPr>
          <w:p w14:paraId="0BA3B219" w14:textId="07356690" w:rsidR="00CD1FDE" w:rsidRPr="00A71E1E" w:rsidRDefault="00CD1FDE" w:rsidP="00CD1FDE">
            <w:r w:rsidRPr="00A71E1E">
              <w:t xml:space="preserve">The charge will be reversed  </w:t>
            </w:r>
            <w:r>
              <w:t xml:space="preserve">after verification by the </w:t>
            </w:r>
            <w:r w:rsidRPr="006C5429">
              <w:rPr>
                <w:i/>
              </w:rPr>
              <w:t>IESO</w:t>
            </w:r>
            <w:r>
              <w:t>.</w:t>
            </w:r>
          </w:p>
        </w:tc>
      </w:tr>
    </w:tbl>
    <w:p w14:paraId="2DECC0A1" w14:textId="77777777" w:rsidR="00CD1FDE" w:rsidRPr="00A71E1E" w:rsidRDefault="00CD1FDE" w:rsidP="00133618">
      <w:pPr>
        <w:pStyle w:val="Heading4"/>
      </w:pPr>
      <w:r w:rsidRPr="00A71E1E">
        <w:t>Buy-Out Charges</w:t>
      </w:r>
    </w:p>
    <w:p w14:paraId="6EA6B4DB" w14:textId="1C86ED58" w:rsidR="00CD1FDE" w:rsidRPr="00A71E1E" w:rsidRDefault="00CD1FDE" w:rsidP="00CD1FDE">
      <w:pPr>
        <w:spacing w:before="120"/>
      </w:pPr>
      <w:r w:rsidRPr="00A71E1E">
        <w:t xml:space="preserve">Upon </w:t>
      </w:r>
      <w:r w:rsidRPr="00A71E1E">
        <w:rPr>
          <w:i/>
        </w:rPr>
        <w:t>IESO</w:t>
      </w:r>
      <w:r w:rsidRPr="00A71E1E">
        <w:t xml:space="preserve">’s acceptance of your buy-out request (refer to the buy-out process as detailed in Section </w:t>
      </w:r>
      <w:r w:rsidR="007A5FB1">
        <w:t xml:space="preserve">7 </w:t>
      </w:r>
      <w:r w:rsidRPr="00A71E1E">
        <w:t xml:space="preserve">of Market Manual 12) we will calculate a buy-out charge. We use </w:t>
      </w:r>
      <w:r w:rsidRPr="00A71E1E">
        <w:rPr>
          <w:i/>
        </w:rPr>
        <w:t>charge type</w:t>
      </w:r>
      <w:r w:rsidRPr="00A71E1E">
        <w:t xml:space="preserve"> </w:t>
      </w:r>
      <w:r w:rsidRPr="00A71E1E">
        <w:rPr>
          <w:rFonts w:eastAsiaTheme="minorEastAsia"/>
        </w:rPr>
        <w:t xml:space="preserve">1319 “Capacity Obligation – Buy-Out Charge” as the </w:t>
      </w:r>
      <w:r w:rsidRPr="00A71E1E">
        <w:rPr>
          <w:rFonts w:eastAsiaTheme="minorEastAsia"/>
          <w:i/>
        </w:rPr>
        <w:t>settlement</w:t>
      </w:r>
      <w:r w:rsidRPr="00A71E1E">
        <w:rPr>
          <w:rFonts w:eastAsiaTheme="minorEastAsia"/>
        </w:rPr>
        <w:t xml:space="preserve"> of a buy-out request.  If the buy-out capacity is not your entire </w:t>
      </w:r>
      <w:r w:rsidRPr="00A71E1E">
        <w:rPr>
          <w:rFonts w:eastAsiaTheme="minorEastAsia"/>
          <w:i/>
        </w:rPr>
        <w:t>capacity obligation</w:t>
      </w:r>
      <w:r w:rsidRPr="00A71E1E">
        <w:rPr>
          <w:rFonts w:eastAsiaTheme="minorEastAsia"/>
        </w:rPr>
        <w:t xml:space="preserve"> amount, then we will settle the remainder of the </w:t>
      </w:r>
      <w:r w:rsidRPr="00A71E1E">
        <w:rPr>
          <w:rFonts w:eastAsiaTheme="minorEastAsia"/>
          <w:i/>
        </w:rPr>
        <w:t>obligation period</w:t>
      </w:r>
      <w:r w:rsidRPr="00A71E1E">
        <w:rPr>
          <w:rFonts w:eastAsiaTheme="minorEastAsia"/>
        </w:rPr>
        <w:t xml:space="preserve"> with the revised </w:t>
      </w:r>
      <w:r w:rsidRPr="00A71E1E">
        <w:rPr>
          <w:rFonts w:eastAsiaTheme="minorEastAsia"/>
          <w:i/>
        </w:rPr>
        <w:t>capacity obligation</w:t>
      </w:r>
      <w:r w:rsidRPr="00A71E1E">
        <w:rPr>
          <w:rFonts w:eastAsiaTheme="minorEastAsia"/>
        </w:rPr>
        <w:t xml:space="preserve"> amount (i.e. original </w:t>
      </w:r>
      <w:r w:rsidRPr="00A71E1E">
        <w:rPr>
          <w:rFonts w:eastAsiaTheme="minorEastAsia"/>
          <w:i/>
        </w:rPr>
        <w:t>capacity obligation</w:t>
      </w:r>
      <w:r w:rsidRPr="00A71E1E">
        <w:rPr>
          <w:rFonts w:eastAsiaTheme="minorEastAsia"/>
        </w:rPr>
        <w:t xml:space="preserve"> minus the buy-out capacity).</w:t>
      </w:r>
    </w:p>
    <w:p w14:paraId="0C7523A2" w14:textId="77777777" w:rsidR="00CD1FDE" w:rsidRPr="00A71E1E" w:rsidRDefault="00CD1FDE" w:rsidP="00133618">
      <w:pPr>
        <w:pStyle w:val="Heading4"/>
      </w:pPr>
      <w:r w:rsidRPr="00A71E1E">
        <w:t>Cost Recovery</w:t>
      </w:r>
    </w:p>
    <w:p w14:paraId="04E4AAE3" w14:textId="77777777" w:rsidR="00CD1FDE" w:rsidRPr="00A71E1E" w:rsidRDefault="00CD1FDE" w:rsidP="00CD1FDE">
      <w:pPr>
        <w:spacing w:before="120"/>
      </w:pPr>
      <w:r w:rsidRPr="00A71E1E">
        <w:t xml:space="preserve">The cost recovery for the </w:t>
      </w:r>
      <w:r w:rsidRPr="00A71E1E">
        <w:rPr>
          <w:i/>
        </w:rPr>
        <w:t>settlement</w:t>
      </w:r>
      <w:r w:rsidRPr="00A71E1E">
        <w:t xml:space="preserve"> of the </w:t>
      </w:r>
      <w:r w:rsidRPr="00A71E1E">
        <w:rPr>
          <w:i/>
        </w:rPr>
        <w:t>capacity obligations</w:t>
      </w:r>
      <w:r w:rsidRPr="00A71E1E">
        <w:t xml:space="preserve"> will be allocated to </w:t>
      </w:r>
      <w:r w:rsidRPr="00A71E1E">
        <w:rPr>
          <w:i/>
        </w:rPr>
        <w:t>consumers</w:t>
      </w:r>
      <w:r w:rsidRPr="00A71E1E">
        <w:t xml:space="preserve"> on a monthly basis through an uplift charge with the same allocation methodology used for the Global Adjustment.  All </w:t>
      </w:r>
      <w:r w:rsidRPr="00A71E1E">
        <w:rPr>
          <w:i/>
        </w:rPr>
        <w:t>capacity obligation</w:t>
      </w:r>
      <w:r w:rsidRPr="00A71E1E">
        <w:t xml:space="preserve"> </w:t>
      </w:r>
      <w:r w:rsidRPr="00A71E1E">
        <w:rPr>
          <w:i/>
        </w:rPr>
        <w:t>settlement amounts</w:t>
      </w:r>
      <w:r w:rsidRPr="00A71E1E">
        <w:t xml:space="preserve"> are added together for the month and recovered through the following two charges:</w:t>
      </w:r>
    </w:p>
    <w:p w14:paraId="537C804F" w14:textId="77777777" w:rsidR="00CD1FDE" w:rsidRPr="00A71E1E" w:rsidRDefault="00CD1FDE" w:rsidP="00CD1FDE">
      <w:pPr>
        <w:pStyle w:val="ListParagraph"/>
        <w:numPr>
          <w:ilvl w:val="0"/>
          <w:numId w:val="113"/>
        </w:numPr>
        <w:spacing w:after="200" w:line="276" w:lineRule="auto"/>
      </w:pPr>
      <w:r w:rsidRPr="00A71E1E">
        <w:t>1350 “Capacity Based Recovery Amount for Class A Loads”</w:t>
      </w:r>
    </w:p>
    <w:p w14:paraId="6A53393A" w14:textId="77777777" w:rsidR="00CD1FDE" w:rsidRPr="00A71E1E" w:rsidRDefault="00CD1FDE" w:rsidP="00CD1FDE">
      <w:pPr>
        <w:pStyle w:val="ListParagraph"/>
        <w:numPr>
          <w:ilvl w:val="0"/>
          <w:numId w:val="113"/>
        </w:numPr>
        <w:spacing w:after="200" w:line="276" w:lineRule="auto"/>
      </w:pPr>
      <w:r w:rsidRPr="00A71E1E">
        <w:t>1351 “Capacity Based Recovery Amount for Class B Loads”</w:t>
      </w:r>
    </w:p>
    <w:p w14:paraId="15C760CE" w14:textId="7F4C1551" w:rsidR="00CD1FDE" w:rsidRPr="00A71E1E" w:rsidRDefault="00CD1FDE" w:rsidP="00CD1FDE">
      <w:r w:rsidRPr="00A71E1E">
        <w:t xml:space="preserve">Refer to section </w:t>
      </w:r>
      <w:hyperlink w:anchor="GA" w:history="1">
        <w:r w:rsidRPr="002E6D27">
          <w:rPr>
            <w:rStyle w:val="Hyperlink"/>
          </w:rPr>
          <w:t>1.6.7.8</w:t>
        </w:r>
      </w:hyperlink>
      <w:r w:rsidRPr="00A71E1E">
        <w:t xml:space="preserve"> for details on the determination or allocation for Class A and Class B loads for the Global Adjustment.</w:t>
      </w:r>
    </w:p>
    <w:p w14:paraId="45D9BF83" w14:textId="73500C33" w:rsidR="0060024E" w:rsidRDefault="0060024E" w:rsidP="0060024E">
      <w:pPr>
        <w:pStyle w:val="Heading3"/>
      </w:pPr>
      <w:bookmarkStart w:id="1242" w:name="_Toc35796356"/>
      <w:bookmarkStart w:id="1243" w:name="_Toc79657958"/>
      <w:r w:rsidRPr="00871C2C">
        <w:t>Transmission Rights Clearing Account Disbursement</w:t>
      </w:r>
      <w:bookmarkEnd w:id="1242"/>
      <w:bookmarkEnd w:id="1243"/>
    </w:p>
    <w:p w14:paraId="75DE0C8B" w14:textId="77777777" w:rsidR="001B373D" w:rsidRPr="00596F14" w:rsidRDefault="001B373D" w:rsidP="001B373D">
      <w:pPr>
        <w:pStyle w:val="Default"/>
        <w:spacing w:before="120" w:after="120"/>
        <w:rPr>
          <w:color w:val="auto"/>
          <w:sz w:val="22"/>
          <w:szCs w:val="22"/>
        </w:rPr>
      </w:pPr>
      <w:r w:rsidRPr="00596F14">
        <w:rPr>
          <w:color w:val="auto"/>
          <w:sz w:val="22"/>
          <w:szCs w:val="22"/>
        </w:rPr>
        <w:t xml:space="preserve">The </w:t>
      </w:r>
      <w:r w:rsidRPr="00596F14">
        <w:rPr>
          <w:i/>
          <w:color w:val="auto"/>
          <w:sz w:val="22"/>
          <w:szCs w:val="22"/>
        </w:rPr>
        <w:t>IESO</w:t>
      </w:r>
      <w:r w:rsidRPr="00596F14">
        <w:rPr>
          <w:color w:val="auto"/>
          <w:sz w:val="22"/>
          <w:szCs w:val="22"/>
        </w:rPr>
        <w:t xml:space="preserve"> will review the Transmission Rights Clearing account (TRCA) balance on a semi-annual basis and disburse the surplus funds when the balance exceeds the Reserve Threshold by at least $5M, or as directed by the</w:t>
      </w:r>
      <w:r>
        <w:rPr>
          <w:color w:val="auto"/>
          <w:sz w:val="22"/>
          <w:szCs w:val="22"/>
        </w:rPr>
        <w:t xml:space="preserve"> </w:t>
      </w:r>
      <w:r w:rsidRPr="00295A7A">
        <w:rPr>
          <w:i/>
          <w:color w:val="auto"/>
          <w:sz w:val="22"/>
          <w:szCs w:val="22"/>
        </w:rPr>
        <w:t>IESO Board</w:t>
      </w:r>
      <w:r w:rsidRPr="00596F14">
        <w:rPr>
          <w:color w:val="auto"/>
          <w:sz w:val="22"/>
          <w:szCs w:val="22"/>
        </w:rPr>
        <w:t xml:space="preserve">.  </w:t>
      </w:r>
    </w:p>
    <w:p w14:paraId="62942708" w14:textId="77777777" w:rsidR="001B373D" w:rsidRDefault="001B373D" w:rsidP="001B373D">
      <w:pPr>
        <w:pStyle w:val="Default"/>
        <w:spacing w:before="120" w:after="120"/>
        <w:rPr>
          <w:color w:val="auto"/>
          <w:sz w:val="22"/>
          <w:szCs w:val="22"/>
        </w:rPr>
      </w:pPr>
      <w:r>
        <w:rPr>
          <w:color w:val="auto"/>
          <w:sz w:val="22"/>
          <w:szCs w:val="22"/>
        </w:rPr>
        <w:t>As per section 4.7 of Chapter 9, the surplus funds will be split into two classes based on the proportion of total provincial transmission service charges (</w:t>
      </w:r>
      <w:r w:rsidRPr="00234F1B">
        <w:rPr>
          <w:i/>
          <w:szCs w:val="22"/>
        </w:rPr>
        <w:t>Charge Type</w:t>
      </w:r>
      <w:r>
        <w:rPr>
          <w:color w:val="auto"/>
          <w:sz w:val="22"/>
          <w:szCs w:val="22"/>
        </w:rPr>
        <w:t xml:space="preserve"> 650, 651 and 652) and total export transmission service charges (</w:t>
      </w:r>
      <w:r w:rsidRPr="00234F1B">
        <w:rPr>
          <w:i/>
          <w:szCs w:val="22"/>
        </w:rPr>
        <w:t>Charge Type</w:t>
      </w:r>
      <w:r>
        <w:rPr>
          <w:color w:val="auto"/>
          <w:sz w:val="22"/>
          <w:szCs w:val="22"/>
        </w:rPr>
        <w:t xml:space="preserve"> 653) collected from the market during the six (6) month period immediately preceding the month-end on which it will be disbursed (“balance period”), or as directed by the </w:t>
      </w:r>
      <w:r w:rsidRPr="00295A7A">
        <w:rPr>
          <w:i/>
          <w:color w:val="auto"/>
          <w:sz w:val="22"/>
          <w:szCs w:val="22"/>
        </w:rPr>
        <w:t>IESO Board</w:t>
      </w:r>
      <w:r>
        <w:rPr>
          <w:color w:val="auto"/>
          <w:sz w:val="22"/>
          <w:szCs w:val="22"/>
        </w:rPr>
        <w:t xml:space="preserve">. </w:t>
      </w:r>
      <w:r w:rsidRPr="00596F14">
        <w:rPr>
          <w:color w:val="auto"/>
          <w:sz w:val="22"/>
          <w:szCs w:val="22"/>
        </w:rPr>
        <w:t xml:space="preserve">For example, the surplus funds </w:t>
      </w:r>
      <w:r>
        <w:rPr>
          <w:color w:val="auto"/>
          <w:sz w:val="22"/>
          <w:szCs w:val="22"/>
        </w:rPr>
        <w:t xml:space="preserve">at the end of April 30, 2021 will be split among the loads and exporters based on the total dollar amount of provincial transmission charges and export transmission charges collected from the market from November 1, 2020 to April 30, 2021. Similarly, the surplus funds at the end of October 31, 2021 will be split based on the total dollar amount </w:t>
      </w:r>
      <w:r w:rsidRPr="00D05405">
        <w:rPr>
          <w:color w:val="auto"/>
          <w:sz w:val="22"/>
          <w:szCs w:val="22"/>
        </w:rPr>
        <w:t xml:space="preserve">of provincial transmission charges and export transmission charges </w:t>
      </w:r>
      <w:r>
        <w:rPr>
          <w:color w:val="auto"/>
          <w:sz w:val="22"/>
          <w:szCs w:val="22"/>
        </w:rPr>
        <w:t>collected from the market from May 1, 2021 – October 31, 2021.</w:t>
      </w:r>
    </w:p>
    <w:p w14:paraId="68AA4588" w14:textId="6F88F011" w:rsidR="001B373D" w:rsidRPr="00596F14" w:rsidRDefault="001B373D" w:rsidP="001B373D">
      <w:pPr>
        <w:pStyle w:val="Default"/>
        <w:spacing w:before="120" w:after="120"/>
        <w:rPr>
          <w:color w:val="auto"/>
          <w:sz w:val="22"/>
          <w:szCs w:val="22"/>
        </w:rPr>
      </w:pPr>
      <w:r>
        <w:rPr>
          <w:color w:val="auto"/>
          <w:sz w:val="22"/>
          <w:szCs w:val="22"/>
        </w:rPr>
        <w:t xml:space="preserve">Each class of funds will then be </w:t>
      </w:r>
      <w:r w:rsidRPr="00596F14">
        <w:rPr>
          <w:color w:val="auto"/>
          <w:sz w:val="22"/>
          <w:szCs w:val="22"/>
        </w:rPr>
        <w:t xml:space="preserve">settled as a single payout based on the total allocated quantity of </w:t>
      </w:r>
      <w:r w:rsidRPr="00596F14">
        <w:rPr>
          <w:i/>
          <w:color w:val="auto"/>
          <w:sz w:val="22"/>
          <w:szCs w:val="22"/>
        </w:rPr>
        <w:t>energy</w:t>
      </w:r>
      <w:r w:rsidRPr="00596F14">
        <w:rPr>
          <w:color w:val="auto"/>
          <w:sz w:val="22"/>
          <w:szCs w:val="22"/>
        </w:rPr>
        <w:t xml:space="preserve"> withdrawn over a six </w:t>
      </w:r>
      <w:r>
        <w:rPr>
          <w:color w:val="auto"/>
          <w:sz w:val="22"/>
          <w:szCs w:val="22"/>
        </w:rPr>
        <w:t xml:space="preserve">(6) </w:t>
      </w:r>
      <w:r w:rsidRPr="00596F14">
        <w:rPr>
          <w:color w:val="auto"/>
          <w:sz w:val="22"/>
          <w:szCs w:val="22"/>
        </w:rPr>
        <w:t>month prior period</w:t>
      </w:r>
      <w:r>
        <w:rPr>
          <w:color w:val="auto"/>
          <w:sz w:val="22"/>
          <w:szCs w:val="22"/>
        </w:rPr>
        <w:t xml:space="preserve"> (“look-back period”)</w:t>
      </w:r>
      <w:r w:rsidRPr="00596F14">
        <w:rPr>
          <w:color w:val="auto"/>
          <w:sz w:val="22"/>
          <w:szCs w:val="22"/>
        </w:rPr>
        <w:t xml:space="preserve">, or as directed by the </w:t>
      </w:r>
      <w:r w:rsidRPr="00295A7A">
        <w:rPr>
          <w:i/>
          <w:color w:val="auto"/>
          <w:sz w:val="22"/>
          <w:szCs w:val="22"/>
        </w:rPr>
        <w:t>IESO Board</w:t>
      </w:r>
      <w:r w:rsidRPr="00596F14">
        <w:rPr>
          <w:color w:val="auto"/>
          <w:sz w:val="22"/>
          <w:szCs w:val="22"/>
        </w:rPr>
        <w:t>.</w:t>
      </w:r>
      <w:r>
        <w:rPr>
          <w:color w:val="auto"/>
          <w:sz w:val="22"/>
          <w:szCs w:val="22"/>
        </w:rPr>
        <w:t xml:space="preserve"> The surplus funds allocated to loads are distributed based on the </w:t>
      </w:r>
      <w:r w:rsidRPr="00295A7A">
        <w:rPr>
          <w:i/>
          <w:color w:val="auto"/>
          <w:sz w:val="22"/>
          <w:szCs w:val="22"/>
        </w:rPr>
        <w:t>energy</w:t>
      </w:r>
      <w:r>
        <w:rPr>
          <w:color w:val="auto"/>
          <w:sz w:val="22"/>
          <w:szCs w:val="22"/>
        </w:rPr>
        <w:t xml:space="preserve"> withdrawn at all </w:t>
      </w:r>
      <w:r w:rsidRPr="00234F1B">
        <w:rPr>
          <w:i/>
          <w:color w:val="auto"/>
          <w:sz w:val="22"/>
          <w:szCs w:val="22"/>
        </w:rPr>
        <w:t>RWM</w:t>
      </w:r>
      <w:r>
        <w:rPr>
          <w:color w:val="auto"/>
          <w:sz w:val="22"/>
          <w:szCs w:val="22"/>
        </w:rPr>
        <w:t xml:space="preserve">s excluding any </w:t>
      </w:r>
      <w:r w:rsidRPr="00234F1B">
        <w:rPr>
          <w:i/>
          <w:color w:val="auto"/>
          <w:sz w:val="22"/>
          <w:szCs w:val="22"/>
        </w:rPr>
        <w:t>intertie metering</w:t>
      </w:r>
      <w:r>
        <w:rPr>
          <w:color w:val="auto"/>
          <w:sz w:val="22"/>
          <w:szCs w:val="22"/>
        </w:rPr>
        <w:t xml:space="preserve"> </w:t>
      </w:r>
      <w:r w:rsidRPr="00234F1B">
        <w:rPr>
          <w:i/>
          <w:color w:val="auto"/>
          <w:sz w:val="22"/>
          <w:szCs w:val="22"/>
        </w:rPr>
        <w:t>points</w:t>
      </w:r>
      <w:r>
        <w:rPr>
          <w:i/>
          <w:color w:val="auto"/>
          <w:sz w:val="22"/>
          <w:szCs w:val="22"/>
        </w:rPr>
        <w:t xml:space="preserve">. </w:t>
      </w:r>
      <w:r w:rsidRPr="00234F1B">
        <w:rPr>
          <w:color w:val="auto"/>
          <w:sz w:val="22"/>
          <w:szCs w:val="22"/>
        </w:rPr>
        <w:t>The surplus funds</w:t>
      </w:r>
      <w:r>
        <w:rPr>
          <w:color w:val="auto"/>
          <w:sz w:val="22"/>
          <w:szCs w:val="22"/>
        </w:rPr>
        <w:t xml:space="preserve"> allocated to exporters are distributed based on the </w:t>
      </w:r>
      <w:r w:rsidRPr="00295A7A">
        <w:rPr>
          <w:i/>
          <w:color w:val="auto"/>
          <w:sz w:val="22"/>
          <w:szCs w:val="22"/>
        </w:rPr>
        <w:t>energy</w:t>
      </w:r>
      <w:r>
        <w:rPr>
          <w:color w:val="auto"/>
          <w:sz w:val="22"/>
          <w:szCs w:val="22"/>
        </w:rPr>
        <w:t xml:space="preserve"> withdrawn at all </w:t>
      </w:r>
      <w:r w:rsidRPr="00234F1B">
        <w:rPr>
          <w:i/>
          <w:color w:val="auto"/>
          <w:sz w:val="22"/>
          <w:szCs w:val="22"/>
        </w:rPr>
        <w:t>intertie metering points</w:t>
      </w:r>
      <w:r>
        <w:rPr>
          <w:color w:val="auto"/>
          <w:sz w:val="22"/>
          <w:szCs w:val="22"/>
        </w:rPr>
        <w:t>.</w:t>
      </w:r>
      <w:r w:rsidRPr="00596F14">
        <w:rPr>
          <w:color w:val="auto"/>
          <w:sz w:val="22"/>
          <w:szCs w:val="22"/>
        </w:rPr>
        <w:t xml:space="preserve">  The disbursement will be distributed to </w:t>
      </w:r>
      <w:r w:rsidRPr="00596F14">
        <w:rPr>
          <w:i/>
          <w:color w:val="auto"/>
          <w:sz w:val="22"/>
          <w:szCs w:val="22"/>
        </w:rPr>
        <w:t>market participants</w:t>
      </w:r>
      <w:r w:rsidRPr="00596F14">
        <w:rPr>
          <w:color w:val="auto"/>
          <w:sz w:val="22"/>
          <w:szCs w:val="22"/>
        </w:rPr>
        <w:t xml:space="preserve"> as a non-hourly </w:t>
      </w:r>
      <w:r w:rsidRPr="00596F14">
        <w:rPr>
          <w:i/>
          <w:color w:val="auto"/>
          <w:sz w:val="22"/>
          <w:szCs w:val="22"/>
        </w:rPr>
        <w:t>settlement amount</w:t>
      </w:r>
      <w:r w:rsidRPr="00596F14">
        <w:rPr>
          <w:color w:val="auto"/>
          <w:sz w:val="22"/>
          <w:szCs w:val="22"/>
        </w:rPr>
        <w:t xml:space="preserve"> on a month-end </w:t>
      </w:r>
      <w:r w:rsidRPr="00295A7A">
        <w:rPr>
          <w:i/>
          <w:color w:val="auto"/>
          <w:sz w:val="22"/>
          <w:szCs w:val="22"/>
        </w:rPr>
        <w:t>preliminary</w:t>
      </w:r>
      <w:r w:rsidRPr="00596F14">
        <w:rPr>
          <w:color w:val="auto"/>
          <w:sz w:val="22"/>
          <w:szCs w:val="22"/>
        </w:rPr>
        <w:t xml:space="preserve"> and </w:t>
      </w:r>
      <w:r w:rsidRPr="00596F14">
        <w:rPr>
          <w:i/>
          <w:color w:val="auto"/>
          <w:sz w:val="22"/>
          <w:szCs w:val="22"/>
        </w:rPr>
        <w:t>final settlement statement</w:t>
      </w:r>
      <w:r w:rsidRPr="00596F14">
        <w:rPr>
          <w:color w:val="auto"/>
          <w:sz w:val="22"/>
          <w:szCs w:val="22"/>
        </w:rPr>
        <w:t xml:space="preserve"> as </w:t>
      </w:r>
      <w:r w:rsidRPr="00596F14">
        <w:rPr>
          <w:i/>
          <w:color w:val="auto"/>
          <w:sz w:val="22"/>
          <w:szCs w:val="22"/>
        </w:rPr>
        <w:t>charge type</w:t>
      </w:r>
      <w:r w:rsidRPr="00596F14">
        <w:rPr>
          <w:color w:val="auto"/>
          <w:sz w:val="22"/>
          <w:szCs w:val="22"/>
        </w:rPr>
        <w:t xml:space="preserve"> 102 “TR Clearing Account Credit” as per Chapter 9, section </w:t>
      </w:r>
      <w:r>
        <w:rPr>
          <w:color w:val="auto"/>
          <w:sz w:val="22"/>
          <w:szCs w:val="22"/>
        </w:rPr>
        <w:t>4.7</w:t>
      </w:r>
      <w:r w:rsidRPr="00596F14">
        <w:rPr>
          <w:color w:val="auto"/>
          <w:sz w:val="22"/>
          <w:szCs w:val="22"/>
        </w:rPr>
        <w:t xml:space="preserve"> of the </w:t>
      </w:r>
      <w:r w:rsidRPr="00596F14">
        <w:rPr>
          <w:i/>
          <w:color w:val="auto"/>
          <w:sz w:val="22"/>
          <w:szCs w:val="22"/>
        </w:rPr>
        <w:t>market rules</w:t>
      </w:r>
      <w:r w:rsidRPr="00596F14">
        <w:rPr>
          <w:color w:val="auto"/>
          <w:sz w:val="22"/>
          <w:szCs w:val="22"/>
        </w:rPr>
        <w:t>.</w:t>
      </w:r>
    </w:p>
    <w:p w14:paraId="673A5443" w14:textId="77777777" w:rsidR="001B373D" w:rsidRPr="00EA3B01" w:rsidRDefault="001B373D" w:rsidP="001B373D">
      <w:pPr>
        <w:pStyle w:val="Default"/>
      </w:pPr>
      <w:r>
        <w:rPr>
          <w:color w:val="auto"/>
          <w:sz w:val="22"/>
          <w:szCs w:val="22"/>
        </w:rPr>
        <w:t xml:space="preserve">For example, disbursement of the surplus funds available at the end of April 30, 2021 will be </w:t>
      </w:r>
      <w:r w:rsidRPr="00596F14">
        <w:rPr>
          <w:color w:val="auto"/>
          <w:sz w:val="22"/>
          <w:szCs w:val="22"/>
        </w:rPr>
        <w:t xml:space="preserve">applied to the </w:t>
      </w:r>
      <w:r w:rsidRPr="00234F1B">
        <w:rPr>
          <w:i/>
          <w:color w:val="auto"/>
          <w:sz w:val="22"/>
          <w:szCs w:val="22"/>
        </w:rPr>
        <w:t>market participants</w:t>
      </w:r>
      <w:r>
        <w:rPr>
          <w:color w:val="auto"/>
          <w:sz w:val="22"/>
          <w:szCs w:val="22"/>
        </w:rPr>
        <w:t xml:space="preserve">’ May 31, 2021 </w:t>
      </w:r>
      <w:r w:rsidRPr="00596F14">
        <w:rPr>
          <w:i/>
          <w:color w:val="auto"/>
          <w:sz w:val="22"/>
          <w:szCs w:val="22"/>
        </w:rPr>
        <w:t>preliminary settlement statement</w:t>
      </w:r>
      <w:r w:rsidRPr="00596F14">
        <w:rPr>
          <w:color w:val="auto"/>
          <w:sz w:val="22"/>
          <w:szCs w:val="22"/>
        </w:rPr>
        <w:t xml:space="preserve">, based on their total allocated quantity of </w:t>
      </w:r>
      <w:r w:rsidRPr="00596F14">
        <w:rPr>
          <w:i/>
          <w:color w:val="auto"/>
          <w:sz w:val="22"/>
          <w:szCs w:val="22"/>
        </w:rPr>
        <w:t>energy</w:t>
      </w:r>
      <w:r w:rsidRPr="00596F14">
        <w:rPr>
          <w:color w:val="auto"/>
          <w:sz w:val="22"/>
          <w:szCs w:val="22"/>
        </w:rPr>
        <w:t xml:space="preserve"> withdrawn over the six</w:t>
      </w:r>
      <w:r>
        <w:rPr>
          <w:color w:val="auto"/>
          <w:sz w:val="22"/>
          <w:szCs w:val="22"/>
        </w:rPr>
        <w:t xml:space="preserve"> (6)</w:t>
      </w:r>
      <w:r w:rsidRPr="00596F14">
        <w:rPr>
          <w:color w:val="auto"/>
          <w:sz w:val="22"/>
          <w:szCs w:val="22"/>
        </w:rPr>
        <w:t xml:space="preserve"> month </w:t>
      </w:r>
      <w:r>
        <w:rPr>
          <w:color w:val="auto"/>
          <w:sz w:val="22"/>
          <w:szCs w:val="22"/>
        </w:rPr>
        <w:t xml:space="preserve">look-back </w:t>
      </w:r>
      <w:r w:rsidRPr="00596F14">
        <w:rPr>
          <w:color w:val="auto"/>
          <w:sz w:val="22"/>
          <w:szCs w:val="22"/>
        </w:rPr>
        <w:t xml:space="preserve">period of </w:t>
      </w:r>
      <w:r>
        <w:rPr>
          <w:color w:val="auto"/>
          <w:sz w:val="22"/>
          <w:szCs w:val="22"/>
        </w:rPr>
        <w:t>December</w:t>
      </w:r>
      <w:r w:rsidRPr="00596F14">
        <w:rPr>
          <w:color w:val="auto"/>
          <w:sz w:val="22"/>
          <w:szCs w:val="22"/>
        </w:rPr>
        <w:t xml:space="preserve"> 1, 20</w:t>
      </w:r>
      <w:r>
        <w:rPr>
          <w:color w:val="auto"/>
          <w:sz w:val="22"/>
          <w:szCs w:val="22"/>
        </w:rPr>
        <w:t>20</w:t>
      </w:r>
      <w:r w:rsidRPr="00596F14">
        <w:rPr>
          <w:color w:val="auto"/>
          <w:sz w:val="22"/>
          <w:szCs w:val="22"/>
        </w:rPr>
        <w:t xml:space="preserve"> to </w:t>
      </w:r>
      <w:r>
        <w:rPr>
          <w:color w:val="auto"/>
          <w:sz w:val="22"/>
          <w:szCs w:val="22"/>
        </w:rPr>
        <w:t>May</w:t>
      </w:r>
      <w:r w:rsidRPr="00596F14">
        <w:rPr>
          <w:color w:val="auto"/>
          <w:sz w:val="22"/>
          <w:szCs w:val="22"/>
        </w:rPr>
        <w:t xml:space="preserve"> 3</w:t>
      </w:r>
      <w:r>
        <w:rPr>
          <w:color w:val="auto"/>
          <w:sz w:val="22"/>
          <w:szCs w:val="22"/>
        </w:rPr>
        <w:t>1</w:t>
      </w:r>
      <w:r w:rsidRPr="00596F14">
        <w:rPr>
          <w:color w:val="auto"/>
          <w:sz w:val="22"/>
          <w:szCs w:val="22"/>
        </w:rPr>
        <w:t>, 20</w:t>
      </w:r>
      <w:r>
        <w:rPr>
          <w:color w:val="auto"/>
          <w:sz w:val="22"/>
          <w:szCs w:val="22"/>
        </w:rPr>
        <w:t>21</w:t>
      </w:r>
      <w:r w:rsidRPr="00596F14">
        <w:rPr>
          <w:color w:val="auto"/>
          <w:sz w:val="22"/>
          <w:szCs w:val="22"/>
        </w:rPr>
        <w:t>.</w:t>
      </w:r>
      <w:r>
        <w:rPr>
          <w:color w:val="auto"/>
          <w:sz w:val="22"/>
          <w:szCs w:val="22"/>
        </w:rPr>
        <w:t xml:space="preserve"> Similarly, disbursement of the surplus funds at the end of October 31, 2021 will be applied to </w:t>
      </w:r>
      <w:r>
        <w:rPr>
          <w:i/>
          <w:color w:val="auto"/>
          <w:sz w:val="22"/>
          <w:szCs w:val="22"/>
        </w:rPr>
        <w:t>market participants’</w:t>
      </w:r>
      <w:r>
        <w:rPr>
          <w:color w:val="auto"/>
          <w:sz w:val="22"/>
          <w:szCs w:val="22"/>
        </w:rPr>
        <w:t xml:space="preserve"> November 30, 2021 </w:t>
      </w:r>
      <w:r w:rsidRPr="00B82C9B">
        <w:rPr>
          <w:i/>
          <w:color w:val="auto"/>
          <w:sz w:val="22"/>
          <w:szCs w:val="22"/>
        </w:rPr>
        <w:t xml:space="preserve">preliminary </w:t>
      </w:r>
      <w:r w:rsidRPr="00B45B0E">
        <w:rPr>
          <w:color w:val="auto"/>
          <w:sz w:val="22"/>
          <w:szCs w:val="22"/>
        </w:rPr>
        <w:t>and</w:t>
      </w:r>
      <w:r>
        <w:rPr>
          <w:i/>
          <w:color w:val="auto"/>
          <w:sz w:val="22"/>
          <w:szCs w:val="22"/>
        </w:rPr>
        <w:t xml:space="preserve"> final </w:t>
      </w:r>
      <w:r w:rsidRPr="00B82C9B">
        <w:rPr>
          <w:i/>
          <w:color w:val="auto"/>
          <w:sz w:val="22"/>
          <w:szCs w:val="22"/>
        </w:rPr>
        <w:t>settlement statement</w:t>
      </w:r>
      <w:r>
        <w:rPr>
          <w:i/>
          <w:color w:val="auto"/>
          <w:sz w:val="22"/>
          <w:szCs w:val="22"/>
        </w:rPr>
        <w:t>s</w:t>
      </w:r>
      <w:r>
        <w:rPr>
          <w:color w:val="auto"/>
          <w:sz w:val="22"/>
          <w:szCs w:val="22"/>
        </w:rPr>
        <w:t xml:space="preserve"> based on their total allocated quantity of </w:t>
      </w:r>
      <w:r w:rsidRPr="00B82C9B">
        <w:rPr>
          <w:i/>
          <w:color w:val="auto"/>
          <w:sz w:val="22"/>
          <w:szCs w:val="22"/>
        </w:rPr>
        <w:t xml:space="preserve">energy </w:t>
      </w:r>
      <w:r>
        <w:rPr>
          <w:color w:val="auto"/>
          <w:sz w:val="22"/>
          <w:szCs w:val="22"/>
        </w:rPr>
        <w:t>withdrawn over the six (6) month look-back period of June 1, 2021 to November 30, 2021.</w:t>
      </w:r>
      <w:r w:rsidRPr="0061777D" w:rsidDel="00F10E8A">
        <w:rPr>
          <w:color w:val="000000" w:themeColor="text1"/>
          <w:szCs w:val="22"/>
        </w:rPr>
        <w:t xml:space="preserve"> </w:t>
      </w:r>
    </w:p>
    <w:p w14:paraId="2550F452" w14:textId="77777777" w:rsidR="00DC5B9C" w:rsidRPr="003E560F" w:rsidRDefault="00DC5B9C" w:rsidP="006672C6">
      <w:pPr>
        <w:pStyle w:val="Heading3"/>
      </w:pPr>
      <w:bookmarkStart w:id="1244" w:name="_Toc68157661"/>
      <w:bookmarkStart w:id="1245" w:name="_Toc68157975"/>
      <w:bookmarkStart w:id="1246" w:name="_Toc68162446"/>
      <w:bookmarkStart w:id="1247" w:name="_Toc69904247"/>
      <w:bookmarkStart w:id="1248" w:name="_Toc71535195"/>
      <w:bookmarkStart w:id="1249" w:name="_Toc67320814"/>
      <w:bookmarkStart w:id="1250" w:name="_Toc67320927"/>
      <w:bookmarkStart w:id="1251" w:name="_Toc67560457"/>
      <w:bookmarkStart w:id="1252" w:name="_Toc68157664"/>
      <w:bookmarkStart w:id="1253" w:name="_Toc68157978"/>
      <w:bookmarkStart w:id="1254" w:name="_Toc68162449"/>
      <w:bookmarkStart w:id="1255" w:name="_Toc69904250"/>
      <w:bookmarkStart w:id="1256" w:name="_Toc71535198"/>
      <w:bookmarkStart w:id="1257" w:name="_Toc35796357"/>
      <w:bookmarkStart w:id="1258" w:name="_Toc79657959"/>
      <w:bookmarkEnd w:id="1244"/>
      <w:bookmarkEnd w:id="1245"/>
      <w:bookmarkEnd w:id="1246"/>
      <w:bookmarkEnd w:id="1247"/>
      <w:bookmarkEnd w:id="1248"/>
      <w:bookmarkEnd w:id="1249"/>
      <w:bookmarkEnd w:id="1250"/>
      <w:bookmarkEnd w:id="1251"/>
      <w:bookmarkEnd w:id="1252"/>
      <w:bookmarkEnd w:id="1253"/>
      <w:bookmarkEnd w:id="1254"/>
      <w:bookmarkEnd w:id="1255"/>
      <w:bookmarkEnd w:id="1256"/>
      <w:r w:rsidRPr="003E560F">
        <w:t>Limiting Constrained-off CMSC to Interties</w:t>
      </w:r>
      <w:bookmarkEnd w:id="1257"/>
      <w:bookmarkEnd w:id="1258"/>
    </w:p>
    <w:p w14:paraId="2DB9C262" w14:textId="77777777" w:rsidR="00DC5B9C" w:rsidRPr="00596F14" w:rsidRDefault="00DC5B9C" w:rsidP="00DC5B9C">
      <w:pPr>
        <w:pStyle w:val="Default"/>
        <w:spacing w:after="240"/>
        <w:rPr>
          <w:color w:val="auto"/>
          <w:sz w:val="22"/>
          <w:szCs w:val="22"/>
        </w:rPr>
      </w:pPr>
      <w:r w:rsidRPr="00596F14">
        <w:rPr>
          <w:color w:val="auto"/>
          <w:sz w:val="22"/>
          <w:szCs w:val="22"/>
        </w:rPr>
        <w:t xml:space="preserve">If you are a </w:t>
      </w:r>
      <w:r w:rsidRPr="00596F14">
        <w:rPr>
          <w:i/>
          <w:iCs/>
          <w:color w:val="auto"/>
          <w:sz w:val="22"/>
          <w:szCs w:val="22"/>
        </w:rPr>
        <w:t xml:space="preserve">market participant </w:t>
      </w:r>
      <w:r w:rsidRPr="00596F14">
        <w:rPr>
          <w:color w:val="auto"/>
          <w:sz w:val="22"/>
          <w:szCs w:val="22"/>
        </w:rPr>
        <w:t xml:space="preserve">that has offered to inject or withdraw </w:t>
      </w:r>
      <w:r w:rsidRPr="00596F14">
        <w:rPr>
          <w:i/>
          <w:iCs/>
          <w:color w:val="auto"/>
          <w:sz w:val="22"/>
          <w:szCs w:val="22"/>
        </w:rPr>
        <w:t xml:space="preserve">energy </w:t>
      </w:r>
      <w:r w:rsidRPr="00596F14">
        <w:rPr>
          <w:color w:val="auto"/>
          <w:sz w:val="22"/>
          <w:szCs w:val="22"/>
        </w:rPr>
        <w:t xml:space="preserve">over an </w:t>
      </w:r>
      <w:r w:rsidRPr="00596F14">
        <w:rPr>
          <w:i/>
          <w:iCs/>
          <w:color w:val="auto"/>
          <w:sz w:val="22"/>
          <w:szCs w:val="22"/>
        </w:rPr>
        <w:t>intertie</w:t>
      </w:r>
      <w:r w:rsidRPr="00596F14">
        <w:rPr>
          <w:color w:val="auto"/>
          <w:sz w:val="22"/>
          <w:szCs w:val="22"/>
        </w:rPr>
        <w:t xml:space="preserve">, you may have been </w:t>
      </w:r>
      <w:r w:rsidRPr="00596F14">
        <w:rPr>
          <w:iCs/>
          <w:color w:val="auto"/>
          <w:sz w:val="22"/>
          <w:szCs w:val="22"/>
        </w:rPr>
        <w:t>constrained off</w:t>
      </w:r>
      <w:r w:rsidRPr="00596F14">
        <w:rPr>
          <w:i/>
          <w:iCs/>
          <w:color w:val="auto"/>
          <w:sz w:val="22"/>
          <w:szCs w:val="22"/>
        </w:rPr>
        <w:t xml:space="preserve"> </w:t>
      </w:r>
      <w:r w:rsidRPr="00596F14">
        <w:rPr>
          <w:color w:val="auto"/>
          <w:sz w:val="22"/>
          <w:szCs w:val="22"/>
        </w:rPr>
        <w:t xml:space="preserve">by the </w:t>
      </w:r>
      <w:r w:rsidRPr="00596F14">
        <w:rPr>
          <w:i/>
          <w:iCs/>
          <w:color w:val="auto"/>
          <w:sz w:val="22"/>
          <w:szCs w:val="22"/>
        </w:rPr>
        <w:t xml:space="preserve">IESO </w:t>
      </w:r>
      <w:r w:rsidRPr="00596F14">
        <w:rPr>
          <w:color w:val="auto"/>
          <w:sz w:val="22"/>
          <w:szCs w:val="22"/>
        </w:rPr>
        <w:t xml:space="preserve">and may be eligible for </w:t>
      </w:r>
      <w:r w:rsidRPr="00596F14">
        <w:rPr>
          <w:iCs/>
          <w:color w:val="auto"/>
          <w:sz w:val="22"/>
          <w:szCs w:val="22"/>
        </w:rPr>
        <w:t>constrained off</w:t>
      </w:r>
      <w:r w:rsidRPr="00596F14">
        <w:rPr>
          <w:i/>
          <w:iCs/>
          <w:color w:val="auto"/>
          <w:sz w:val="22"/>
          <w:szCs w:val="22"/>
        </w:rPr>
        <w:t xml:space="preserve"> </w:t>
      </w:r>
      <w:r w:rsidRPr="00596F14">
        <w:rPr>
          <w:color w:val="auto"/>
          <w:sz w:val="22"/>
          <w:szCs w:val="22"/>
        </w:rPr>
        <w:t xml:space="preserve">congestion management </w:t>
      </w:r>
      <w:r w:rsidRPr="00596F14">
        <w:rPr>
          <w:i/>
          <w:iCs/>
          <w:color w:val="auto"/>
          <w:sz w:val="22"/>
          <w:szCs w:val="22"/>
        </w:rPr>
        <w:t xml:space="preserve">settlement </w:t>
      </w:r>
      <w:r w:rsidRPr="00596F14">
        <w:rPr>
          <w:color w:val="auto"/>
          <w:sz w:val="22"/>
          <w:szCs w:val="22"/>
        </w:rPr>
        <w:t xml:space="preserve">credit (CMSC) payments from the Ontario marketplace. Under section 3.5.10, Chapter 9 of the </w:t>
      </w:r>
      <w:r w:rsidRPr="00596F14">
        <w:rPr>
          <w:i/>
          <w:color w:val="auto"/>
          <w:sz w:val="22"/>
          <w:szCs w:val="22"/>
        </w:rPr>
        <w:t>market rules</w:t>
      </w:r>
      <w:r w:rsidRPr="00596F14">
        <w:rPr>
          <w:color w:val="auto"/>
          <w:sz w:val="22"/>
          <w:szCs w:val="22"/>
        </w:rPr>
        <w:t xml:space="preserve">, the </w:t>
      </w:r>
      <w:r w:rsidRPr="00596F14">
        <w:rPr>
          <w:i/>
          <w:color w:val="auto"/>
          <w:sz w:val="22"/>
          <w:szCs w:val="22"/>
        </w:rPr>
        <w:t>IESO</w:t>
      </w:r>
      <w:r w:rsidRPr="00596F14">
        <w:rPr>
          <w:color w:val="auto"/>
          <w:sz w:val="22"/>
          <w:szCs w:val="22"/>
        </w:rPr>
        <w:t xml:space="preserve"> will withhold or recover these </w:t>
      </w:r>
      <w:r w:rsidRPr="00596F14">
        <w:rPr>
          <w:i/>
          <w:color w:val="auto"/>
          <w:sz w:val="22"/>
          <w:szCs w:val="22"/>
        </w:rPr>
        <w:t>constrained-</w:t>
      </w:r>
      <w:r w:rsidRPr="00596F14">
        <w:rPr>
          <w:color w:val="auto"/>
          <w:sz w:val="22"/>
          <w:szCs w:val="22"/>
        </w:rPr>
        <w:t xml:space="preserve">off CMSC payments if the </w:t>
      </w:r>
      <w:r w:rsidRPr="00596F14">
        <w:rPr>
          <w:i/>
          <w:color w:val="auto"/>
          <w:sz w:val="22"/>
          <w:szCs w:val="22"/>
        </w:rPr>
        <w:t>intertie</w:t>
      </w:r>
      <w:r w:rsidRPr="00596F14">
        <w:rPr>
          <w:color w:val="auto"/>
          <w:sz w:val="22"/>
          <w:szCs w:val="22"/>
        </w:rPr>
        <w:t xml:space="preserve"> transaction was constrained-off in the final pre-dispatch run prior to the </w:t>
      </w:r>
      <w:r w:rsidRPr="00596F14">
        <w:rPr>
          <w:i/>
          <w:color w:val="auto"/>
          <w:sz w:val="22"/>
          <w:szCs w:val="22"/>
        </w:rPr>
        <w:t>dispatch hour</w:t>
      </w:r>
      <w:r w:rsidRPr="00596F14">
        <w:rPr>
          <w:color w:val="auto"/>
          <w:sz w:val="22"/>
          <w:szCs w:val="22"/>
        </w:rPr>
        <w:t xml:space="preserve">.  However, a </w:t>
      </w:r>
      <w:r w:rsidRPr="00596F14">
        <w:rPr>
          <w:i/>
          <w:color w:val="auto"/>
          <w:sz w:val="22"/>
          <w:szCs w:val="22"/>
        </w:rPr>
        <w:t>market participant</w:t>
      </w:r>
      <w:r w:rsidRPr="00596F14">
        <w:rPr>
          <w:color w:val="auto"/>
          <w:sz w:val="22"/>
          <w:szCs w:val="22"/>
        </w:rPr>
        <w:t xml:space="preserve"> will continue to receive constrained-off CMSC for an </w:t>
      </w:r>
      <w:r w:rsidRPr="00596F14">
        <w:rPr>
          <w:i/>
          <w:color w:val="auto"/>
          <w:sz w:val="22"/>
          <w:szCs w:val="22"/>
        </w:rPr>
        <w:t>intertie transaction</w:t>
      </w:r>
      <w:r w:rsidRPr="00596F14">
        <w:rPr>
          <w:color w:val="auto"/>
          <w:sz w:val="22"/>
          <w:szCs w:val="22"/>
        </w:rPr>
        <w:t xml:space="preserve"> if the </w:t>
      </w:r>
      <w:r w:rsidRPr="00596F14">
        <w:rPr>
          <w:i/>
          <w:color w:val="auto"/>
          <w:sz w:val="22"/>
          <w:szCs w:val="22"/>
        </w:rPr>
        <w:t>intertie transaction</w:t>
      </w:r>
      <w:r w:rsidRPr="00596F14">
        <w:rPr>
          <w:color w:val="auto"/>
          <w:sz w:val="22"/>
          <w:szCs w:val="22"/>
        </w:rPr>
        <w:t xml:space="preserve"> was constrained-off manually by the </w:t>
      </w:r>
      <w:r w:rsidRPr="00596F14">
        <w:rPr>
          <w:i/>
          <w:color w:val="auto"/>
          <w:sz w:val="22"/>
          <w:szCs w:val="22"/>
        </w:rPr>
        <w:t>IESO</w:t>
      </w:r>
      <w:r w:rsidRPr="00596F14">
        <w:rPr>
          <w:color w:val="auto"/>
          <w:sz w:val="22"/>
          <w:szCs w:val="22"/>
        </w:rPr>
        <w:t xml:space="preserve"> for the purpose of Ontario </w:t>
      </w:r>
      <w:r w:rsidRPr="00596F14">
        <w:rPr>
          <w:i/>
          <w:color w:val="auto"/>
          <w:sz w:val="22"/>
          <w:szCs w:val="22"/>
        </w:rPr>
        <w:t>reliability</w:t>
      </w:r>
      <w:r w:rsidRPr="00596F14">
        <w:rPr>
          <w:color w:val="auto"/>
          <w:sz w:val="22"/>
          <w:szCs w:val="22"/>
        </w:rPr>
        <w:t xml:space="preserve"> after the final pre-dispatch run.</w:t>
      </w:r>
    </w:p>
    <w:p w14:paraId="4A630636" w14:textId="77777777" w:rsidR="00DC5B9C" w:rsidRPr="003E560F" w:rsidRDefault="00DC5B9C" w:rsidP="00133618">
      <w:pPr>
        <w:pStyle w:val="Heading4"/>
      </w:pPr>
      <w:r w:rsidRPr="003E560F">
        <w:t>Interaction between Negative CMSC and IOG</w:t>
      </w:r>
    </w:p>
    <w:p w14:paraId="53F232F0" w14:textId="77777777" w:rsidR="00AC7BF0" w:rsidRDefault="00DC5B9C" w:rsidP="00725238">
      <w:pPr>
        <w:pStyle w:val="Default"/>
        <w:spacing w:before="120" w:after="120"/>
        <w:rPr>
          <w:color w:val="auto"/>
          <w:sz w:val="22"/>
          <w:szCs w:val="22"/>
        </w:rPr>
      </w:pPr>
      <w:r w:rsidRPr="00596F14">
        <w:rPr>
          <w:color w:val="auto"/>
          <w:sz w:val="22"/>
          <w:szCs w:val="22"/>
        </w:rPr>
        <w:t xml:space="preserve">Negative CMSC currently offsets </w:t>
      </w:r>
      <w:r w:rsidRPr="00596F14">
        <w:rPr>
          <w:i/>
          <w:color w:val="auto"/>
          <w:sz w:val="22"/>
          <w:szCs w:val="22"/>
        </w:rPr>
        <w:t>intertie</w:t>
      </w:r>
      <w:r w:rsidRPr="00596F14">
        <w:rPr>
          <w:color w:val="auto"/>
          <w:sz w:val="22"/>
          <w:szCs w:val="22"/>
        </w:rPr>
        <w:t xml:space="preserve"> </w:t>
      </w:r>
      <w:r w:rsidRPr="00596F14">
        <w:rPr>
          <w:i/>
          <w:color w:val="auto"/>
          <w:sz w:val="22"/>
          <w:szCs w:val="22"/>
        </w:rPr>
        <w:t>offer</w:t>
      </w:r>
      <w:r w:rsidRPr="00596F14">
        <w:rPr>
          <w:color w:val="auto"/>
          <w:sz w:val="22"/>
          <w:szCs w:val="22"/>
        </w:rPr>
        <w:t xml:space="preserve"> guarantee (IOG) payments for eligible import transactions when constrained-off.  Therefore, if you are a </w:t>
      </w:r>
      <w:r w:rsidRPr="00596F14">
        <w:rPr>
          <w:i/>
          <w:color w:val="auto"/>
          <w:sz w:val="22"/>
          <w:szCs w:val="22"/>
        </w:rPr>
        <w:t>market participant</w:t>
      </w:r>
      <w:r w:rsidRPr="00596F14">
        <w:rPr>
          <w:color w:val="auto"/>
          <w:sz w:val="22"/>
          <w:szCs w:val="22"/>
        </w:rPr>
        <w:t xml:space="preserve"> that has offered to inject over an </w:t>
      </w:r>
      <w:r w:rsidRPr="00596F14">
        <w:rPr>
          <w:i/>
          <w:color w:val="auto"/>
          <w:sz w:val="22"/>
          <w:szCs w:val="22"/>
        </w:rPr>
        <w:t xml:space="preserve">intertie </w:t>
      </w:r>
      <w:r w:rsidRPr="00596F14">
        <w:rPr>
          <w:color w:val="auto"/>
          <w:sz w:val="22"/>
          <w:szCs w:val="22"/>
        </w:rPr>
        <w:t xml:space="preserve">and have received an IOG payment as defined in Chapter 9, section 3.8A of the </w:t>
      </w:r>
      <w:r w:rsidRPr="00596F14">
        <w:rPr>
          <w:i/>
          <w:color w:val="auto"/>
          <w:sz w:val="22"/>
          <w:szCs w:val="22"/>
        </w:rPr>
        <w:t>market rules</w:t>
      </w:r>
      <w:r w:rsidRPr="00596F14">
        <w:rPr>
          <w:color w:val="auto"/>
          <w:sz w:val="22"/>
          <w:szCs w:val="22"/>
        </w:rPr>
        <w:t>, you will continue to receive any applicable negative constrained-off CMSC charges.</w:t>
      </w:r>
    </w:p>
    <w:p w14:paraId="0D98FB8E" w14:textId="77777777" w:rsidR="0060024E" w:rsidRPr="00596F14" w:rsidRDefault="00AC7BF0" w:rsidP="00725238">
      <w:pPr>
        <w:spacing w:before="120" w:after="120"/>
        <w:rPr>
          <w:szCs w:val="22"/>
        </w:rPr>
      </w:pPr>
      <w:r>
        <w:rPr>
          <w:szCs w:val="22"/>
        </w:rPr>
        <w:t xml:space="preserve">If the import transaction was part of an implied linked wheel and you did not receive an IOG payment, you will continue to receive any applicable negative constrained-off CMSC charges as per section 3.5.10, Chapter 9 of the </w:t>
      </w:r>
      <w:r w:rsidRPr="00836E71">
        <w:rPr>
          <w:i/>
          <w:szCs w:val="22"/>
        </w:rPr>
        <w:t>market rules</w:t>
      </w:r>
      <w:r>
        <w:rPr>
          <w:szCs w:val="22"/>
        </w:rPr>
        <w:t>.</w:t>
      </w:r>
    </w:p>
    <w:p w14:paraId="40F72C4F" w14:textId="77777777" w:rsidR="00157BD7" w:rsidRPr="0029294E" w:rsidRDefault="00157BD7" w:rsidP="00157BD7">
      <w:pPr>
        <w:pStyle w:val="Heading3"/>
      </w:pPr>
      <w:bookmarkStart w:id="1259" w:name="_Toc35796358"/>
      <w:bookmarkStart w:id="1260" w:name="_Toc79657960"/>
      <w:r w:rsidRPr="0029294E">
        <w:t>Ontario Electricity Support Program</w:t>
      </w:r>
      <w:bookmarkEnd w:id="1259"/>
      <w:bookmarkEnd w:id="1260"/>
    </w:p>
    <w:p w14:paraId="656BB59A" w14:textId="77777777" w:rsidR="0068081C" w:rsidRPr="0068081C" w:rsidRDefault="0068081C" w:rsidP="0068081C">
      <w:pPr>
        <w:rPr>
          <w:szCs w:val="22"/>
          <w:highlight w:val="yellow"/>
        </w:rPr>
      </w:pPr>
      <w:r w:rsidRPr="0068081C">
        <w:rPr>
          <w:szCs w:val="22"/>
        </w:rPr>
        <w:t xml:space="preserve">The Ontario Electricity Support Program (OESP) was established by the Ministry of Energy to provide assistance to eligible low-income electricity </w:t>
      </w:r>
      <w:r w:rsidRPr="0068081C">
        <w:rPr>
          <w:i/>
          <w:szCs w:val="22"/>
        </w:rPr>
        <w:t>consumers</w:t>
      </w:r>
      <w:r w:rsidRPr="0068081C">
        <w:rPr>
          <w:szCs w:val="22"/>
        </w:rPr>
        <w:t xml:space="preserve"> following the conclusion of the Ontario Clean Energy Benefit (OCEB) on December 31, 2015. </w:t>
      </w:r>
      <w:r w:rsidR="00074DCE">
        <w:rPr>
          <w:szCs w:val="22"/>
        </w:rPr>
        <w:t xml:space="preserve"> </w:t>
      </w:r>
      <w:r w:rsidRPr="0068081C">
        <w:rPr>
          <w:szCs w:val="22"/>
        </w:rPr>
        <w:t xml:space="preserve">Based on income level and household size, the qualified low-income electricity </w:t>
      </w:r>
      <w:r w:rsidRPr="0068081C">
        <w:rPr>
          <w:i/>
          <w:szCs w:val="22"/>
        </w:rPr>
        <w:t>consumers</w:t>
      </w:r>
      <w:r w:rsidRPr="0068081C">
        <w:rPr>
          <w:szCs w:val="22"/>
        </w:rPr>
        <w:t xml:space="preserve"> will receive a predetermined credit on their electricity bills.</w:t>
      </w:r>
    </w:p>
    <w:p w14:paraId="7022CC27" w14:textId="77777777" w:rsidR="0068081C" w:rsidRPr="0068081C" w:rsidRDefault="009A45FB" w:rsidP="0068081C">
      <w:pPr>
        <w:rPr>
          <w:szCs w:val="22"/>
        </w:rPr>
      </w:pPr>
      <w:r w:rsidRPr="009D2AC4">
        <w:rPr>
          <w:szCs w:val="24"/>
        </w:rPr>
        <w:t xml:space="preserve">As described in the </w:t>
      </w:r>
      <w:hyperlink r:id="rId49" w:history="1">
        <w:r w:rsidRPr="009D2AC4">
          <w:rPr>
            <w:rStyle w:val="Hyperlink"/>
            <w:szCs w:val="24"/>
          </w:rPr>
          <w:t>Ontario Regulation 314/15</w:t>
        </w:r>
      </w:hyperlink>
      <w:r w:rsidRPr="009D2AC4">
        <w:rPr>
          <w:szCs w:val="24"/>
        </w:rPr>
        <w:t>,</w:t>
      </w:r>
      <w:r w:rsidRPr="00060CBA">
        <w:rPr>
          <w:szCs w:val="24"/>
        </w:rPr>
        <w:t xml:space="preserve"> </w:t>
      </w:r>
      <w:r>
        <w:rPr>
          <w:color w:val="000000"/>
          <w:szCs w:val="22"/>
        </w:rPr>
        <w:t>t</w:t>
      </w:r>
      <w:r w:rsidR="0068081C" w:rsidRPr="0068081C">
        <w:rPr>
          <w:color w:val="000000"/>
          <w:szCs w:val="22"/>
        </w:rPr>
        <w:t xml:space="preserve">he </w:t>
      </w:r>
      <w:r w:rsidR="0068081C" w:rsidRPr="0068081C">
        <w:rPr>
          <w:i/>
          <w:color w:val="000000"/>
          <w:szCs w:val="22"/>
        </w:rPr>
        <w:t>IESO</w:t>
      </w:r>
      <w:r w:rsidR="0068081C" w:rsidRPr="0068081C">
        <w:rPr>
          <w:color w:val="000000"/>
          <w:szCs w:val="22"/>
        </w:rPr>
        <w:t xml:space="preserve"> will distribute funds to </w:t>
      </w:r>
      <w:r w:rsidR="0068081C" w:rsidRPr="0068081C">
        <w:rPr>
          <w:i/>
          <w:color w:val="000000"/>
          <w:szCs w:val="22"/>
        </w:rPr>
        <w:t>distributors</w:t>
      </w:r>
      <w:r w:rsidR="0068081C" w:rsidRPr="0068081C">
        <w:rPr>
          <w:color w:val="000000"/>
          <w:szCs w:val="22"/>
        </w:rPr>
        <w:t xml:space="preserve"> and unit sub-meter providers</w:t>
      </w:r>
      <w:r w:rsidR="0068081C" w:rsidRPr="0068081C">
        <w:rPr>
          <w:szCs w:val="22"/>
        </w:rPr>
        <w:t xml:space="preserve"> for the OESP credits they have applied to eligible </w:t>
      </w:r>
      <w:r w:rsidR="0068081C" w:rsidRPr="0068081C">
        <w:rPr>
          <w:i/>
          <w:szCs w:val="22"/>
        </w:rPr>
        <w:t>consumers</w:t>
      </w:r>
      <w:r w:rsidR="0068081C" w:rsidRPr="0068081C">
        <w:rPr>
          <w:szCs w:val="22"/>
        </w:rPr>
        <w:t>’ bills and</w:t>
      </w:r>
      <w:r w:rsidR="0068081C" w:rsidRPr="0068081C">
        <w:rPr>
          <w:color w:val="000000"/>
          <w:szCs w:val="22"/>
        </w:rPr>
        <w:t xml:space="preserve"> compensate </w:t>
      </w:r>
      <w:r w:rsidR="0068081C" w:rsidRPr="0068081C">
        <w:rPr>
          <w:szCs w:val="22"/>
        </w:rPr>
        <w:t>service providers</w:t>
      </w:r>
      <w:r w:rsidR="0068081C" w:rsidRPr="009D2AC4">
        <w:rPr>
          <w:rStyle w:val="FootnoteReference"/>
          <w:szCs w:val="22"/>
        </w:rPr>
        <w:footnoteReference w:id="38"/>
      </w:r>
      <w:r w:rsidR="0068081C" w:rsidRPr="0068081C">
        <w:rPr>
          <w:szCs w:val="22"/>
        </w:rPr>
        <w:t xml:space="preserve"> for the administrative costs for OESP.</w:t>
      </w:r>
    </w:p>
    <w:p w14:paraId="01FEF400" w14:textId="77777777" w:rsidR="00C91D67" w:rsidRDefault="0068081C" w:rsidP="0068081C">
      <w:pPr>
        <w:rPr>
          <w:szCs w:val="22"/>
        </w:rPr>
      </w:pPr>
      <w:r w:rsidRPr="0068081C">
        <w:rPr>
          <w:szCs w:val="22"/>
        </w:rPr>
        <w:t xml:space="preserve">The disbursed funds will be settled as a manual line item on the </w:t>
      </w:r>
      <w:r w:rsidRPr="0068081C">
        <w:rPr>
          <w:i/>
          <w:szCs w:val="22"/>
        </w:rPr>
        <w:t>preliminary settlement statement</w:t>
      </w:r>
      <w:r w:rsidRPr="0068081C">
        <w:rPr>
          <w:szCs w:val="22"/>
        </w:rPr>
        <w:t xml:space="preserve"> and </w:t>
      </w:r>
      <w:r w:rsidRPr="0068081C">
        <w:rPr>
          <w:i/>
          <w:szCs w:val="22"/>
        </w:rPr>
        <w:t>final settlement statement</w:t>
      </w:r>
      <w:r w:rsidRPr="0068081C">
        <w:rPr>
          <w:szCs w:val="22"/>
        </w:rPr>
        <w:t xml:space="preserve"> for the last trading day of the month under </w:t>
      </w:r>
      <w:r w:rsidRPr="0068081C">
        <w:rPr>
          <w:i/>
          <w:szCs w:val="22"/>
        </w:rPr>
        <w:t>charge type</w:t>
      </w:r>
      <w:r w:rsidRPr="0068081C">
        <w:rPr>
          <w:szCs w:val="22"/>
        </w:rPr>
        <w:t xml:space="preserve"> 1420 “Ontario Electricity Support Program Settlement amount”.</w:t>
      </w:r>
    </w:p>
    <w:p w14:paraId="2CE352FB" w14:textId="77777777" w:rsidR="00D0304B" w:rsidRDefault="0068081C" w:rsidP="0068081C">
      <w:pPr>
        <w:rPr>
          <w:szCs w:val="22"/>
        </w:rPr>
      </w:pPr>
      <w:r w:rsidRPr="0068081C">
        <w:rPr>
          <w:i/>
          <w:szCs w:val="22"/>
        </w:rPr>
        <w:t>Distributors</w:t>
      </w:r>
      <w:r w:rsidRPr="0068081C">
        <w:rPr>
          <w:szCs w:val="22"/>
        </w:rPr>
        <w:t xml:space="preserve"> and unit sub-meter providers that are </w:t>
      </w:r>
      <w:r w:rsidRPr="0068081C">
        <w:rPr>
          <w:i/>
          <w:szCs w:val="22"/>
        </w:rPr>
        <w:t>market participants</w:t>
      </w:r>
      <w:r w:rsidRPr="0068081C">
        <w:rPr>
          <w:szCs w:val="22"/>
        </w:rPr>
        <w:t xml:space="preserve"> must submit OESP claims to us via the on-line form “Ontario Electricity Support Program – LDC &amp; USMP”. </w:t>
      </w:r>
      <w:r w:rsidR="00074DCE">
        <w:rPr>
          <w:szCs w:val="22"/>
        </w:rPr>
        <w:t xml:space="preserve"> </w:t>
      </w:r>
      <w:r w:rsidRPr="0068081C">
        <w:rPr>
          <w:szCs w:val="22"/>
        </w:rPr>
        <w:t xml:space="preserve">Licensed </w:t>
      </w:r>
      <w:r w:rsidRPr="0068081C">
        <w:rPr>
          <w:i/>
          <w:szCs w:val="22"/>
        </w:rPr>
        <w:t>distributors</w:t>
      </w:r>
      <w:r w:rsidRPr="0068081C">
        <w:rPr>
          <w:szCs w:val="22"/>
        </w:rPr>
        <w:t xml:space="preserve"> will submit OESP claims both for themselves and also on behalf of the embedded </w:t>
      </w:r>
      <w:r w:rsidRPr="0068081C">
        <w:rPr>
          <w:i/>
          <w:szCs w:val="22"/>
        </w:rPr>
        <w:t>distributors</w:t>
      </w:r>
      <w:r w:rsidRPr="0068081C">
        <w:rPr>
          <w:szCs w:val="22"/>
        </w:rPr>
        <w:t xml:space="preserve">. In order to obtain reimbursement from the </w:t>
      </w:r>
      <w:r w:rsidRPr="0068081C">
        <w:rPr>
          <w:i/>
          <w:szCs w:val="22"/>
        </w:rPr>
        <w:t>IESO</w:t>
      </w:r>
      <w:r w:rsidRPr="0068081C">
        <w:rPr>
          <w:szCs w:val="22"/>
        </w:rPr>
        <w:t xml:space="preserve">, service providers must be registered as program participants and submit OESP claims to the </w:t>
      </w:r>
      <w:r w:rsidRPr="0068081C">
        <w:rPr>
          <w:i/>
          <w:szCs w:val="22"/>
        </w:rPr>
        <w:t>IESO</w:t>
      </w:r>
      <w:r w:rsidRPr="0068081C">
        <w:rPr>
          <w:szCs w:val="22"/>
        </w:rPr>
        <w:t xml:space="preserve"> using the </w:t>
      </w:r>
      <w:r w:rsidR="005C6516" w:rsidRPr="003D506E">
        <w:rPr>
          <w:szCs w:val="22"/>
        </w:rPr>
        <w:t>settlement</w:t>
      </w:r>
      <w:r w:rsidRPr="003D506E">
        <w:rPr>
          <w:szCs w:val="22"/>
        </w:rPr>
        <w:t xml:space="preserve"> </w:t>
      </w:r>
      <w:r w:rsidRPr="0068081C">
        <w:rPr>
          <w:szCs w:val="22"/>
        </w:rPr>
        <w:t xml:space="preserve">form “Ontario Electricity Support Program – Service Providers” which is accessible </w:t>
      </w:r>
      <w:r w:rsidR="005C6516">
        <w:rPr>
          <w:szCs w:val="22"/>
        </w:rPr>
        <w:t>via Online IESO</w:t>
      </w:r>
      <w:r w:rsidRPr="0068081C">
        <w:rPr>
          <w:szCs w:val="22"/>
        </w:rPr>
        <w:t xml:space="preserve">. </w:t>
      </w:r>
      <w:r w:rsidRPr="0068081C">
        <w:rPr>
          <w:color w:val="000000"/>
          <w:szCs w:val="22"/>
        </w:rPr>
        <w:t xml:space="preserve">All OESP claims for the current </w:t>
      </w:r>
      <w:r w:rsidRPr="0068081C">
        <w:rPr>
          <w:i/>
          <w:color w:val="000000"/>
          <w:szCs w:val="22"/>
        </w:rPr>
        <w:t>settlement</w:t>
      </w:r>
      <w:r w:rsidRPr="0068081C">
        <w:rPr>
          <w:color w:val="000000"/>
          <w:szCs w:val="22"/>
        </w:rPr>
        <w:t xml:space="preserve"> month must be received by</w:t>
      </w:r>
      <w:r w:rsidR="00DD54B9">
        <w:rPr>
          <w:color w:val="000000"/>
          <w:szCs w:val="22"/>
        </w:rPr>
        <w:t xml:space="preserve"> the</w:t>
      </w:r>
      <w:r w:rsidRPr="0068081C">
        <w:rPr>
          <w:color w:val="000000"/>
          <w:szCs w:val="22"/>
        </w:rPr>
        <w:t xml:space="preserve"> </w:t>
      </w:r>
      <w:r w:rsidRPr="0068081C">
        <w:rPr>
          <w:i/>
          <w:color w:val="000000"/>
          <w:szCs w:val="22"/>
        </w:rPr>
        <w:t>IESO</w:t>
      </w:r>
      <w:r w:rsidRPr="0068081C">
        <w:rPr>
          <w:szCs w:val="22"/>
        </w:rPr>
        <w:t xml:space="preserve">, no later than the fourth </w:t>
      </w:r>
      <w:r w:rsidRPr="0068081C">
        <w:rPr>
          <w:i/>
          <w:szCs w:val="22"/>
        </w:rPr>
        <w:t>business day</w:t>
      </w:r>
      <w:r w:rsidRPr="0068081C">
        <w:rPr>
          <w:szCs w:val="22"/>
        </w:rPr>
        <w:t xml:space="preserve"> after the last trading day of the month.</w:t>
      </w:r>
      <w:r w:rsidR="00D0304B" w:rsidRPr="00D0304B">
        <w:rPr>
          <w:szCs w:val="22"/>
        </w:rPr>
        <w:t xml:space="preserve"> </w:t>
      </w:r>
    </w:p>
    <w:p w14:paraId="27F33CC1" w14:textId="77777777" w:rsidR="006253E2" w:rsidRDefault="006253E2" w:rsidP="008D68A0">
      <w:r w:rsidRPr="00E45DA3">
        <w:t xml:space="preserve">If any changes are required to the amounts submitted during the preliminary submission period, final adjustments can be submitted during the 11th to 14th </w:t>
      </w:r>
      <w:r w:rsidRPr="00E45DA3">
        <w:rPr>
          <w:i/>
        </w:rPr>
        <w:t>business day</w:t>
      </w:r>
      <w:r w:rsidRPr="00E45DA3">
        <w:t xml:space="preserve"> after the last </w:t>
      </w:r>
      <w:r w:rsidRPr="00E45DA3">
        <w:rPr>
          <w:i/>
        </w:rPr>
        <w:t>trading day</w:t>
      </w:r>
      <w:r w:rsidRPr="00E45DA3">
        <w:t xml:space="preserve"> of the month. The adjustments will be reflected on the </w:t>
      </w:r>
      <w:r w:rsidRPr="00E45DA3">
        <w:rPr>
          <w:i/>
        </w:rPr>
        <w:t xml:space="preserve">final settlement statement </w:t>
      </w:r>
      <w:r w:rsidRPr="00E45DA3">
        <w:t xml:space="preserve">for the last </w:t>
      </w:r>
      <w:r w:rsidRPr="00E45DA3">
        <w:rPr>
          <w:i/>
        </w:rPr>
        <w:t>trading day</w:t>
      </w:r>
      <w:r w:rsidRPr="00E45DA3">
        <w:t xml:space="preserve"> of the month. Furthermore, post final adjustments can be submitted through Online IESO for any previous settlement period. Any amount submitted as a post final adjustment will be settled on the </w:t>
      </w:r>
      <w:r w:rsidRPr="00E45DA3">
        <w:rPr>
          <w:i/>
        </w:rPr>
        <w:t>preliminary settlement statement</w:t>
      </w:r>
      <w:r w:rsidRPr="00E45DA3">
        <w:t xml:space="preserve"> for the last </w:t>
      </w:r>
      <w:r w:rsidRPr="00E45DA3">
        <w:rPr>
          <w:i/>
        </w:rPr>
        <w:t>trading day</w:t>
      </w:r>
      <w:r w:rsidRPr="00E45DA3">
        <w:t xml:space="preserve"> of the current settlement month.</w:t>
      </w:r>
    </w:p>
    <w:p w14:paraId="396E933A" w14:textId="77777777" w:rsidR="008D68A0" w:rsidRDefault="008D68A0" w:rsidP="008D68A0">
      <w:pPr>
        <w:pStyle w:val="Heading3"/>
      </w:pPr>
      <w:bookmarkStart w:id="1261" w:name="_Toc536627034"/>
      <w:bookmarkStart w:id="1262" w:name="_Toc35796359"/>
      <w:bookmarkStart w:id="1263" w:name="_Toc79657961"/>
      <w:bookmarkEnd w:id="1261"/>
      <w:r>
        <w:t>Adjustment Account Surplus Disbursement</w:t>
      </w:r>
      <w:bookmarkEnd w:id="1262"/>
      <w:bookmarkEnd w:id="1263"/>
    </w:p>
    <w:p w14:paraId="6212ED1D" w14:textId="77777777" w:rsidR="00725238" w:rsidRDefault="008D68A0" w:rsidP="00B2717F">
      <w:pPr>
        <w:spacing w:before="120" w:after="120"/>
      </w:pPr>
      <w:r>
        <w:t xml:space="preserve">The </w:t>
      </w:r>
      <w:r w:rsidRPr="00465F43">
        <w:rPr>
          <w:i/>
        </w:rPr>
        <w:t>IESO</w:t>
      </w:r>
      <w:r>
        <w:t xml:space="preserve"> will review, at least annually, the allocation of any credit balance in the </w:t>
      </w:r>
      <w:r w:rsidRPr="00465F43">
        <w:rPr>
          <w:i/>
        </w:rPr>
        <w:t>IESO adjustment account</w:t>
      </w:r>
      <w:r>
        <w:t xml:space="preserve"> as directed to by the IESO Board. The IESO Board may direct that some or all of the credit balance (surplus) be distributed to </w:t>
      </w:r>
      <w:r w:rsidRPr="00962185">
        <w:rPr>
          <w:i/>
        </w:rPr>
        <w:t>market participants</w:t>
      </w:r>
      <w:r>
        <w:t xml:space="preserve"> as a rebate. The disbursement will be settled as a single payout based on the total allocated quantity of </w:t>
      </w:r>
      <w:r w:rsidRPr="00465F43">
        <w:rPr>
          <w:i/>
        </w:rPr>
        <w:t xml:space="preserve">energy </w:t>
      </w:r>
      <w:r>
        <w:t xml:space="preserve">withdrawn over a prior period as determined by the IESO Board. The disbursement will be distributed to </w:t>
      </w:r>
      <w:r w:rsidRPr="00465F43">
        <w:rPr>
          <w:i/>
        </w:rPr>
        <w:t>market participants</w:t>
      </w:r>
      <w:r>
        <w:t xml:space="preserve"> as a non-hourly </w:t>
      </w:r>
      <w:r w:rsidRPr="00465F43">
        <w:rPr>
          <w:i/>
        </w:rPr>
        <w:t>settlement amount</w:t>
      </w:r>
      <w:r>
        <w:t xml:space="preserve"> on a month-end </w:t>
      </w:r>
      <w:r w:rsidRPr="00CB58BC">
        <w:rPr>
          <w:i/>
        </w:rPr>
        <w:t xml:space="preserve">preliminary </w:t>
      </w:r>
      <w:r>
        <w:t xml:space="preserve">and </w:t>
      </w:r>
      <w:r w:rsidRPr="00465F43">
        <w:rPr>
          <w:i/>
        </w:rPr>
        <w:t>final</w:t>
      </w:r>
      <w:r>
        <w:t xml:space="preserve"> </w:t>
      </w:r>
      <w:r w:rsidRPr="00465F43">
        <w:rPr>
          <w:i/>
        </w:rPr>
        <w:t>settlement statement</w:t>
      </w:r>
      <w:r>
        <w:t xml:space="preserve"> under </w:t>
      </w:r>
      <w:r w:rsidRPr="00465F43">
        <w:rPr>
          <w:i/>
        </w:rPr>
        <w:t>charge type</w:t>
      </w:r>
      <w:r>
        <w:t xml:space="preserve"> 9920, “Adjustment Account Credit” as per Chapter 9, section 6.18.6.3 of the </w:t>
      </w:r>
      <w:r w:rsidRPr="00465F43">
        <w:rPr>
          <w:i/>
        </w:rPr>
        <w:t>market rules</w:t>
      </w:r>
      <w:r>
        <w:t>.</w:t>
      </w:r>
    </w:p>
    <w:p w14:paraId="0B1F5199" w14:textId="77777777" w:rsidR="001F604D" w:rsidRDefault="008D68A0" w:rsidP="00725238">
      <w:pPr>
        <w:spacing w:before="120" w:after="120"/>
      </w:pPr>
      <w:r>
        <w:t xml:space="preserve">For example, if the disbursement of a credit balance (surplus) is to be applied to the February 29, 2016 </w:t>
      </w:r>
      <w:r w:rsidRPr="00C339DE">
        <w:rPr>
          <w:i/>
        </w:rPr>
        <w:t>preliminary settlement statement</w:t>
      </w:r>
      <w:r>
        <w:t xml:space="preserve"> for the preceding six (6) month prior period, the credit balance will be distributed to </w:t>
      </w:r>
      <w:r w:rsidRPr="00C339DE">
        <w:rPr>
          <w:i/>
        </w:rPr>
        <w:t>market participants</w:t>
      </w:r>
      <w:r>
        <w:t xml:space="preserve"> based on their total allocated quantity of </w:t>
      </w:r>
      <w:r w:rsidRPr="00C339DE">
        <w:rPr>
          <w:i/>
        </w:rPr>
        <w:t>energy</w:t>
      </w:r>
      <w:r>
        <w:t xml:space="preserve"> withdrawn over the prior period of September 1, 2015 to February 29, 2016.</w:t>
      </w:r>
      <w:bookmarkStart w:id="1264" w:name="_Toc457895006"/>
      <w:bookmarkStart w:id="1265" w:name="_Toc457900290"/>
      <w:bookmarkStart w:id="1266" w:name="_Toc348090996"/>
      <w:bookmarkStart w:id="1267" w:name="_Toc348357455"/>
      <w:bookmarkStart w:id="1268" w:name="_Toc348425885"/>
      <w:bookmarkStart w:id="1269" w:name="_Toc341262742"/>
      <w:bookmarkStart w:id="1270" w:name="_Toc400369527"/>
      <w:bookmarkEnd w:id="1264"/>
      <w:bookmarkEnd w:id="1265"/>
      <w:bookmarkEnd w:id="1266"/>
      <w:bookmarkEnd w:id="1267"/>
      <w:bookmarkEnd w:id="1268"/>
      <w:bookmarkEnd w:id="1269"/>
    </w:p>
    <w:p w14:paraId="4B8A08D0" w14:textId="5891B041" w:rsidR="00C46B19" w:rsidRDefault="00C46B19" w:rsidP="00C46B19">
      <w:pPr>
        <w:pStyle w:val="Heading3"/>
        <w:rPr>
          <w:color w:val="000000" w:themeColor="text1"/>
        </w:rPr>
      </w:pPr>
      <w:bookmarkStart w:id="1271" w:name="_Toc35796360"/>
      <w:bookmarkStart w:id="1272" w:name="_Toc79657962"/>
      <w:r>
        <w:rPr>
          <w:color w:val="000000" w:themeColor="text1"/>
        </w:rPr>
        <w:t xml:space="preserve">Limiting Constrained On CMSC Payments to Generators </w:t>
      </w:r>
      <w:r w:rsidR="00610869">
        <w:rPr>
          <w:color w:val="000000" w:themeColor="text1"/>
        </w:rPr>
        <w:t xml:space="preserve">and Electricity Storage Participants </w:t>
      </w:r>
      <w:r>
        <w:rPr>
          <w:color w:val="000000" w:themeColor="text1"/>
        </w:rPr>
        <w:t>Ramping Down</w:t>
      </w:r>
      <w:bookmarkEnd w:id="1271"/>
      <w:bookmarkEnd w:id="1272"/>
    </w:p>
    <w:p w14:paraId="0980F02D" w14:textId="08D14E87" w:rsidR="001A3A31" w:rsidRPr="00FF3E10" w:rsidRDefault="001A3A31" w:rsidP="0018276B">
      <w:pPr>
        <w:spacing w:before="120" w:after="120"/>
        <w:rPr>
          <w:szCs w:val="22"/>
          <w:lang w:val="en-CA"/>
        </w:rPr>
      </w:pPr>
      <w:bookmarkStart w:id="1273" w:name="_Toc467063789"/>
      <w:bookmarkStart w:id="1274" w:name="_Toc468092886"/>
      <w:bookmarkStart w:id="1275" w:name="_Toc467063790"/>
      <w:bookmarkStart w:id="1276" w:name="_Toc468092887"/>
      <w:bookmarkEnd w:id="1273"/>
      <w:bookmarkEnd w:id="1274"/>
      <w:bookmarkEnd w:id="1275"/>
      <w:bookmarkEnd w:id="1276"/>
      <w:r>
        <w:rPr>
          <w:szCs w:val="22"/>
          <w:lang w:val="en-CA"/>
        </w:rPr>
        <w:t>In order to signal its</w:t>
      </w:r>
      <w:r w:rsidRPr="00FF3E10">
        <w:rPr>
          <w:szCs w:val="22"/>
          <w:lang w:val="en-CA"/>
        </w:rPr>
        <w:t xml:space="preserve"> desire to come offline, a </w:t>
      </w:r>
      <w:r w:rsidRPr="00897D3F">
        <w:rPr>
          <w:i/>
          <w:szCs w:val="22"/>
          <w:lang w:val="en-CA"/>
        </w:rPr>
        <w:t>generator</w:t>
      </w:r>
      <w:r w:rsidRPr="00FF3E10">
        <w:rPr>
          <w:szCs w:val="22"/>
          <w:lang w:val="en-CA"/>
        </w:rPr>
        <w:t xml:space="preserve"> must submit an </w:t>
      </w:r>
      <w:r w:rsidRPr="003F0010">
        <w:rPr>
          <w:i/>
          <w:szCs w:val="22"/>
          <w:lang w:val="en-CA"/>
        </w:rPr>
        <w:t>offer</w:t>
      </w:r>
      <w:r w:rsidRPr="00FF3E10">
        <w:rPr>
          <w:szCs w:val="22"/>
          <w:lang w:val="en-CA"/>
        </w:rPr>
        <w:t xml:space="preserve"> price that exceeds the shadow price at its node, but which may not represent</w:t>
      </w:r>
      <w:r>
        <w:rPr>
          <w:szCs w:val="22"/>
          <w:lang w:val="en-CA"/>
        </w:rPr>
        <w:t xml:space="preserve"> the </w:t>
      </w:r>
      <w:r w:rsidRPr="00897D3F">
        <w:rPr>
          <w:i/>
          <w:szCs w:val="22"/>
          <w:lang w:val="en-CA"/>
        </w:rPr>
        <w:t>generator’s</w:t>
      </w:r>
      <w:r w:rsidRPr="00FF3E10">
        <w:rPr>
          <w:szCs w:val="22"/>
          <w:lang w:val="en-CA"/>
        </w:rPr>
        <w:t xml:space="preserve"> cost.  The </w:t>
      </w:r>
      <w:r w:rsidRPr="00897D3F">
        <w:rPr>
          <w:i/>
          <w:szCs w:val="22"/>
          <w:lang w:val="en-CA"/>
        </w:rPr>
        <w:t>generator</w:t>
      </w:r>
      <w:r w:rsidRPr="00FF3E10">
        <w:rPr>
          <w:szCs w:val="22"/>
          <w:lang w:val="en-CA"/>
        </w:rPr>
        <w:t xml:space="preserve"> is dispatched down incrementally, according to the</w:t>
      </w:r>
      <w:r>
        <w:rPr>
          <w:szCs w:val="22"/>
          <w:lang w:val="en-CA"/>
        </w:rPr>
        <w:t xml:space="preserve"> </w:t>
      </w:r>
      <w:r w:rsidRPr="00897D3F">
        <w:rPr>
          <w:i/>
          <w:szCs w:val="22"/>
          <w:lang w:val="en-CA"/>
        </w:rPr>
        <w:t>generator’s</w:t>
      </w:r>
      <w:r w:rsidRPr="00FF3E10">
        <w:rPr>
          <w:szCs w:val="22"/>
          <w:lang w:val="en-CA"/>
        </w:rPr>
        <w:t xml:space="preserve"> </w:t>
      </w:r>
      <w:r w:rsidRPr="00897D3F">
        <w:rPr>
          <w:i/>
          <w:szCs w:val="22"/>
          <w:lang w:val="en-CA"/>
        </w:rPr>
        <w:t>offered</w:t>
      </w:r>
      <w:r w:rsidRPr="00FF3E10">
        <w:rPr>
          <w:szCs w:val="22"/>
          <w:lang w:val="en-CA"/>
        </w:rPr>
        <w:t xml:space="preserve"> ramp-down rates, until the</w:t>
      </w:r>
      <w:r>
        <w:rPr>
          <w:szCs w:val="22"/>
          <w:lang w:val="en-CA"/>
        </w:rPr>
        <w:t xml:space="preserve"> </w:t>
      </w:r>
      <w:r w:rsidRPr="00897D3F">
        <w:rPr>
          <w:i/>
          <w:szCs w:val="22"/>
          <w:lang w:val="en-CA"/>
        </w:rPr>
        <w:t>generator</w:t>
      </w:r>
      <w:r w:rsidRPr="00FF3E10">
        <w:rPr>
          <w:szCs w:val="22"/>
          <w:lang w:val="en-CA"/>
        </w:rPr>
        <w:t xml:space="preserve"> receive</w:t>
      </w:r>
      <w:r>
        <w:rPr>
          <w:szCs w:val="22"/>
          <w:lang w:val="en-CA"/>
        </w:rPr>
        <w:t>s</w:t>
      </w:r>
      <w:r w:rsidRPr="00FF3E10">
        <w:rPr>
          <w:szCs w:val="22"/>
          <w:lang w:val="en-CA"/>
        </w:rPr>
        <w:t xml:space="preserve"> a </w:t>
      </w:r>
      <w:r w:rsidRPr="00897D3F">
        <w:rPr>
          <w:i/>
          <w:szCs w:val="22"/>
          <w:lang w:val="en-CA"/>
        </w:rPr>
        <w:t>dispatch</w:t>
      </w:r>
      <w:r w:rsidRPr="00FF3E10">
        <w:rPr>
          <w:szCs w:val="22"/>
          <w:lang w:val="en-CA"/>
        </w:rPr>
        <w:t xml:space="preserve"> schedule of zero. During the ramp-down intervals</w:t>
      </w:r>
      <w:r>
        <w:rPr>
          <w:szCs w:val="22"/>
          <w:lang w:val="en-CA"/>
        </w:rPr>
        <w:t>,</w:t>
      </w:r>
      <w:r w:rsidRPr="00FF3E10">
        <w:rPr>
          <w:szCs w:val="22"/>
          <w:lang w:val="en-CA"/>
        </w:rPr>
        <w:t xml:space="preserve"> the </w:t>
      </w:r>
      <w:r w:rsidRPr="00897D3F">
        <w:rPr>
          <w:i/>
          <w:szCs w:val="22"/>
          <w:lang w:val="en-CA"/>
        </w:rPr>
        <w:t xml:space="preserve">generator </w:t>
      </w:r>
      <w:r w:rsidRPr="00FF3E10">
        <w:rPr>
          <w:szCs w:val="22"/>
          <w:lang w:val="en-CA"/>
        </w:rPr>
        <w:t xml:space="preserve">is constrained-on and may receive CMSC for the implied shortfalls in operating profit.  There is potential for </w:t>
      </w:r>
      <w:r>
        <w:rPr>
          <w:szCs w:val="22"/>
          <w:lang w:val="en-CA"/>
        </w:rPr>
        <w:t xml:space="preserve">a </w:t>
      </w:r>
      <w:r w:rsidRPr="00897D3F">
        <w:rPr>
          <w:i/>
          <w:szCs w:val="22"/>
          <w:lang w:val="en-CA"/>
        </w:rPr>
        <w:t>generator</w:t>
      </w:r>
      <w:r w:rsidR="00610869" w:rsidRPr="00610869">
        <w:rPr>
          <w:szCs w:val="22"/>
          <w:lang w:val="en-CA"/>
        </w:rPr>
        <w:t xml:space="preserve"> </w:t>
      </w:r>
      <w:r w:rsidR="00610869">
        <w:rPr>
          <w:szCs w:val="22"/>
          <w:lang w:val="en-CA"/>
        </w:rPr>
        <w:t xml:space="preserve">or </w:t>
      </w:r>
      <w:r w:rsidR="00610869" w:rsidRPr="00824A17">
        <w:rPr>
          <w:i/>
          <w:szCs w:val="22"/>
          <w:lang w:val="en-CA"/>
        </w:rPr>
        <w:t>electricity storage par</w:t>
      </w:r>
      <w:r w:rsidR="00610869">
        <w:rPr>
          <w:i/>
          <w:szCs w:val="22"/>
          <w:lang w:val="en-CA"/>
        </w:rPr>
        <w:t>ticipant</w:t>
      </w:r>
      <w:r w:rsidR="00610869">
        <w:rPr>
          <w:szCs w:val="22"/>
          <w:lang w:val="en-CA"/>
        </w:rPr>
        <w:t xml:space="preserve"> that injects</w:t>
      </w:r>
      <w:r w:rsidRPr="00FF3E10">
        <w:rPr>
          <w:szCs w:val="22"/>
          <w:lang w:val="en-CA"/>
        </w:rPr>
        <w:t xml:space="preserve"> to earn significant self-induced CMSC during ramp-down.  As </w:t>
      </w:r>
      <w:r>
        <w:rPr>
          <w:szCs w:val="22"/>
          <w:lang w:val="en-CA"/>
        </w:rPr>
        <w:t>such, as of</w:t>
      </w:r>
      <w:r w:rsidRPr="00FF3E10">
        <w:rPr>
          <w:szCs w:val="22"/>
          <w:lang w:val="en-CA"/>
        </w:rPr>
        <w:t xml:space="preserve"> December 8, 2016, non-quick start </w:t>
      </w:r>
      <w:r w:rsidRPr="00897D3F">
        <w:rPr>
          <w:i/>
          <w:szCs w:val="22"/>
          <w:lang w:val="en-CA"/>
        </w:rPr>
        <w:t>generators</w:t>
      </w:r>
      <w:r w:rsidR="00610869">
        <w:rPr>
          <w:szCs w:val="22"/>
          <w:lang w:val="en-CA"/>
        </w:rPr>
        <w:t xml:space="preserve"> and non-quick start </w:t>
      </w:r>
      <w:r w:rsidR="00610869">
        <w:rPr>
          <w:i/>
          <w:szCs w:val="22"/>
          <w:lang w:val="en-CA"/>
        </w:rPr>
        <w:t>electricity storage participants</w:t>
      </w:r>
      <w:r w:rsidRPr="00FF3E10">
        <w:rPr>
          <w:szCs w:val="22"/>
          <w:lang w:val="en-CA"/>
        </w:rPr>
        <w:t xml:space="preserve"> will no longer be eligible for CMSC during intervals where the </w:t>
      </w:r>
      <w:r w:rsidRPr="00897D3F">
        <w:rPr>
          <w:i/>
          <w:szCs w:val="22"/>
          <w:lang w:val="en-CA"/>
        </w:rPr>
        <w:t>facility</w:t>
      </w:r>
      <w:r w:rsidRPr="00FF3E10">
        <w:rPr>
          <w:szCs w:val="22"/>
          <w:lang w:val="en-CA"/>
        </w:rPr>
        <w:t xml:space="preserve"> is constrained-on while ramping down to come offline</w:t>
      </w:r>
      <w:r>
        <w:rPr>
          <w:szCs w:val="22"/>
          <w:lang w:val="en-CA"/>
        </w:rPr>
        <w:t>,</w:t>
      </w:r>
      <w:r w:rsidRPr="00FF3E10">
        <w:rPr>
          <w:szCs w:val="22"/>
          <w:lang w:val="en-CA"/>
        </w:rPr>
        <w:t xml:space="preserve"> unless activated for </w:t>
      </w:r>
      <w:r w:rsidRPr="00897D3F">
        <w:rPr>
          <w:i/>
          <w:szCs w:val="22"/>
          <w:lang w:val="en-CA"/>
        </w:rPr>
        <w:t>operating reserve</w:t>
      </w:r>
      <w:r w:rsidRPr="00FF3E10">
        <w:rPr>
          <w:szCs w:val="22"/>
          <w:lang w:val="en-CA"/>
        </w:rPr>
        <w:t xml:space="preserve"> or constrained under a GCG or PCG during the ramp-down interval.</w:t>
      </w:r>
    </w:p>
    <w:p w14:paraId="328AB54E" w14:textId="6CB1F7E7" w:rsidR="001A3A31" w:rsidRPr="00FF3E10" w:rsidRDefault="001A3A31" w:rsidP="0018276B">
      <w:pPr>
        <w:spacing w:before="120" w:after="120"/>
        <w:rPr>
          <w:szCs w:val="22"/>
          <w:lang w:val="en-CA"/>
        </w:rPr>
      </w:pPr>
      <w:r w:rsidRPr="00FF3E10">
        <w:rPr>
          <w:szCs w:val="22"/>
          <w:lang w:val="en-CA"/>
        </w:rPr>
        <w:t>The IESO will withhold or recover all CMSC during the ramp-down period; however</w:t>
      </w:r>
      <w:r>
        <w:rPr>
          <w:szCs w:val="22"/>
          <w:lang w:val="en-CA"/>
        </w:rPr>
        <w:t>,</w:t>
      </w:r>
      <w:r w:rsidRPr="00FF3E10">
        <w:rPr>
          <w:szCs w:val="22"/>
          <w:lang w:val="en-CA"/>
        </w:rPr>
        <w:t xml:space="preserve"> the </w:t>
      </w:r>
      <w:r w:rsidRPr="00897D3F">
        <w:rPr>
          <w:i/>
          <w:szCs w:val="22"/>
          <w:lang w:val="en-CA"/>
        </w:rPr>
        <w:t>generator</w:t>
      </w:r>
      <w:r w:rsidRPr="00FF3E10">
        <w:rPr>
          <w:szCs w:val="22"/>
          <w:lang w:val="en-CA"/>
        </w:rPr>
        <w:t xml:space="preserve"> </w:t>
      </w:r>
      <w:r w:rsidR="00610869">
        <w:rPr>
          <w:szCs w:val="22"/>
          <w:lang w:val="en-CA"/>
        </w:rPr>
        <w:t xml:space="preserve">or </w:t>
      </w:r>
      <w:r w:rsidR="00610869">
        <w:rPr>
          <w:i/>
          <w:szCs w:val="22"/>
          <w:lang w:val="en-CA"/>
        </w:rPr>
        <w:t xml:space="preserve">electricity storage participant </w:t>
      </w:r>
      <w:r w:rsidRPr="00FF3E10">
        <w:rPr>
          <w:szCs w:val="22"/>
          <w:lang w:val="en-CA"/>
        </w:rPr>
        <w:t xml:space="preserve">will </w:t>
      </w:r>
      <w:r w:rsidRPr="00FF3E10">
        <w:rPr>
          <w:rFonts w:eastAsiaTheme="minorHAnsi"/>
          <w:color w:val="000000"/>
          <w:szCs w:val="22"/>
          <w:lang w:val="en-CA" w:eastAsia="en-US"/>
        </w:rPr>
        <w:t>receive compensation in the form of a ramp-down</w:t>
      </w:r>
      <w:r w:rsidRPr="00FF3E10">
        <w:rPr>
          <w:szCs w:val="22"/>
        </w:rPr>
        <w:t xml:space="preserve"> </w:t>
      </w:r>
      <w:r w:rsidRPr="00897D3F">
        <w:rPr>
          <w:i/>
          <w:szCs w:val="22"/>
        </w:rPr>
        <w:t>settlement amount</w:t>
      </w:r>
      <w:r w:rsidRPr="00FF3E10">
        <w:rPr>
          <w:szCs w:val="22"/>
        </w:rPr>
        <w:t xml:space="preserve"> (RDSA)</w:t>
      </w:r>
      <w:r w:rsidRPr="00FF3E10">
        <w:rPr>
          <w:rFonts w:eastAsiaTheme="minorHAnsi"/>
          <w:color w:val="000000"/>
          <w:szCs w:val="22"/>
          <w:lang w:val="en-CA" w:eastAsia="en-US"/>
        </w:rPr>
        <w:t xml:space="preserve"> representing the cost of ramping down</w:t>
      </w:r>
      <w:r w:rsidRPr="00FF3E10">
        <w:rPr>
          <w:szCs w:val="22"/>
        </w:rPr>
        <w:t xml:space="preserve"> during the ramp-down period.</w:t>
      </w:r>
      <w:r w:rsidRPr="00FF3E10" w:rsidDel="00676C6F">
        <w:rPr>
          <w:szCs w:val="22"/>
          <w:lang w:val="en-CA"/>
        </w:rPr>
        <w:t xml:space="preserve"> </w:t>
      </w:r>
      <w:r w:rsidRPr="00FF3E10">
        <w:rPr>
          <w:szCs w:val="22"/>
          <w:lang w:val="en-CA"/>
        </w:rPr>
        <w:t xml:space="preserve"> This is consistent with the </w:t>
      </w:r>
      <w:r w:rsidRPr="00FF3E10">
        <w:rPr>
          <w:i/>
          <w:szCs w:val="22"/>
          <w:lang w:val="en-CA"/>
        </w:rPr>
        <w:t>market rules</w:t>
      </w:r>
      <w:r w:rsidRPr="00FF3E10">
        <w:rPr>
          <w:szCs w:val="22"/>
          <w:lang w:val="en-CA"/>
        </w:rPr>
        <w:t xml:space="preserve"> under Chapter 9, section 3.5.1G and 3.5A.1.</w:t>
      </w:r>
    </w:p>
    <w:p w14:paraId="0E5A4BB4" w14:textId="77777777" w:rsidR="001A3A31" w:rsidRPr="00FF3E10" w:rsidRDefault="001A3A31" w:rsidP="0018276B">
      <w:pPr>
        <w:spacing w:before="120" w:after="120"/>
        <w:rPr>
          <w:szCs w:val="22"/>
          <w:lang w:val="en-CA"/>
        </w:rPr>
      </w:pPr>
      <w:r w:rsidRPr="00FF3E10">
        <w:rPr>
          <w:szCs w:val="22"/>
          <w:lang w:val="en-CA"/>
        </w:rPr>
        <w:t xml:space="preserve">The RDSA is calculated as the lesser of the CMSC withheld or recovered and the calculated ramp-down compensation (RDC), as per Chapter 9, section 3.5A.1 of the </w:t>
      </w:r>
      <w:r w:rsidRPr="00897D3F">
        <w:rPr>
          <w:i/>
          <w:szCs w:val="22"/>
          <w:lang w:val="en-CA"/>
        </w:rPr>
        <w:t>market rules</w:t>
      </w:r>
      <w:r w:rsidRPr="00FF3E10">
        <w:rPr>
          <w:szCs w:val="22"/>
          <w:lang w:val="en-CA"/>
        </w:rPr>
        <w:t>.</w:t>
      </w:r>
    </w:p>
    <w:p w14:paraId="3916EE1D" w14:textId="77777777" w:rsidR="001A3A31" w:rsidRPr="00FF3E10" w:rsidRDefault="001A3A31" w:rsidP="001A3A31">
      <w:pPr>
        <w:rPr>
          <w:szCs w:val="22"/>
          <w:lang w:val="en-CA"/>
        </w:rPr>
      </w:pPr>
      <w:r w:rsidRPr="00FF3E10">
        <w:rPr>
          <w:szCs w:val="22"/>
          <w:lang w:val="en-CA"/>
        </w:rPr>
        <w:t xml:space="preserve">A ramp down period is defined as a set of consecutive intervals that meet one of the following criteria and ends when there is no </w:t>
      </w:r>
      <w:r w:rsidRPr="00897D3F">
        <w:rPr>
          <w:i/>
          <w:szCs w:val="22"/>
          <w:lang w:val="en-CA"/>
        </w:rPr>
        <w:t>dispatch</w:t>
      </w:r>
      <w:r w:rsidRPr="00FF3E10">
        <w:rPr>
          <w:szCs w:val="22"/>
          <w:lang w:val="en-CA"/>
        </w:rPr>
        <w:t xml:space="preserve"> or a zero MWh </w:t>
      </w:r>
      <w:r w:rsidRPr="00897D3F">
        <w:rPr>
          <w:i/>
          <w:szCs w:val="22"/>
          <w:lang w:val="en-CA"/>
        </w:rPr>
        <w:t>dispatch</w:t>
      </w:r>
      <w:r w:rsidRPr="00FF3E10">
        <w:rPr>
          <w:szCs w:val="22"/>
          <w:lang w:val="en-CA"/>
        </w:rPr>
        <w:t xml:space="preserve"> instruction</w:t>
      </w:r>
    </w:p>
    <w:p w14:paraId="3FB9B171" w14:textId="77777777" w:rsidR="001A3A31" w:rsidRPr="00FF3E10" w:rsidRDefault="001A3A31" w:rsidP="006B5440">
      <w:pPr>
        <w:pStyle w:val="ListParagraph"/>
        <w:numPr>
          <w:ilvl w:val="0"/>
          <w:numId w:val="126"/>
        </w:numPr>
        <w:rPr>
          <w:szCs w:val="22"/>
          <w:lang w:val="en-CA"/>
        </w:rPr>
      </w:pPr>
      <w:r w:rsidRPr="00FF3E10">
        <w:rPr>
          <w:szCs w:val="22"/>
          <w:lang w:val="en-CA"/>
        </w:rPr>
        <w:t xml:space="preserve">Ramp-down rate limited (RDRL) </w:t>
      </w:r>
      <w:r w:rsidRPr="00FF3E10">
        <w:rPr>
          <w:rStyle w:val="FootnoteReference"/>
          <w:szCs w:val="22"/>
          <w:lang w:val="en-CA"/>
        </w:rPr>
        <w:footnoteReference w:id="39"/>
      </w:r>
      <w:r>
        <w:rPr>
          <w:szCs w:val="22"/>
          <w:lang w:val="en-CA"/>
        </w:rPr>
        <w:t>;</w:t>
      </w:r>
    </w:p>
    <w:p w14:paraId="51D90CE6" w14:textId="77777777" w:rsidR="001A3A31" w:rsidRPr="00FF3E10" w:rsidRDefault="001A3A31" w:rsidP="006B5440">
      <w:pPr>
        <w:pStyle w:val="ListParagraph"/>
        <w:numPr>
          <w:ilvl w:val="0"/>
          <w:numId w:val="126"/>
        </w:numPr>
        <w:rPr>
          <w:szCs w:val="22"/>
          <w:lang w:val="en-CA"/>
        </w:rPr>
      </w:pPr>
      <w:r w:rsidRPr="00897D3F">
        <w:rPr>
          <w:i/>
          <w:szCs w:val="22"/>
          <w:lang w:val="en-CA"/>
        </w:rPr>
        <w:t>Dispatch</w:t>
      </w:r>
      <w:r w:rsidRPr="00FF3E10">
        <w:rPr>
          <w:szCs w:val="22"/>
          <w:lang w:val="en-CA"/>
        </w:rPr>
        <w:t xml:space="preserve"> instruction is below the registered </w:t>
      </w:r>
      <w:r w:rsidRPr="00897D3F">
        <w:rPr>
          <w:i/>
          <w:szCs w:val="22"/>
          <w:lang w:val="en-CA"/>
        </w:rPr>
        <w:t>minimum loading point</w:t>
      </w:r>
      <w:r>
        <w:rPr>
          <w:szCs w:val="22"/>
          <w:lang w:val="en-CA"/>
        </w:rPr>
        <w:t>; or</w:t>
      </w:r>
    </w:p>
    <w:p w14:paraId="0ED0AD06" w14:textId="77777777" w:rsidR="001A3A31" w:rsidRPr="00FF3E10" w:rsidRDefault="001A3A31" w:rsidP="006B5440">
      <w:pPr>
        <w:pStyle w:val="ListParagraph"/>
        <w:numPr>
          <w:ilvl w:val="0"/>
          <w:numId w:val="126"/>
        </w:numPr>
        <w:rPr>
          <w:szCs w:val="22"/>
          <w:lang w:val="en-CA"/>
        </w:rPr>
      </w:pPr>
      <w:r w:rsidRPr="00FF3E10">
        <w:rPr>
          <w:szCs w:val="22"/>
          <w:lang w:val="en-CA"/>
        </w:rPr>
        <w:t xml:space="preserve">Revised </w:t>
      </w:r>
      <w:r w:rsidRPr="00897D3F">
        <w:rPr>
          <w:i/>
          <w:szCs w:val="22"/>
          <w:lang w:val="en-CA"/>
        </w:rPr>
        <w:t>dispatch</w:t>
      </w:r>
      <w:r w:rsidRPr="00FF3E10">
        <w:rPr>
          <w:szCs w:val="22"/>
          <w:lang w:val="en-CA"/>
        </w:rPr>
        <w:t xml:space="preserve"> instruction is sent due to </w:t>
      </w:r>
      <w:r w:rsidRPr="00897D3F">
        <w:rPr>
          <w:i/>
          <w:szCs w:val="22"/>
          <w:lang w:val="en-CA"/>
        </w:rPr>
        <w:t>dispatch</w:t>
      </w:r>
      <w:r w:rsidRPr="00FF3E10">
        <w:rPr>
          <w:szCs w:val="22"/>
          <w:lang w:val="en-CA"/>
        </w:rPr>
        <w:t xml:space="preserve"> deviation</w:t>
      </w:r>
      <w:r>
        <w:rPr>
          <w:szCs w:val="22"/>
          <w:lang w:val="en-CA"/>
        </w:rPr>
        <w:t>,</w:t>
      </w:r>
    </w:p>
    <w:p w14:paraId="768A6E02" w14:textId="77777777" w:rsidR="001A3A31" w:rsidRPr="00FF3E10" w:rsidRDefault="001A3A31" w:rsidP="0018276B">
      <w:pPr>
        <w:spacing w:before="120" w:after="120"/>
        <w:rPr>
          <w:szCs w:val="22"/>
          <w:lang w:val="en-CA"/>
        </w:rPr>
      </w:pPr>
      <w:r>
        <w:rPr>
          <w:szCs w:val="22"/>
          <w:lang w:val="en-CA"/>
        </w:rPr>
        <w:t>The start of the ramp-</w:t>
      </w:r>
      <w:r w:rsidRPr="00FF3E10">
        <w:rPr>
          <w:szCs w:val="22"/>
          <w:lang w:val="en-CA"/>
        </w:rPr>
        <w:t xml:space="preserve">down period is the first interval in the set of consecutive intervals. </w:t>
      </w:r>
    </w:p>
    <w:p w14:paraId="37AB30B9" w14:textId="7CAE33B9" w:rsidR="001A3A31" w:rsidRPr="00FF3E10" w:rsidRDefault="001A3A31" w:rsidP="0018276B">
      <w:pPr>
        <w:spacing w:before="120" w:after="120"/>
        <w:rPr>
          <w:szCs w:val="22"/>
          <w:lang w:val="en-CA"/>
        </w:rPr>
      </w:pPr>
      <w:r w:rsidRPr="00FF3E10">
        <w:rPr>
          <w:szCs w:val="22"/>
          <w:lang w:val="en-CA"/>
        </w:rPr>
        <w:t xml:space="preserve">The ramp-down factor (RDF) is a factor used in the calculation of RDC to adjust the </w:t>
      </w:r>
      <w:r w:rsidRPr="00897D3F">
        <w:rPr>
          <w:i/>
          <w:szCs w:val="22"/>
          <w:lang w:val="en-CA"/>
        </w:rPr>
        <w:t>generator’s</w:t>
      </w:r>
      <w:r w:rsidRPr="00FF3E10">
        <w:rPr>
          <w:szCs w:val="22"/>
          <w:lang w:val="en-CA"/>
        </w:rPr>
        <w:t xml:space="preserve"> </w:t>
      </w:r>
      <w:r w:rsidR="00610869">
        <w:rPr>
          <w:szCs w:val="22"/>
          <w:lang w:val="en-CA"/>
        </w:rPr>
        <w:t xml:space="preserve">or </w:t>
      </w:r>
      <w:r w:rsidR="00610869">
        <w:rPr>
          <w:i/>
          <w:szCs w:val="22"/>
          <w:lang w:val="en-CA"/>
        </w:rPr>
        <w:t xml:space="preserve">electricity storage participant’s </w:t>
      </w:r>
      <w:r w:rsidRPr="00897D3F">
        <w:rPr>
          <w:i/>
          <w:szCs w:val="22"/>
          <w:lang w:val="en-CA"/>
        </w:rPr>
        <w:t>offer</w:t>
      </w:r>
      <w:r w:rsidRPr="00FF3E10">
        <w:rPr>
          <w:szCs w:val="22"/>
          <w:lang w:val="en-CA"/>
        </w:rPr>
        <w:t xml:space="preserve"> for the </w:t>
      </w:r>
      <w:r w:rsidRPr="00897D3F">
        <w:rPr>
          <w:i/>
          <w:szCs w:val="22"/>
          <w:lang w:val="en-CA"/>
        </w:rPr>
        <w:t>settlement hour</w:t>
      </w:r>
      <w:r w:rsidRPr="00FF3E10">
        <w:rPr>
          <w:szCs w:val="22"/>
          <w:lang w:val="en-CA"/>
        </w:rPr>
        <w:t xml:space="preserve"> immediately preceding the hour in which the ramp-down began; this adjusted </w:t>
      </w:r>
      <w:r w:rsidRPr="00897D3F">
        <w:rPr>
          <w:i/>
          <w:szCs w:val="22"/>
          <w:lang w:val="en-CA"/>
        </w:rPr>
        <w:t>offer</w:t>
      </w:r>
      <w:r w:rsidRPr="00FF3E10">
        <w:rPr>
          <w:szCs w:val="22"/>
          <w:lang w:val="en-CA"/>
        </w:rPr>
        <w:t xml:space="preserve"> is then used to calculate RDC for all ramp-down intervals.  The RDF is intended to provide </w:t>
      </w:r>
      <w:r>
        <w:rPr>
          <w:szCs w:val="22"/>
          <w:lang w:val="en-CA"/>
        </w:rPr>
        <w:t xml:space="preserve">the </w:t>
      </w:r>
      <w:r w:rsidRPr="00897D3F">
        <w:rPr>
          <w:i/>
          <w:szCs w:val="22"/>
          <w:lang w:val="en-CA"/>
        </w:rPr>
        <w:t xml:space="preserve">generator </w:t>
      </w:r>
      <w:r w:rsidRPr="00FF3E10">
        <w:rPr>
          <w:szCs w:val="22"/>
          <w:lang w:val="en-CA"/>
        </w:rPr>
        <w:t>with reasonable compensation to drive efficient operation while mitigating self-induced CMSC.  The RDF is defined as follows:</w:t>
      </w:r>
    </w:p>
    <w:p w14:paraId="3D78F58F" w14:textId="77777777" w:rsidR="001A3A31" w:rsidRPr="00FF3E10" w:rsidRDefault="001A3A31" w:rsidP="006B5440">
      <w:pPr>
        <w:pStyle w:val="BodyTextIndent"/>
        <w:numPr>
          <w:ilvl w:val="0"/>
          <w:numId w:val="125"/>
        </w:numPr>
        <w:rPr>
          <w:sz w:val="22"/>
          <w:szCs w:val="22"/>
        </w:rPr>
      </w:pPr>
      <w:r w:rsidRPr="00FF3E10">
        <w:rPr>
          <w:sz w:val="22"/>
          <w:szCs w:val="22"/>
        </w:rPr>
        <w:t>1.0</w:t>
      </w:r>
      <w:r>
        <w:rPr>
          <w:sz w:val="22"/>
          <w:szCs w:val="22"/>
        </w:rPr>
        <w:t xml:space="preserve">, </w:t>
      </w:r>
      <w:r w:rsidRPr="00FF3E10">
        <w:rPr>
          <w:sz w:val="22"/>
          <w:szCs w:val="22"/>
        </w:rPr>
        <w:t xml:space="preserve">when </w:t>
      </w:r>
      <w:r w:rsidRPr="00897D3F">
        <w:rPr>
          <w:i/>
          <w:sz w:val="22"/>
          <w:szCs w:val="22"/>
        </w:rPr>
        <w:t>dispatch</w:t>
      </w:r>
      <w:r w:rsidRPr="00FF3E10">
        <w:rPr>
          <w:sz w:val="22"/>
          <w:szCs w:val="22"/>
        </w:rPr>
        <w:t xml:space="preserve"> is equal to or greater than the registered MLP; and</w:t>
      </w:r>
    </w:p>
    <w:p w14:paraId="64714C4F" w14:textId="77777777" w:rsidR="001A3A31" w:rsidRPr="00FF3E10" w:rsidRDefault="001A3A31" w:rsidP="006B5440">
      <w:pPr>
        <w:pStyle w:val="BodyTextIndent"/>
        <w:numPr>
          <w:ilvl w:val="0"/>
          <w:numId w:val="125"/>
        </w:numPr>
        <w:rPr>
          <w:sz w:val="22"/>
          <w:szCs w:val="22"/>
        </w:rPr>
      </w:pPr>
      <w:r w:rsidRPr="00FF3E10">
        <w:rPr>
          <w:sz w:val="22"/>
          <w:szCs w:val="22"/>
        </w:rPr>
        <w:t>1.3</w:t>
      </w:r>
      <w:r>
        <w:rPr>
          <w:sz w:val="22"/>
          <w:szCs w:val="22"/>
        </w:rPr>
        <w:t xml:space="preserve">, </w:t>
      </w:r>
      <w:r w:rsidRPr="00FF3E10">
        <w:rPr>
          <w:sz w:val="22"/>
          <w:szCs w:val="22"/>
        </w:rPr>
        <w:t xml:space="preserve">when </w:t>
      </w:r>
      <w:r w:rsidRPr="00897D3F">
        <w:rPr>
          <w:i/>
          <w:sz w:val="22"/>
          <w:szCs w:val="22"/>
        </w:rPr>
        <w:t>dispatch</w:t>
      </w:r>
      <w:r w:rsidRPr="00FF3E10">
        <w:rPr>
          <w:sz w:val="22"/>
          <w:szCs w:val="22"/>
        </w:rPr>
        <w:t xml:space="preserve"> is below registered MLP.</w:t>
      </w:r>
    </w:p>
    <w:p w14:paraId="698958F9" w14:textId="64ED5663" w:rsidR="000F4C7E" w:rsidRDefault="001A3A31" w:rsidP="001A3A31">
      <w:pPr>
        <w:pStyle w:val="BodyTextIndent"/>
        <w:rPr>
          <w:sz w:val="22"/>
          <w:szCs w:val="22"/>
          <w:lang w:val="en-CA"/>
        </w:rPr>
      </w:pPr>
      <w:r w:rsidRPr="00FF3E10">
        <w:rPr>
          <w:sz w:val="22"/>
          <w:szCs w:val="22"/>
          <w:lang w:val="en-CA"/>
        </w:rPr>
        <w:t xml:space="preserve">The calculation of RDSA will be limited to the ramp-down intervals for the </w:t>
      </w:r>
      <w:r w:rsidRPr="00897D3F">
        <w:rPr>
          <w:i/>
          <w:sz w:val="22"/>
          <w:szCs w:val="22"/>
          <w:lang w:val="en-CA"/>
        </w:rPr>
        <w:t>trading day</w:t>
      </w:r>
      <w:r w:rsidRPr="00FF3E10">
        <w:rPr>
          <w:sz w:val="22"/>
          <w:szCs w:val="22"/>
          <w:lang w:val="en-CA"/>
        </w:rPr>
        <w:t xml:space="preserve"> in which the </w:t>
      </w:r>
      <w:r w:rsidRPr="00897D3F">
        <w:rPr>
          <w:i/>
          <w:sz w:val="22"/>
          <w:szCs w:val="22"/>
          <w:lang w:val="en-CA"/>
        </w:rPr>
        <w:t>generator</w:t>
      </w:r>
      <w:r w:rsidRPr="00FF3E10">
        <w:rPr>
          <w:sz w:val="22"/>
          <w:szCs w:val="22"/>
          <w:lang w:val="en-CA"/>
        </w:rPr>
        <w:t xml:space="preserve"> went offline. In the event that</w:t>
      </w:r>
      <w:r>
        <w:rPr>
          <w:sz w:val="22"/>
          <w:szCs w:val="22"/>
          <w:lang w:val="en-CA"/>
        </w:rPr>
        <w:t xml:space="preserve"> a</w:t>
      </w:r>
      <w:r w:rsidRPr="00FF3E10">
        <w:rPr>
          <w:sz w:val="22"/>
          <w:szCs w:val="22"/>
          <w:lang w:val="en-CA"/>
        </w:rPr>
        <w:t xml:space="preserve"> ramp-down period cros</w:t>
      </w:r>
      <w:r>
        <w:rPr>
          <w:sz w:val="22"/>
          <w:szCs w:val="22"/>
          <w:lang w:val="en-CA"/>
        </w:rPr>
        <w:t xml:space="preserve">ses over from the previous </w:t>
      </w:r>
      <w:r w:rsidRPr="00897D3F">
        <w:rPr>
          <w:i/>
          <w:sz w:val="22"/>
          <w:szCs w:val="22"/>
          <w:lang w:val="en-CA"/>
        </w:rPr>
        <w:t>trading day</w:t>
      </w:r>
      <w:r w:rsidRPr="00FF3E10">
        <w:rPr>
          <w:sz w:val="22"/>
          <w:szCs w:val="22"/>
          <w:lang w:val="en-CA"/>
        </w:rPr>
        <w:t>, any C</w:t>
      </w:r>
      <w:r>
        <w:rPr>
          <w:sz w:val="22"/>
          <w:szCs w:val="22"/>
          <w:lang w:val="en-CA"/>
        </w:rPr>
        <w:t xml:space="preserve">MSC earned in the previous </w:t>
      </w:r>
      <w:r w:rsidRPr="00897D3F">
        <w:rPr>
          <w:i/>
          <w:sz w:val="22"/>
          <w:szCs w:val="22"/>
          <w:lang w:val="en-CA"/>
        </w:rPr>
        <w:t>trading day</w:t>
      </w:r>
      <w:r w:rsidRPr="00FF3E10">
        <w:rPr>
          <w:sz w:val="22"/>
          <w:szCs w:val="22"/>
          <w:lang w:val="en-CA"/>
        </w:rPr>
        <w:t xml:space="preserve"> will not be adjusted. If a </w:t>
      </w:r>
      <w:r w:rsidRPr="00897D3F">
        <w:rPr>
          <w:i/>
          <w:sz w:val="22"/>
          <w:szCs w:val="22"/>
          <w:lang w:val="en-CA"/>
        </w:rPr>
        <w:t>generator</w:t>
      </w:r>
      <w:r w:rsidRPr="00FF3E10">
        <w:rPr>
          <w:sz w:val="22"/>
          <w:szCs w:val="22"/>
          <w:lang w:val="en-CA"/>
        </w:rPr>
        <w:t xml:space="preserve"> </w:t>
      </w:r>
      <w:r w:rsidR="00610869">
        <w:rPr>
          <w:szCs w:val="22"/>
          <w:lang w:val="en-CA"/>
        </w:rPr>
        <w:t xml:space="preserve">or </w:t>
      </w:r>
      <w:r w:rsidR="00610869">
        <w:rPr>
          <w:i/>
          <w:szCs w:val="22"/>
          <w:lang w:val="en-CA"/>
        </w:rPr>
        <w:t xml:space="preserve">electricity storage participant </w:t>
      </w:r>
      <w:r w:rsidRPr="00FF3E10">
        <w:rPr>
          <w:sz w:val="22"/>
          <w:szCs w:val="22"/>
          <w:lang w:val="en-CA"/>
        </w:rPr>
        <w:t>comes online but does not reach MLP before going offline any CMSC earned during ramp-down will not be adjusted.</w:t>
      </w:r>
    </w:p>
    <w:p w14:paraId="55274656" w14:textId="2D5BFFEB" w:rsidR="000F4C7E" w:rsidRDefault="000F4C7E" w:rsidP="000F4C7E">
      <w:pPr>
        <w:pStyle w:val="Heading3"/>
      </w:pPr>
      <w:bookmarkStart w:id="1277" w:name="_Toc35796361"/>
      <w:bookmarkStart w:id="1278" w:name="_Toc79657963"/>
      <w:r>
        <w:t>Ontario Rebate for Electricity Consumers</w:t>
      </w:r>
      <w:r w:rsidR="00643710">
        <w:t xml:space="preserve"> Act</w:t>
      </w:r>
      <w:r w:rsidR="00D43CDE">
        <w:t>, 2016</w:t>
      </w:r>
      <w:bookmarkEnd w:id="1277"/>
      <w:bookmarkEnd w:id="1278"/>
    </w:p>
    <w:p w14:paraId="5EC23113" w14:textId="3F0D1958" w:rsidR="000F4C7E" w:rsidRDefault="000F4C7E" w:rsidP="0018276B">
      <w:pPr>
        <w:pStyle w:val="Default"/>
        <w:spacing w:before="120" w:after="120"/>
        <w:rPr>
          <w:sz w:val="22"/>
          <w:szCs w:val="22"/>
        </w:rPr>
      </w:pPr>
      <w:r w:rsidRPr="00B4335C">
        <w:rPr>
          <w:sz w:val="22"/>
          <w:szCs w:val="22"/>
        </w:rPr>
        <w:t xml:space="preserve">The </w:t>
      </w:r>
      <w:r w:rsidRPr="00D43CDE">
        <w:rPr>
          <w:i/>
          <w:sz w:val="22"/>
          <w:szCs w:val="22"/>
        </w:rPr>
        <w:t xml:space="preserve">Ontario Rebate for Electricity Consumers </w:t>
      </w:r>
      <w:r w:rsidR="00D43CDE" w:rsidRPr="00D43CDE">
        <w:rPr>
          <w:i/>
          <w:sz w:val="22"/>
          <w:szCs w:val="22"/>
        </w:rPr>
        <w:t>Act, 2016</w:t>
      </w:r>
      <w:r w:rsidR="00D43CDE">
        <w:rPr>
          <w:sz w:val="22"/>
          <w:szCs w:val="22"/>
        </w:rPr>
        <w:t xml:space="preserve"> </w:t>
      </w:r>
      <w:r w:rsidRPr="00B4335C">
        <w:rPr>
          <w:sz w:val="22"/>
          <w:szCs w:val="22"/>
        </w:rPr>
        <w:t>(</w:t>
      </w:r>
      <w:r w:rsidR="00846856">
        <w:rPr>
          <w:sz w:val="22"/>
          <w:szCs w:val="22"/>
        </w:rPr>
        <w:t>“</w:t>
      </w:r>
      <w:r w:rsidRPr="00B4335C">
        <w:rPr>
          <w:sz w:val="22"/>
          <w:szCs w:val="22"/>
        </w:rPr>
        <w:t>OREC</w:t>
      </w:r>
      <w:r w:rsidR="00846856">
        <w:rPr>
          <w:sz w:val="22"/>
          <w:szCs w:val="22"/>
        </w:rPr>
        <w:t>”</w:t>
      </w:r>
      <w:r w:rsidRPr="00B4335C">
        <w:rPr>
          <w:sz w:val="22"/>
          <w:szCs w:val="22"/>
        </w:rPr>
        <w:t xml:space="preserve">) </w:t>
      </w:r>
      <w:r w:rsidR="00416541">
        <w:rPr>
          <w:sz w:val="22"/>
          <w:szCs w:val="22"/>
        </w:rPr>
        <w:t>has been</w:t>
      </w:r>
      <w:r w:rsidR="00416541" w:rsidRPr="00B4335C">
        <w:rPr>
          <w:sz w:val="22"/>
          <w:szCs w:val="22"/>
        </w:rPr>
        <w:t xml:space="preserve"> </w:t>
      </w:r>
      <w:r w:rsidRPr="00B4335C">
        <w:rPr>
          <w:sz w:val="22"/>
          <w:szCs w:val="22"/>
        </w:rPr>
        <w:t>established by the Ministry of Energy</w:t>
      </w:r>
      <w:r w:rsidR="00AD158D">
        <w:rPr>
          <w:sz w:val="22"/>
          <w:szCs w:val="22"/>
        </w:rPr>
        <w:t>, Northern Development and Mines</w:t>
      </w:r>
      <w:r w:rsidRPr="00B4335C">
        <w:rPr>
          <w:sz w:val="22"/>
          <w:szCs w:val="22"/>
        </w:rPr>
        <w:t xml:space="preserve"> to provide financial assistance for certain Ontario electricity </w:t>
      </w:r>
      <w:r w:rsidRPr="009C1F3D">
        <w:rPr>
          <w:i/>
          <w:sz w:val="22"/>
          <w:szCs w:val="22"/>
        </w:rPr>
        <w:t>consumers</w:t>
      </w:r>
      <w:r w:rsidRPr="00B4335C">
        <w:rPr>
          <w:sz w:val="22"/>
          <w:szCs w:val="22"/>
        </w:rPr>
        <w:t xml:space="preserve"> in respect of electricity costs. As described in the </w:t>
      </w:r>
      <w:r w:rsidRPr="00D43CDE">
        <w:rPr>
          <w:iCs/>
          <w:sz w:val="22"/>
          <w:szCs w:val="22"/>
        </w:rPr>
        <w:t>Act</w:t>
      </w:r>
      <w:r w:rsidRPr="00B4335C">
        <w:rPr>
          <w:sz w:val="22"/>
          <w:szCs w:val="22"/>
        </w:rPr>
        <w:t xml:space="preserve"> and Ontario Regulation</w:t>
      </w:r>
      <w:r w:rsidR="00D43CDE">
        <w:rPr>
          <w:sz w:val="22"/>
          <w:szCs w:val="22"/>
        </w:rPr>
        <w:t>s</w:t>
      </w:r>
      <w:r w:rsidRPr="00B4335C">
        <w:rPr>
          <w:sz w:val="22"/>
          <w:szCs w:val="22"/>
        </w:rPr>
        <w:t xml:space="preserve"> 363/16</w:t>
      </w:r>
      <w:r w:rsidR="00D43CDE">
        <w:rPr>
          <w:sz w:val="22"/>
          <w:szCs w:val="22"/>
        </w:rPr>
        <w:t xml:space="preserve"> </w:t>
      </w:r>
      <w:r w:rsidR="002F0DAF">
        <w:rPr>
          <w:sz w:val="22"/>
          <w:szCs w:val="22"/>
        </w:rPr>
        <w:t xml:space="preserve">and </w:t>
      </w:r>
      <w:r w:rsidR="00D43CDE">
        <w:rPr>
          <w:sz w:val="22"/>
          <w:szCs w:val="22"/>
        </w:rPr>
        <w:t>364/16</w:t>
      </w:r>
      <w:r w:rsidRPr="00B4335C">
        <w:rPr>
          <w:sz w:val="22"/>
          <w:szCs w:val="22"/>
        </w:rPr>
        <w:t xml:space="preserve">, </w:t>
      </w:r>
      <w:r w:rsidRPr="00846856">
        <w:rPr>
          <w:iCs/>
          <w:sz w:val="22"/>
          <w:szCs w:val="22"/>
        </w:rPr>
        <w:t>consumers</w:t>
      </w:r>
      <w:r w:rsidRPr="00B4335C">
        <w:rPr>
          <w:i/>
          <w:iCs/>
          <w:sz w:val="22"/>
          <w:szCs w:val="22"/>
        </w:rPr>
        <w:t xml:space="preserve"> </w:t>
      </w:r>
      <w:r w:rsidRPr="00B4335C">
        <w:rPr>
          <w:sz w:val="22"/>
          <w:szCs w:val="22"/>
        </w:rPr>
        <w:t xml:space="preserve">with eligible accounts receive a reduction in the amount payable before tax under their electricity accounts for each billing period. </w:t>
      </w:r>
      <w:r w:rsidR="00D43CDE">
        <w:rPr>
          <w:sz w:val="22"/>
          <w:szCs w:val="22"/>
        </w:rPr>
        <w:t>The Act and the r</w:t>
      </w:r>
      <w:r w:rsidRPr="00B4335C">
        <w:rPr>
          <w:sz w:val="22"/>
          <w:szCs w:val="22"/>
        </w:rPr>
        <w:t>egulation</w:t>
      </w:r>
      <w:r w:rsidR="00D43CDE">
        <w:rPr>
          <w:sz w:val="22"/>
          <w:szCs w:val="22"/>
        </w:rPr>
        <w:t>s</w:t>
      </w:r>
      <w:r w:rsidRPr="00B4335C">
        <w:rPr>
          <w:sz w:val="22"/>
          <w:szCs w:val="22"/>
        </w:rPr>
        <w:t xml:space="preserve"> </w:t>
      </w:r>
      <w:r w:rsidR="00206166">
        <w:rPr>
          <w:sz w:val="22"/>
          <w:szCs w:val="22"/>
        </w:rPr>
        <w:t>ha</w:t>
      </w:r>
      <w:r w:rsidR="00D43CDE">
        <w:rPr>
          <w:sz w:val="22"/>
          <w:szCs w:val="22"/>
        </w:rPr>
        <w:t>ve</w:t>
      </w:r>
      <w:r w:rsidR="00206166">
        <w:rPr>
          <w:sz w:val="22"/>
          <w:szCs w:val="22"/>
        </w:rPr>
        <w:t xml:space="preserve"> been</w:t>
      </w:r>
      <w:r w:rsidR="00206166" w:rsidRPr="00B4335C">
        <w:rPr>
          <w:sz w:val="22"/>
          <w:szCs w:val="22"/>
        </w:rPr>
        <w:t xml:space="preserve"> </w:t>
      </w:r>
      <w:r w:rsidRPr="00B4335C">
        <w:rPr>
          <w:sz w:val="22"/>
          <w:szCs w:val="22"/>
        </w:rPr>
        <w:t>in force as of January 1, 2017.</w:t>
      </w:r>
    </w:p>
    <w:p w14:paraId="4BBD12CB" w14:textId="7607A975" w:rsidR="002F0DAF" w:rsidRPr="00B4335C" w:rsidRDefault="00846856" w:rsidP="00846856">
      <w:pPr>
        <w:pStyle w:val="Default"/>
        <w:spacing w:before="120" w:after="120"/>
        <w:rPr>
          <w:sz w:val="22"/>
          <w:szCs w:val="22"/>
        </w:rPr>
      </w:pPr>
      <w:r>
        <w:rPr>
          <w:sz w:val="22"/>
          <w:szCs w:val="22"/>
        </w:rPr>
        <w:t xml:space="preserve">Ontario </w:t>
      </w:r>
      <w:r w:rsidR="002F0DAF">
        <w:rPr>
          <w:sz w:val="22"/>
          <w:szCs w:val="22"/>
        </w:rPr>
        <w:t xml:space="preserve">Regulation 363/16 </w:t>
      </w:r>
      <w:r>
        <w:rPr>
          <w:sz w:val="22"/>
          <w:szCs w:val="22"/>
        </w:rPr>
        <w:t>requires</w:t>
      </w:r>
      <w:r w:rsidR="002F0DAF" w:rsidRPr="00B4335C">
        <w:rPr>
          <w:sz w:val="22"/>
          <w:szCs w:val="22"/>
        </w:rPr>
        <w:t xml:space="preserve"> the </w:t>
      </w:r>
      <w:r w:rsidR="002F0DAF" w:rsidRPr="00B4335C">
        <w:rPr>
          <w:i/>
          <w:iCs/>
          <w:sz w:val="22"/>
          <w:szCs w:val="22"/>
        </w:rPr>
        <w:t xml:space="preserve">IESO </w:t>
      </w:r>
      <w:r w:rsidR="002F0DAF" w:rsidRPr="00B4335C">
        <w:rPr>
          <w:sz w:val="22"/>
          <w:szCs w:val="22"/>
        </w:rPr>
        <w:t xml:space="preserve">to </w:t>
      </w:r>
      <w:r w:rsidR="002F0DAF" w:rsidRPr="008279FA">
        <w:rPr>
          <w:sz w:val="22"/>
          <w:szCs w:val="22"/>
        </w:rPr>
        <w:t xml:space="preserve">reimburse licensed </w:t>
      </w:r>
      <w:r w:rsidR="002F0DAF" w:rsidRPr="00846856">
        <w:rPr>
          <w:sz w:val="22"/>
          <w:szCs w:val="22"/>
        </w:rPr>
        <w:t>distributors</w:t>
      </w:r>
      <w:r>
        <w:rPr>
          <w:sz w:val="22"/>
          <w:szCs w:val="22"/>
        </w:rPr>
        <w:t xml:space="preserve"> that are </w:t>
      </w:r>
      <w:r w:rsidRPr="00846856">
        <w:rPr>
          <w:i/>
          <w:sz w:val="22"/>
          <w:szCs w:val="22"/>
        </w:rPr>
        <w:t>market participan</w:t>
      </w:r>
      <w:r>
        <w:rPr>
          <w:i/>
          <w:sz w:val="22"/>
          <w:szCs w:val="22"/>
        </w:rPr>
        <w:t>ts</w:t>
      </w:r>
      <w:r w:rsidR="002F0DAF" w:rsidRPr="00B4335C">
        <w:rPr>
          <w:i/>
          <w:sz w:val="22"/>
          <w:szCs w:val="22"/>
        </w:rPr>
        <w:t xml:space="preserve"> </w:t>
      </w:r>
      <w:r w:rsidR="002F0DAF" w:rsidRPr="00B4335C">
        <w:rPr>
          <w:sz w:val="22"/>
          <w:szCs w:val="22"/>
        </w:rPr>
        <w:t xml:space="preserve">for the financial assistance </w:t>
      </w:r>
      <w:r>
        <w:rPr>
          <w:sz w:val="22"/>
          <w:szCs w:val="22"/>
        </w:rPr>
        <w:t>they have</w:t>
      </w:r>
      <w:r w:rsidR="002F0DAF" w:rsidRPr="00B4335C">
        <w:rPr>
          <w:sz w:val="22"/>
          <w:szCs w:val="22"/>
        </w:rPr>
        <w:t xml:space="preserve"> provided to </w:t>
      </w:r>
      <w:r w:rsidR="002F0DAF" w:rsidRPr="00986A21">
        <w:rPr>
          <w:iCs/>
          <w:sz w:val="22"/>
          <w:szCs w:val="22"/>
        </w:rPr>
        <w:t>consumers</w:t>
      </w:r>
      <w:r w:rsidR="002F0DAF" w:rsidRPr="00B4335C">
        <w:rPr>
          <w:i/>
          <w:iCs/>
          <w:sz w:val="22"/>
          <w:szCs w:val="22"/>
        </w:rPr>
        <w:t xml:space="preserve"> </w:t>
      </w:r>
      <w:r w:rsidR="002F0DAF" w:rsidRPr="00B4335C">
        <w:rPr>
          <w:sz w:val="22"/>
          <w:szCs w:val="22"/>
        </w:rPr>
        <w:t>that have eligible accounts with</w:t>
      </w:r>
      <w:r>
        <w:rPr>
          <w:sz w:val="22"/>
          <w:szCs w:val="22"/>
        </w:rPr>
        <w:t>:</w:t>
      </w:r>
      <w:r w:rsidR="002F0DAF" w:rsidRPr="00B4335C">
        <w:rPr>
          <w:sz w:val="22"/>
          <w:szCs w:val="22"/>
        </w:rPr>
        <w:t xml:space="preserve"> </w:t>
      </w:r>
      <w:r>
        <w:rPr>
          <w:sz w:val="22"/>
          <w:szCs w:val="22"/>
        </w:rPr>
        <w:t>the distributor</w:t>
      </w:r>
      <w:r w:rsidR="002F0DAF" w:rsidRPr="00B4335C">
        <w:rPr>
          <w:sz w:val="22"/>
          <w:szCs w:val="22"/>
        </w:rPr>
        <w:t xml:space="preserve">; any wholly-embedded </w:t>
      </w:r>
      <w:r w:rsidR="002F0DAF" w:rsidRPr="00846856">
        <w:rPr>
          <w:iCs/>
          <w:sz w:val="22"/>
          <w:szCs w:val="22"/>
        </w:rPr>
        <w:t>distributors</w:t>
      </w:r>
      <w:r>
        <w:rPr>
          <w:iCs/>
          <w:sz w:val="22"/>
          <w:szCs w:val="22"/>
        </w:rPr>
        <w:t xml:space="preserve"> of which the licensed distributor is the host distributor</w:t>
      </w:r>
      <w:r w:rsidR="002F0DAF" w:rsidRPr="00B4335C">
        <w:rPr>
          <w:sz w:val="22"/>
          <w:szCs w:val="22"/>
        </w:rPr>
        <w:t xml:space="preserve">; and any licensed </w:t>
      </w:r>
      <w:r w:rsidR="002F0DAF" w:rsidRPr="00846856">
        <w:rPr>
          <w:sz w:val="22"/>
          <w:szCs w:val="22"/>
        </w:rPr>
        <w:t>retailers</w:t>
      </w:r>
      <w:r w:rsidR="002F0DAF" w:rsidRPr="00B4335C">
        <w:rPr>
          <w:sz w:val="22"/>
          <w:szCs w:val="22"/>
        </w:rPr>
        <w:t xml:space="preserve"> that use </w:t>
      </w:r>
      <w:r w:rsidR="002F0DAF" w:rsidRPr="00846856">
        <w:rPr>
          <w:sz w:val="22"/>
          <w:szCs w:val="22"/>
        </w:rPr>
        <w:t>retailer</w:t>
      </w:r>
      <w:r w:rsidR="002F0DAF" w:rsidRPr="00B4335C">
        <w:rPr>
          <w:sz w:val="22"/>
          <w:szCs w:val="22"/>
        </w:rPr>
        <w:t>-consolidated billing</w:t>
      </w:r>
      <w:r w:rsidRPr="00846856">
        <w:rPr>
          <w:sz w:val="22"/>
          <w:szCs w:val="22"/>
        </w:rPr>
        <w:t xml:space="preserve"> </w:t>
      </w:r>
      <w:r>
        <w:rPr>
          <w:sz w:val="22"/>
          <w:szCs w:val="22"/>
        </w:rPr>
        <w:t>for financial assistance</w:t>
      </w:r>
      <w:r w:rsidR="002F0DAF" w:rsidRPr="00B4335C">
        <w:rPr>
          <w:sz w:val="22"/>
          <w:szCs w:val="22"/>
        </w:rPr>
        <w:t xml:space="preserve"> and that conduct business in </w:t>
      </w:r>
      <w:r w:rsidRPr="00B4335C">
        <w:rPr>
          <w:sz w:val="22"/>
          <w:szCs w:val="22"/>
        </w:rPr>
        <w:t>the</w:t>
      </w:r>
      <w:r>
        <w:rPr>
          <w:sz w:val="22"/>
          <w:szCs w:val="22"/>
        </w:rPr>
        <w:t xml:space="preserve"> licensed distributor’s</w:t>
      </w:r>
      <w:r w:rsidRPr="00B4335C">
        <w:rPr>
          <w:sz w:val="22"/>
          <w:szCs w:val="22"/>
        </w:rPr>
        <w:t xml:space="preserve"> </w:t>
      </w:r>
      <w:r w:rsidR="002F0DAF" w:rsidRPr="00B4335C">
        <w:rPr>
          <w:sz w:val="22"/>
          <w:szCs w:val="22"/>
        </w:rPr>
        <w:t xml:space="preserve">service area or the service area of </w:t>
      </w:r>
      <w:r>
        <w:rPr>
          <w:sz w:val="22"/>
          <w:szCs w:val="22"/>
        </w:rPr>
        <w:t>a</w:t>
      </w:r>
      <w:r w:rsidR="002F0DAF" w:rsidRPr="00B4335C">
        <w:rPr>
          <w:sz w:val="22"/>
          <w:szCs w:val="22"/>
        </w:rPr>
        <w:t xml:space="preserve"> wholly-embedded </w:t>
      </w:r>
      <w:r w:rsidRPr="00952CAE">
        <w:rPr>
          <w:iCs/>
          <w:sz w:val="22"/>
          <w:szCs w:val="22"/>
        </w:rPr>
        <w:t>distributor</w:t>
      </w:r>
      <w:r>
        <w:rPr>
          <w:iCs/>
          <w:sz w:val="22"/>
          <w:szCs w:val="22"/>
        </w:rPr>
        <w:t xml:space="preserve"> for whom the licensed distributor is the host distributor</w:t>
      </w:r>
      <w:r w:rsidR="002F0DAF" w:rsidRPr="00B4335C">
        <w:rPr>
          <w:sz w:val="22"/>
          <w:szCs w:val="22"/>
        </w:rPr>
        <w:t xml:space="preserve">. </w:t>
      </w:r>
      <w:r>
        <w:rPr>
          <w:sz w:val="22"/>
          <w:szCs w:val="22"/>
        </w:rPr>
        <w:t>The r</w:t>
      </w:r>
      <w:r w:rsidR="002F0DAF" w:rsidRPr="00B4335C">
        <w:rPr>
          <w:sz w:val="22"/>
          <w:szCs w:val="22"/>
        </w:rPr>
        <w:t>egulation</w:t>
      </w:r>
      <w:r w:rsidR="002F0DAF">
        <w:rPr>
          <w:sz w:val="22"/>
          <w:szCs w:val="22"/>
        </w:rPr>
        <w:t>s</w:t>
      </w:r>
      <w:r w:rsidR="002F0DAF" w:rsidRPr="00B4335C">
        <w:rPr>
          <w:sz w:val="22"/>
          <w:szCs w:val="22"/>
        </w:rPr>
        <w:t xml:space="preserve"> also </w:t>
      </w:r>
      <w:r w:rsidR="00986A21">
        <w:rPr>
          <w:sz w:val="22"/>
          <w:szCs w:val="22"/>
        </w:rPr>
        <w:t>requires</w:t>
      </w:r>
      <w:r w:rsidR="002F0DAF" w:rsidRPr="00B4335C">
        <w:rPr>
          <w:sz w:val="22"/>
          <w:szCs w:val="22"/>
        </w:rPr>
        <w:t xml:space="preserve"> the </w:t>
      </w:r>
      <w:r w:rsidR="002F0DAF" w:rsidRPr="00B4335C">
        <w:rPr>
          <w:i/>
          <w:iCs/>
          <w:sz w:val="22"/>
          <w:szCs w:val="22"/>
        </w:rPr>
        <w:t xml:space="preserve">IESO </w:t>
      </w:r>
      <w:r w:rsidR="002F0DAF" w:rsidRPr="00B4335C">
        <w:rPr>
          <w:sz w:val="22"/>
          <w:szCs w:val="22"/>
        </w:rPr>
        <w:t>to reimburse unit sub-</w:t>
      </w:r>
      <w:r w:rsidR="002F0DAF" w:rsidRPr="00986A21">
        <w:rPr>
          <w:iCs/>
          <w:sz w:val="22"/>
          <w:szCs w:val="22"/>
        </w:rPr>
        <w:t>meter</w:t>
      </w:r>
      <w:r w:rsidR="002F0DAF" w:rsidRPr="00B4335C">
        <w:rPr>
          <w:i/>
          <w:iCs/>
          <w:sz w:val="22"/>
          <w:szCs w:val="22"/>
        </w:rPr>
        <w:t xml:space="preserve"> </w:t>
      </w:r>
      <w:r w:rsidR="002F0DAF" w:rsidRPr="00B4335C">
        <w:rPr>
          <w:sz w:val="22"/>
          <w:szCs w:val="22"/>
        </w:rPr>
        <w:t>providers</w:t>
      </w:r>
      <w:r w:rsidR="002F0DAF">
        <w:rPr>
          <w:rStyle w:val="FootnoteReference"/>
          <w:sz w:val="22"/>
          <w:szCs w:val="22"/>
        </w:rPr>
        <w:footnoteReference w:id="40"/>
      </w:r>
      <w:r w:rsidR="002F0DAF">
        <w:rPr>
          <w:sz w:val="14"/>
          <w:szCs w:val="14"/>
        </w:rPr>
        <w:t xml:space="preserve"> </w:t>
      </w:r>
      <w:r w:rsidR="002F0DAF" w:rsidRPr="00B4335C">
        <w:rPr>
          <w:sz w:val="22"/>
          <w:szCs w:val="22"/>
        </w:rPr>
        <w:t xml:space="preserve">for the financial assistance </w:t>
      </w:r>
      <w:r w:rsidR="00986A21">
        <w:rPr>
          <w:sz w:val="22"/>
          <w:szCs w:val="22"/>
        </w:rPr>
        <w:t xml:space="preserve">they have </w:t>
      </w:r>
      <w:r w:rsidR="002F0DAF" w:rsidRPr="00B4335C">
        <w:rPr>
          <w:sz w:val="22"/>
          <w:szCs w:val="22"/>
        </w:rPr>
        <w:t xml:space="preserve">provided to </w:t>
      </w:r>
      <w:r w:rsidR="002F0DAF" w:rsidRPr="00986A21">
        <w:rPr>
          <w:iCs/>
          <w:sz w:val="22"/>
          <w:szCs w:val="22"/>
        </w:rPr>
        <w:t>consumers</w:t>
      </w:r>
      <w:r w:rsidR="002F0DAF" w:rsidRPr="00B4335C">
        <w:rPr>
          <w:i/>
          <w:iCs/>
          <w:sz w:val="22"/>
          <w:szCs w:val="22"/>
        </w:rPr>
        <w:t xml:space="preserve"> </w:t>
      </w:r>
      <w:r w:rsidR="002F0DAF" w:rsidRPr="00B4335C">
        <w:rPr>
          <w:sz w:val="22"/>
          <w:szCs w:val="22"/>
        </w:rPr>
        <w:t>that are entitled to receive financial assistance</w:t>
      </w:r>
      <w:r w:rsidR="002F0DAF" w:rsidRPr="00986A21">
        <w:rPr>
          <w:color w:val="auto"/>
          <w:sz w:val="22"/>
          <w:szCs w:val="22"/>
        </w:rPr>
        <w:t xml:space="preserve">. </w:t>
      </w:r>
      <w:r w:rsidR="00986A21" w:rsidRPr="00986A21">
        <w:rPr>
          <w:color w:val="auto"/>
          <w:sz w:val="22"/>
          <w:szCs w:val="22"/>
        </w:rPr>
        <w:t>A</w:t>
      </w:r>
      <w:r w:rsidR="002F0DAF" w:rsidRPr="00986A21">
        <w:rPr>
          <w:color w:val="auto"/>
          <w:sz w:val="22"/>
          <w:szCs w:val="22"/>
        </w:rPr>
        <w:t xml:space="preserve"> consumer</w:t>
      </w:r>
      <w:r w:rsidR="002F0DAF" w:rsidRPr="003541A0">
        <w:rPr>
          <w:i/>
          <w:color w:val="auto"/>
          <w:sz w:val="22"/>
          <w:szCs w:val="22"/>
        </w:rPr>
        <w:t xml:space="preserve"> </w:t>
      </w:r>
      <w:r w:rsidR="002F0DAF" w:rsidRPr="003541A0">
        <w:rPr>
          <w:color w:val="auto"/>
          <w:sz w:val="22"/>
          <w:szCs w:val="22"/>
        </w:rPr>
        <w:t>who is a</w:t>
      </w:r>
      <w:r w:rsidR="002F0DAF" w:rsidRPr="003541A0">
        <w:rPr>
          <w:i/>
          <w:color w:val="auto"/>
          <w:sz w:val="22"/>
          <w:szCs w:val="22"/>
        </w:rPr>
        <w:t xml:space="preserve"> market participant</w:t>
      </w:r>
      <w:r w:rsidR="002F0DAF" w:rsidRPr="003541A0">
        <w:rPr>
          <w:color w:val="auto"/>
          <w:sz w:val="22"/>
          <w:szCs w:val="22"/>
        </w:rPr>
        <w:t xml:space="preserve"> and has an eligible account is entitled to </w:t>
      </w:r>
      <w:r w:rsidR="00986A21">
        <w:rPr>
          <w:color w:val="auto"/>
          <w:sz w:val="22"/>
          <w:szCs w:val="22"/>
        </w:rPr>
        <w:t>have a credit equal to the</w:t>
      </w:r>
      <w:r w:rsidR="002F0DAF" w:rsidRPr="003541A0">
        <w:rPr>
          <w:color w:val="auto"/>
          <w:sz w:val="22"/>
          <w:szCs w:val="22"/>
        </w:rPr>
        <w:t xml:space="preserve"> </w:t>
      </w:r>
      <w:r w:rsidR="002F0DAF">
        <w:rPr>
          <w:color w:val="auto"/>
          <w:sz w:val="22"/>
          <w:szCs w:val="22"/>
        </w:rPr>
        <w:t xml:space="preserve">applicable </w:t>
      </w:r>
      <w:r w:rsidR="002F0DAF" w:rsidRPr="003541A0">
        <w:rPr>
          <w:color w:val="auto"/>
          <w:sz w:val="22"/>
          <w:szCs w:val="22"/>
        </w:rPr>
        <w:t xml:space="preserve">financial assistance </w:t>
      </w:r>
      <w:r w:rsidR="00986A21">
        <w:rPr>
          <w:color w:val="auto"/>
          <w:sz w:val="22"/>
          <w:szCs w:val="22"/>
        </w:rPr>
        <w:t xml:space="preserve">appear </w:t>
      </w:r>
      <w:r w:rsidR="002F0DAF">
        <w:rPr>
          <w:color w:val="auto"/>
          <w:sz w:val="22"/>
          <w:szCs w:val="22"/>
        </w:rPr>
        <w:t>on their</w:t>
      </w:r>
      <w:r w:rsidR="002F0DAF" w:rsidRPr="003541A0">
        <w:rPr>
          <w:color w:val="auto"/>
          <w:sz w:val="22"/>
          <w:szCs w:val="22"/>
        </w:rPr>
        <w:t xml:space="preserve"> invoice for each billing period.</w:t>
      </w:r>
      <w:r w:rsidR="002F0DAF" w:rsidRPr="00B4335C">
        <w:rPr>
          <w:sz w:val="22"/>
          <w:szCs w:val="22"/>
        </w:rPr>
        <w:t xml:space="preserve">  </w:t>
      </w:r>
    </w:p>
    <w:p w14:paraId="333D19D0" w14:textId="5645D2FC" w:rsidR="002F0DAF" w:rsidRDefault="002F0DAF" w:rsidP="0018276B">
      <w:pPr>
        <w:pStyle w:val="Default"/>
        <w:spacing w:before="120" w:after="120"/>
        <w:rPr>
          <w:sz w:val="22"/>
          <w:szCs w:val="22"/>
        </w:rPr>
      </w:pPr>
      <w:r w:rsidRPr="00F656C1">
        <w:rPr>
          <w:iCs/>
          <w:sz w:val="22"/>
          <w:szCs w:val="22"/>
        </w:rPr>
        <w:t>Licensed</w:t>
      </w:r>
      <w:r>
        <w:rPr>
          <w:i/>
          <w:iCs/>
          <w:sz w:val="22"/>
          <w:szCs w:val="22"/>
        </w:rPr>
        <w:t xml:space="preserve"> </w:t>
      </w:r>
      <w:r w:rsidRPr="00986A21">
        <w:rPr>
          <w:iCs/>
          <w:sz w:val="22"/>
          <w:szCs w:val="22"/>
        </w:rPr>
        <w:t>distributors</w:t>
      </w:r>
      <w:r w:rsidRPr="00B4335C">
        <w:rPr>
          <w:i/>
          <w:iCs/>
          <w:sz w:val="22"/>
          <w:szCs w:val="22"/>
        </w:rPr>
        <w:t xml:space="preserve"> </w:t>
      </w:r>
      <w:r w:rsidRPr="00B4335C">
        <w:rPr>
          <w:sz w:val="22"/>
          <w:szCs w:val="22"/>
        </w:rPr>
        <w:t>and unit sub-</w:t>
      </w:r>
      <w:r w:rsidRPr="00986A21">
        <w:rPr>
          <w:iCs/>
          <w:sz w:val="22"/>
          <w:szCs w:val="22"/>
        </w:rPr>
        <w:t>meter</w:t>
      </w:r>
      <w:r w:rsidRPr="00B4335C">
        <w:rPr>
          <w:i/>
          <w:iCs/>
          <w:sz w:val="22"/>
          <w:szCs w:val="22"/>
        </w:rPr>
        <w:t xml:space="preserve"> </w:t>
      </w:r>
      <w:r w:rsidRPr="00B4335C">
        <w:rPr>
          <w:sz w:val="22"/>
          <w:szCs w:val="22"/>
        </w:rPr>
        <w:t xml:space="preserve">providers </w:t>
      </w:r>
      <w:r>
        <w:rPr>
          <w:sz w:val="22"/>
          <w:szCs w:val="22"/>
        </w:rPr>
        <w:t xml:space="preserve">that are </w:t>
      </w:r>
      <w:r w:rsidRPr="00F656C1">
        <w:rPr>
          <w:i/>
          <w:sz w:val="22"/>
          <w:szCs w:val="22"/>
        </w:rPr>
        <w:t>market participants</w:t>
      </w:r>
      <w:r>
        <w:rPr>
          <w:sz w:val="22"/>
          <w:szCs w:val="22"/>
        </w:rPr>
        <w:t xml:space="preserve"> </w:t>
      </w:r>
      <w:r w:rsidRPr="00B4335C">
        <w:rPr>
          <w:sz w:val="22"/>
          <w:szCs w:val="22"/>
        </w:rPr>
        <w:t xml:space="preserve">must submit their claims for reimbursement to </w:t>
      </w:r>
      <w:r w:rsidRPr="00B4335C">
        <w:rPr>
          <w:i/>
          <w:sz w:val="22"/>
          <w:szCs w:val="22"/>
        </w:rPr>
        <w:t>IESO</w:t>
      </w:r>
      <w:r w:rsidRPr="00B4335C">
        <w:rPr>
          <w:sz w:val="22"/>
          <w:szCs w:val="22"/>
        </w:rPr>
        <w:t xml:space="preserve"> monthly no later than the fourth </w:t>
      </w:r>
      <w:r w:rsidRPr="006F60B3">
        <w:rPr>
          <w:i/>
          <w:sz w:val="22"/>
          <w:szCs w:val="22"/>
        </w:rPr>
        <w:t>business day</w:t>
      </w:r>
      <w:r w:rsidRPr="00B4335C">
        <w:rPr>
          <w:sz w:val="22"/>
          <w:szCs w:val="22"/>
        </w:rPr>
        <w:t xml:space="preserve"> after the last </w:t>
      </w:r>
      <w:r w:rsidRPr="00B4335C">
        <w:rPr>
          <w:i/>
          <w:iCs/>
          <w:sz w:val="22"/>
          <w:szCs w:val="22"/>
        </w:rPr>
        <w:t xml:space="preserve">trading day </w:t>
      </w:r>
      <w:r w:rsidRPr="00B4335C">
        <w:rPr>
          <w:sz w:val="22"/>
          <w:szCs w:val="22"/>
        </w:rPr>
        <w:t>of the month.</w:t>
      </w:r>
      <w:r w:rsidRPr="002F0DAF">
        <w:rPr>
          <w:sz w:val="22"/>
          <w:szCs w:val="22"/>
        </w:rPr>
        <w:t xml:space="preserve"> </w:t>
      </w:r>
      <w:r w:rsidRPr="00B4335C">
        <w:rPr>
          <w:sz w:val="22"/>
          <w:szCs w:val="22"/>
        </w:rPr>
        <w:t xml:space="preserve">The </w:t>
      </w:r>
      <w:r w:rsidRPr="00B4335C">
        <w:rPr>
          <w:i/>
          <w:iCs/>
          <w:sz w:val="22"/>
          <w:szCs w:val="22"/>
        </w:rPr>
        <w:t>settlement</w:t>
      </w:r>
      <w:r w:rsidRPr="009C1F3D">
        <w:rPr>
          <w:i/>
          <w:iCs/>
          <w:sz w:val="22"/>
          <w:szCs w:val="22"/>
        </w:rPr>
        <w:t xml:space="preserve"> </w:t>
      </w:r>
      <w:r w:rsidRPr="009C1F3D">
        <w:rPr>
          <w:i/>
          <w:sz w:val="22"/>
          <w:szCs w:val="22"/>
        </w:rPr>
        <w:t>amount</w:t>
      </w:r>
      <w:r w:rsidRPr="00B4335C">
        <w:rPr>
          <w:sz w:val="22"/>
          <w:szCs w:val="22"/>
        </w:rPr>
        <w:t xml:space="preserve"> for </w:t>
      </w:r>
      <w:r>
        <w:rPr>
          <w:sz w:val="22"/>
          <w:szCs w:val="22"/>
        </w:rPr>
        <w:t xml:space="preserve">licensed </w:t>
      </w:r>
      <w:r w:rsidRPr="00986A21">
        <w:rPr>
          <w:iCs/>
          <w:sz w:val="22"/>
          <w:szCs w:val="22"/>
        </w:rPr>
        <w:t>distributors</w:t>
      </w:r>
      <w:r w:rsidRPr="00B4335C">
        <w:rPr>
          <w:i/>
          <w:iCs/>
          <w:sz w:val="22"/>
          <w:szCs w:val="22"/>
        </w:rPr>
        <w:t xml:space="preserve"> </w:t>
      </w:r>
      <w:r w:rsidRPr="00B4335C">
        <w:rPr>
          <w:sz w:val="22"/>
          <w:szCs w:val="22"/>
        </w:rPr>
        <w:t>and unit sub-</w:t>
      </w:r>
      <w:r w:rsidRPr="00986A21">
        <w:rPr>
          <w:iCs/>
          <w:sz w:val="22"/>
          <w:szCs w:val="22"/>
        </w:rPr>
        <w:t>meter</w:t>
      </w:r>
      <w:r w:rsidRPr="00B4335C">
        <w:rPr>
          <w:i/>
          <w:iCs/>
          <w:sz w:val="22"/>
          <w:szCs w:val="22"/>
        </w:rPr>
        <w:t xml:space="preserve"> </w:t>
      </w:r>
      <w:r w:rsidRPr="00B4335C">
        <w:rPr>
          <w:sz w:val="22"/>
          <w:szCs w:val="22"/>
        </w:rPr>
        <w:t xml:space="preserve">providers will be included on the </w:t>
      </w:r>
      <w:r w:rsidRPr="00B4335C">
        <w:rPr>
          <w:i/>
          <w:iCs/>
          <w:sz w:val="22"/>
          <w:szCs w:val="22"/>
        </w:rPr>
        <w:t xml:space="preserve">preliminary settlement statement </w:t>
      </w:r>
      <w:r w:rsidRPr="00B4335C">
        <w:rPr>
          <w:sz w:val="22"/>
          <w:szCs w:val="22"/>
        </w:rPr>
        <w:t xml:space="preserve">for the last </w:t>
      </w:r>
      <w:r w:rsidRPr="00B4335C">
        <w:rPr>
          <w:i/>
          <w:iCs/>
          <w:sz w:val="22"/>
          <w:szCs w:val="22"/>
        </w:rPr>
        <w:t xml:space="preserve">trading day </w:t>
      </w:r>
      <w:r w:rsidRPr="00B4335C">
        <w:rPr>
          <w:sz w:val="22"/>
          <w:szCs w:val="22"/>
        </w:rPr>
        <w:t>of the month</w:t>
      </w:r>
      <w:r>
        <w:rPr>
          <w:sz w:val="22"/>
          <w:szCs w:val="22"/>
        </w:rPr>
        <w:t>.</w:t>
      </w:r>
    </w:p>
    <w:p w14:paraId="7DEC09F9" w14:textId="189B6454" w:rsidR="00861C24" w:rsidRPr="00B4335C" w:rsidRDefault="00861C24" w:rsidP="0018276B">
      <w:pPr>
        <w:pStyle w:val="Default"/>
        <w:spacing w:before="120" w:after="120"/>
        <w:rPr>
          <w:sz w:val="22"/>
          <w:szCs w:val="22"/>
        </w:rPr>
      </w:pPr>
      <w:r w:rsidRPr="00E45DA3">
        <w:rPr>
          <w:color w:val="auto"/>
          <w:sz w:val="22"/>
          <w:szCs w:val="20"/>
          <w:lang w:val="en-US"/>
        </w:rPr>
        <w:t xml:space="preserve">If any changes are required to the amounts submitted during the preliminary submission period, final adjustments can be submitted during the 11th to 14th </w:t>
      </w:r>
      <w:r w:rsidRPr="00E45DA3">
        <w:rPr>
          <w:i/>
          <w:color w:val="auto"/>
          <w:sz w:val="22"/>
          <w:szCs w:val="20"/>
          <w:lang w:val="en-US"/>
        </w:rPr>
        <w:t>business day</w:t>
      </w:r>
      <w:r w:rsidR="00986A21">
        <w:rPr>
          <w:i/>
          <w:color w:val="auto"/>
          <w:sz w:val="22"/>
          <w:szCs w:val="20"/>
          <w:lang w:val="en-US"/>
        </w:rPr>
        <w:t>s</w:t>
      </w:r>
      <w:r w:rsidRPr="00E45DA3">
        <w:rPr>
          <w:color w:val="auto"/>
          <w:sz w:val="22"/>
          <w:szCs w:val="20"/>
          <w:lang w:val="en-US"/>
        </w:rPr>
        <w:t xml:space="preserve"> after the last </w:t>
      </w:r>
      <w:r w:rsidRPr="00E45DA3">
        <w:rPr>
          <w:i/>
          <w:color w:val="auto"/>
          <w:sz w:val="22"/>
          <w:szCs w:val="20"/>
          <w:lang w:val="en-US"/>
        </w:rPr>
        <w:t>trading day</w:t>
      </w:r>
      <w:r w:rsidRPr="00E45DA3">
        <w:rPr>
          <w:color w:val="auto"/>
          <w:sz w:val="22"/>
          <w:szCs w:val="20"/>
          <w:lang w:val="en-US"/>
        </w:rPr>
        <w:t xml:space="preserve"> of the month. The adjustments will be reflected on the </w:t>
      </w:r>
      <w:r w:rsidRPr="00E45DA3">
        <w:rPr>
          <w:i/>
          <w:color w:val="auto"/>
          <w:sz w:val="22"/>
          <w:szCs w:val="20"/>
          <w:lang w:val="en-US"/>
        </w:rPr>
        <w:t xml:space="preserve">final settlement statement </w:t>
      </w:r>
      <w:r w:rsidRPr="00E45DA3">
        <w:rPr>
          <w:color w:val="auto"/>
          <w:sz w:val="22"/>
          <w:szCs w:val="20"/>
          <w:lang w:val="en-US"/>
        </w:rPr>
        <w:t xml:space="preserve">for the last </w:t>
      </w:r>
      <w:r w:rsidRPr="00E45DA3">
        <w:rPr>
          <w:i/>
          <w:color w:val="auto"/>
          <w:sz w:val="22"/>
          <w:szCs w:val="20"/>
          <w:lang w:val="en-US"/>
        </w:rPr>
        <w:t>trading day</w:t>
      </w:r>
      <w:r w:rsidRPr="00E45DA3">
        <w:rPr>
          <w:color w:val="auto"/>
          <w:sz w:val="22"/>
          <w:szCs w:val="20"/>
          <w:lang w:val="en-US"/>
        </w:rPr>
        <w:t xml:space="preserve"> of the month. Furthermore, post</w:t>
      </w:r>
      <w:r w:rsidR="00986A21">
        <w:rPr>
          <w:color w:val="auto"/>
          <w:sz w:val="22"/>
          <w:szCs w:val="20"/>
          <w:lang w:val="en-US"/>
        </w:rPr>
        <w:t>-</w:t>
      </w:r>
      <w:r w:rsidRPr="00E45DA3">
        <w:rPr>
          <w:color w:val="auto"/>
          <w:sz w:val="22"/>
          <w:szCs w:val="20"/>
          <w:lang w:val="en-US"/>
        </w:rPr>
        <w:t xml:space="preserve">final </w:t>
      </w:r>
      <w:r w:rsidR="00986A21" w:rsidRPr="00A66D4B">
        <w:rPr>
          <w:i/>
          <w:color w:val="auto"/>
          <w:sz w:val="22"/>
          <w:szCs w:val="20"/>
          <w:lang w:val="en-US"/>
        </w:rPr>
        <w:t>settlement statement</w:t>
      </w:r>
      <w:r w:rsidR="00986A21">
        <w:rPr>
          <w:color w:val="auto"/>
          <w:sz w:val="22"/>
          <w:szCs w:val="20"/>
          <w:lang w:val="en-US"/>
        </w:rPr>
        <w:t xml:space="preserve"> </w:t>
      </w:r>
      <w:r w:rsidRPr="00E45DA3">
        <w:rPr>
          <w:color w:val="auto"/>
          <w:sz w:val="22"/>
          <w:szCs w:val="20"/>
          <w:lang w:val="en-US"/>
        </w:rPr>
        <w:t>adjustments can be submitted through Online IESO for any previous settlement period. Any amount submitted as a post</w:t>
      </w:r>
      <w:r w:rsidR="00986A21">
        <w:rPr>
          <w:color w:val="auto"/>
          <w:sz w:val="22"/>
          <w:szCs w:val="20"/>
          <w:lang w:val="en-US"/>
        </w:rPr>
        <w:t>-</w:t>
      </w:r>
      <w:r w:rsidRPr="00E45DA3">
        <w:rPr>
          <w:color w:val="auto"/>
          <w:sz w:val="22"/>
          <w:szCs w:val="20"/>
          <w:lang w:val="en-US"/>
        </w:rPr>
        <w:t xml:space="preserve">final </w:t>
      </w:r>
      <w:r w:rsidR="00986A21" w:rsidRPr="00A66D4B">
        <w:rPr>
          <w:i/>
          <w:color w:val="auto"/>
          <w:sz w:val="22"/>
          <w:szCs w:val="20"/>
          <w:lang w:val="en-US"/>
        </w:rPr>
        <w:t>settlement statement</w:t>
      </w:r>
      <w:r w:rsidR="00986A21">
        <w:rPr>
          <w:color w:val="auto"/>
          <w:sz w:val="22"/>
          <w:szCs w:val="20"/>
          <w:lang w:val="en-US"/>
        </w:rPr>
        <w:t xml:space="preserve"> </w:t>
      </w:r>
      <w:r w:rsidRPr="00E45DA3">
        <w:rPr>
          <w:color w:val="auto"/>
          <w:sz w:val="22"/>
          <w:szCs w:val="20"/>
          <w:lang w:val="en-US"/>
        </w:rPr>
        <w:t xml:space="preserve">adjustment will be settled on the </w:t>
      </w:r>
      <w:r w:rsidRPr="00E45DA3">
        <w:rPr>
          <w:i/>
          <w:color w:val="auto"/>
          <w:sz w:val="22"/>
          <w:szCs w:val="20"/>
          <w:lang w:val="en-US"/>
        </w:rPr>
        <w:t>preliminary settlement statement</w:t>
      </w:r>
      <w:r w:rsidRPr="00E45DA3">
        <w:rPr>
          <w:color w:val="auto"/>
          <w:sz w:val="22"/>
          <w:szCs w:val="20"/>
          <w:lang w:val="en-US"/>
        </w:rPr>
        <w:t xml:space="preserve"> for the last </w:t>
      </w:r>
      <w:r w:rsidRPr="00E45DA3">
        <w:rPr>
          <w:i/>
          <w:color w:val="auto"/>
          <w:sz w:val="22"/>
          <w:szCs w:val="20"/>
          <w:lang w:val="en-US"/>
        </w:rPr>
        <w:t>trading day</w:t>
      </w:r>
      <w:r w:rsidRPr="00E45DA3">
        <w:rPr>
          <w:color w:val="auto"/>
          <w:sz w:val="22"/>
          <w:szCs w:val="20"/>
          <w:lang w:val="en-US"/>
        </w:rPr>
        <w:t xml:space="preserve"> of the current settlement month.</w:t>
      </w:r>
    </w:p>
    <w:p w14:paraId="60E82498" w14:textId="5AC02337" w:rsidR="007F13D6" w:rsidRPr="00855267" w:rsidRDefault="007F13D6" w:rsidP="00133618">
      <w:pPr>
        <w:pStyle w:val="Heading4"/>
      </w:pPr>
      <w:r w:rsidRPr="00855267">
        <w:t>Settlement of O</w:t>
      </w:r>
      <w:r w:rsidR="00D43CDE">
        <w:t xml:space="preserve">ntario </w:t>
      </w:r>
      <w:r w:rsidRPr="00855267">
        <w:t>R</w:t>
      </w:r>
      <w:r w:rsidR="00D43CDE">
        <w:t xml:space="preserve">ebate for </w:t>
      </w:r>
      <w:r w:rsidRPr="00855267">
        <w:t>E</w:t>
      </w:r>
      <w:r w:rsidR="00D43CDE">
        <w:t xml:space="preserve">lectricity </w:t>
      </w:r>
      <w:r w:rsidRPr="00855267">
        <w:t>C</w:t>
      </w:r>
      <w:r w:rsidR="00D43CDE">
        <w:t>onsumers (OREC)</w:t>
      </w:r>
      <w:r w:rsidRPr="00855267">
        <w:t xml:space="preserve"> Claims</w:t>
      </w:r>
    </w:p>
    <w:p w14:paraId="6DC8F28F" w14:textId="740E94B7" w:rsidR="00861C24" w:rsidRPr="00A32BEC" w:rsidRDefault="00861C24" w:rsidP="00861C24">
      <w:pPr>
        <w:pStyle w:val="BodyText"/>
        <w:autoSpaceDE w:val="0"/>
        <w:autoSpaceDN w:val="0"/>
        <w:adjustRightInd w:val="0"/>
      </w:pPr>
      <w:r>
        <w:t xml:space="preserve">The 8% reduction </w:t>
      </w:r>
      <w:r w:rsidR="000C47C7">
        <w:t xml:space="preserve">of the base invoice amount </w:t>
      </w:r>
      <w:r>
        <w:t xml:space="preserve">under the OREC for eligible consumers </w:t>
      </w:r>
      <w:r w:rsidR="00986A21">
        <w:t>was</w:t>
      </w:r>
      <w:r>
        <w:t xml:space="preserve"> in effect for the billing period</w:t>
      </w:r>
      <w:r w:rsidR="000C47C7">
        <w:t>s</w:t>
      </w:r>
      <w:r>
        <w:t xml:space="preserve"> from January 1, 2017 to October 31, 2019.</w:t>
      </w:r>
    </w:p>
    <w:p w14:paraId="16A64B75" w14:textId="6206A655" w:rsidR="004C4C03" w:rsidRDefault="00D43CDE" w:rsidP="00D43CDE">
      <w:pPr>
        <w:pStyle w:val="BodyText"/>
        <w:autoSpaceDE w:val="0"/>
        <w:autoSpaceDN w:val="0"/>
        <w:adjustRightInd w:val="0"/>
      </w:pPr>
      <w:r>
        <w:rPr>
          <w:iCs/>
          <w:szCs w:val="22"/>
        </w:rPr>
        <w:t>L</w:t>
      </w:r>
      <w:r w:rsidRPr="00F656C1">
        <w:rPr>
          <w:iCs/>
          <w:szCs w:val="22"/>
        </w:rPr>
        <w:t>icensed</w:t>
      </w:r>
      <w:r>
        <w:rPr>
          <w:i/>
          <w:iCs/>
          <w:szCs w:val="22"/>
        </w:rPr>
        <w:t xml:space="preserve"> </w:t>
      </w:r>
      <w:r w:rsidRPr="00986A21">
        <w:rPr>
          <w:iCs/>
          <w:szCs w:val="22"/>
        </w:rPr>
        <w:t>distributors</w:t>
      </w:r>
      <w:r w:rsidRPr="00B4335C">
        <w:rPr>
          <w:i/>
          <w:iCs/>
          <w:szCs w:val="22"/>
        </w:rPr>
        <w:t xml:space="preserve"> </w:t>
      </w:r>
      <w:r w:rsidRPr="00B4335C">
        <w:rPr>
          <w:szCs w:val="22"/>
        </w:rPr>
        <w:t>and unit sub-</w:t>
      </w:r>
      <w:r w:rsidRPr="00986A21">
        <w:rPr>
          <w:iCs/>
          <w:szCs w:val="22"/>
        </w:rPr>
        <w:t>meter</w:t>
      </w:r>
      <w:r w:rsidRPr="00B4335C">
        <w:rPr>
          <w:i/>
          <w:iCs/>
          <w:szCs w:val="22"/>
        </w:rPr>
        <w:t xml:space="preserve"> </w:t>
      </w:r>
      <w:r w:rsidRPr="00B4335C">
        <w:rPr>
          <w:szCs w:val="22"/>
        </w:rPr>
        <w:t xml:space="preserve">providers </w:t>
      </w:r>
      <w:r>
        <w:rPr>
          <w:szCs w:val="22"/>
        </w:rPr>
        <w:t xml:space="preserve">that are </w:t>
      </w:r>
      <w:r w:rsidRPr="00F656C1">
        <w:rPr>
          <w:i/>
          <w:szCs w:val="22"/>
        </w:rPr>
        <w:t>market participants</w:t>
      </w:r>
      <w:r>
        <w:rPr>
          <w:szCs w:val="22"/>
        </w:rPr>
        <w:t xml:space="preserve"> </w:t>
      </w:r>
      <w:r w:rsidR="002F0DAF">
        <w:rPr>
          <w:szCs w:val="22"/>
        </w:rPr>
        <w:t>must</w:t>
      </w:r>
      <w:r>
        <w:rPr>
          <w:szCs w:val="22"/>
        </w:rPr>
        <w:t xml:space="preserve"> submit </w:t>
      </w:r>
      <w:r w:rsidR="00861C24">
        <w:rPr>
          <w:szCs w:val="22"/>
        </w:rPr>
        <w:t xml:space="preserve">their </w:t>
      </w:r>
      <w:r>
        <w:rPr>
          <w:szCs w:val="22"/>
        </w:rPr>
        <w:t xml:space="preserve">OREC claims </w:t>
      </w:r>
      <w:r w:rsidRPr="00B4335C">
        <w:t xml:space="preserve">to </w:t>
      </w:r>
      <w:r w:rsidRPr="00B4335C">
        <w:rPr>
          <w:i/>
        </w:rPr>
        <w:t>IESO</w:t>
      </w:r>
      <w:r w:rsidRPr="00B4335C">
        <w:t xml:space="preserve"> via the </w:t>
      </w:r>
      <w:r>
        <w:t>settlement</w:t>
      </w:r>
      <w:r w:rsidRPr="00B4335C">
        <w:t xml:space="preserve"> form “Ontario Rebate </w:t>
      </w:r>
      <w:r>
        <w:t xml:space="preserve">for Electricity Consumers </w:t>
      </w:r>
      <w:r w:rsidRPr="00B4335C">
        <w:t>(</w:t>
      </w:r>
      <w:r>
        <w:t>OREC</w:t>
      </w:r>
      <w:r w:rsidRPr="00B4335C">
        <w:t>) – LDC</w:t>
      </w:r>
      <w:r>
        <w:t xml:space="preserve"> &amp; USMP</w:t>
      </w:r>
      <w:r w:rsidRPr="00B4335C">
        <w:t>”</w:t>
      </w:r>
      <w:r>
        <w:t xml:space="preserve"> </w:t>
      </w:r>
      <w:r w:rsidR="00861C24">
        <w:t>as post</w:t>
      </w:r>
      <w:r w:rsidR="00986A21">
        <w:t>-</w:t>
      </w:r>
      <w:r w:rsidR="00861C24">
        <w:t>final adjustments</w:t>
      </w:r>
      <w:r w:rsidRPr="00B4335C">
        <w:t>.</w:t>
      </w:r>
    </w:p>
    <w:p w14:paraId="31CA2C9C" w14:textId="3EDBAC53" w:rsidR="004C4C03" w:rsidRDefault="004C4C03" w:rsidP="00D43CDE">
      <w:pPr>
        <w:pStyle w:val="BodyText"/>
        <w:autoSpaceDE w:val="0"/>
        <w:autoSpaceDN w:val="0"/>
        <w:adjustRightInd w:val="0"/>
        <w:rPr>
          <w:szCs w:val="22"/>
        </w:rPr>
      </w:pPr>
      <w:r>
        <w:t>The</w:t>
      </w:r>
      <w:r w:rsidR="00D43CDE">
        <w:t xml:space="preserve"> OREC </w:t>
      </w:r>
      <w:r w:rsidR="00D43CDE" w:rsidRPr="00B4335C">
        <w:rPr>
          <w:i/>
          <w:iCs/>
          <w:szCs w:val="22"/>
        </w:rPr>
        <w:t>settlement</w:t>
      </w:r>
      <w:r w:rsidR="00D43CDE" w:rsidRPr="009C1F3D">
        <w:rPr>
          <w:i/>
          <w:iCs/>
          <w:szCs w:val="22"/>
        </w:rPr>
        <w:t xml:space="preserve"> </w:t>
      </w:r>
      <w:r w:rsidR="00D43CDE" w:rsidRPr="009C1F3D">
        <w:rPr>
          <w:i/>
          <w:szCs w:val="22"/>
        </w:rPr>
        <w:t>amount</w:t>
      </w:r>
      <w:r w:rsidR="00D43CDE" w:rsidRPr="00B4335C">
        <w:rPr>
          <w:szCs w:val="22"/>
        </w:rPr>
        <w:t xml:space="preserve"> for </w:t>
      </w:r>
      <w:r w:rsidR="00D43CDE">
        <w:rPr>
          <w:szCs w:val="22"/>
        </w:rPr>
        <w:t xml:space="preserve">licensed </w:t>
      </w:r>
      <w:r w:rsidR="00D43CDE" w:rsidRPr="00B4335C">
        <w:rPr>
          <w:i/>
          <w:iCs/>
          <w:szCs w:val="22"/>
        </w:rPr>
        <w:t xml:space="preserve">distributors </w:t>
      </w:r>
      <w:r w:rsidR="00D43CDE" w:rsidRPr="00B4335C">
        <w:rPr>
          <w:szCs w:val="22"/>
        </w:rPr>
        <w:t>and unit sub-</w:t>
      </w:r>
      <w:r w:rsidR="00D43CDE" w:rsidRPr="00B4335C">
        <w:rPr>
          <w:i/>
          <w:iCs/>
          <w:szCs w:val="22"/>
        </w:rPr>
        <w:t xml:space="preserve">meter </w:t>
      </w:r>
      <w:r w:rsidR="00D43CDE" w:rsidRPr="00B4335C">
        <w:rPr>
          <w:szCs w:val="22"/>
        </w:rPr>
        <w:t xml:space="preserve">providers </w:t>
      </w:r>
      <w:r w:rsidR="00861C24">
        <w:rPr>
          <w:szCs w:val="22"/>
        </w:rPr>
        <w:t>will be</w:t>
      </w:r>
      <w:r w:rsidR="00D43CDE" w:rsidRPr="00B4335C">
        <w:rPr>
          <w:szCs w:val="22"/>
        </w:rPr>
        <w:t xml:space="preserve"> included on the </w:t>
      </w:r>
      <w:r w:rsidR="00D43CDE" w:rsidRPr="00B4335C">
        <w:rPr>
          <w:i/>
          <w:iCs/>
          <w:szCs w:val="22"/>
        </w:rPr>
        <w:t xml:space="preserve">preliminary settlement statement </w:t>
      </w:r>
      <w:r w:rsidR="00D43CDE" w:rsidRPr="00B4335C">
        <w:rPr>
          <w:szCs w:val="22"/>
        </w:rPr>
        <w:t xml:space="preserve">for the last </w:t>
      </w:r>
      <w:r w:rsidR="00D43CDE" w:rsidRPr="00B4335C">
        <w:rPr>
          <w:i/>
          <w:iCs/>
          <w:szCs w:val="22"/>
        </w:rPr>
        <w:t xml:space="preserve">trading day </w:t>
      </w:r>
      <w:r w:rsidR="00D43CDE" w:rsidRPr="00B4335C">
        <w:rPr>
          <w:szCs w:val="22"/>
        </w:rPr>
        <w:t xml:space="preserve">of the </w:t>
      </w:r>
      <w:r w:rsidR="00D43CDE">
        <w:rPr>
          <w:szCs w:val="22"/>
        </w:rPr>
        <w:t xml:space="preserve">current settlement </w:t>
      </w:r>
      <w:r w:rsidR="00D43CDE" w:rsidRPr="00B4335C">
        <w:rPr>
          <w:szCs w:val="22"/>
        </w:rPr>
        <w:t xml:space="preserve">month </w:t>
      </w:r>
      <w:r w:rsidR="00D43CDE">
        <w:rPr>
          <w:szCs w:val="22"/>
        </w:rPr>
        <w:t>through</w:t>
      </w:r>
      <w:r w:rsidR="00D43CDE" w:rsidRPr="00B4335C">
        <w:rPr>
          <w:szCs w:val="22"/>
        </w:rPr>
        <w:t xml:space="preserve"> </w:t>
      </w:r>
      <w:r w:rsidR="00D43CDE" w:rsidRPr="00B4335C">
        <w:rPr>
          <w:i/>
          <w:iCs/>
          <w:szCs w:val="22"/>
        </w:rPr>
        <w:t xml:space="preserve">charge type </w:t>
      </w:r>
      <w:r w:rsidR="00D43CDE" w:rsidRPr="00B4335C">
        <w:rPr>
          <w:szCs w:val="22"/>
        </w:rPr>
        <w:t>998</w:t>
      </w:r>
      <w:r w:rsidR="00D43CDE">
        <w:rPr>
          <w:szCs w:val="22"/>
        </w:rPr>
        <w:t>2</w:t>
      </w:r>
      <w:r w:rsidR="00D43CDE" w:rsidRPr="00B4335C">
        <w:rPr>
          <w:szCs w:val="22"/>
        </w:rPr>
        <w:t xml:space="preserve"> “Ontario </w:t>
      </w:r>
      <w:r w:rsidR="00D43CDE">
        <w:rPr>
          <w:szCs w:val="22"/>
        </w:rPr>
        <w:t xml:space="preserve">Rebate for Electricity Consumers (8% Provincial Rebate) </w:t>
      </w:r>
      <w:r w:rsidR="00D43CDE" w:rsidRPr="00B4335C">
        <w:rPr>
          <w:szCs w:val="22"/>
        </w:rPr>
        <w:t>Settlement Amount”</w:t>
      </w:r>
      <w:r w:rsidR="00D43CDE">
        <w:rPr>
          <w:szCs w:val="22"/>
        </w:rPr>
        <w:t>.</w:t>
      </w:r>
    </w:p>
    <w:p w14:paraId="553CF308" w14:textId="15681704" w:rsidR="004C4C03" w:rsidRDefault="004C4C03" w:rsidP="00D43CDE">
      <w:pPr>
        <w:pStyle w:val="BodyText"/>
        <w:autoSpaceDE w:val="0"/>
        <w:autoSpaceDN w:val="0"/>
        <w:adjustRightInd w:val="0"/>
        <w:rPr>
          <w:szCs w:val="22"/>
        </w:rPr>
      </w:pPr>
      <w:r w:rsidRPr="00B4335C">
        <w:rPr>
          <w:szCs w:val="22"/>
        </w:rPr>
        <w:t xml:space="preserve">The corresponding set-off is </w:t>
      </w:r>
      <w:r w:rsidRPr="00B4335C">
        <w:rPr>
          <w:i/>
          <w:iCs/>
          <w:szCs w:val="22"/>
        </w:rPr>
        <w:t xml:space="preserve">charge type </w:t>
      </w:r>
      <w:r w:rsidRPr="00B4335C">
        <w:rPr>
          <w:szCs w:val="22"/>
        </w:rPr>
        <w:t>14</w:t>
      </w:r>
      <w:r>
        <w:rPr>
          <w:szCs w:val="22"/>
        </w:rPr>
        <w:t>6</w:t>
      </w:r>
      <w:r w:rsidRPr="00B4335C">
        <w:rPr>
          <w:szCs w:val="22"/>
        </w:rPr>
        <w:t xml:space="preserve">7 “Ontario </w:t>
      </w:r>
      <w:r>
        <w:rPr>
          <w:szCs w:val="22"/>
        </w:rPr>
        <w:t>Rebate for Electricity Consumers</w:t>
      </w:r>
      <w:r w:rsidRPr="00B4335C">
        <w:rPr>
          <w:szCs w:val="22"/>
        </w:rPr>
        <w:t xml:space="preserve"> </w:t>
      </w:r>
      <w:r>
        <w:rPr>
          <w:szCs w:val="22"/>
        </w:rPr>
        <w:t xml:space="preserve">(8% Provincial Rebate) </w:t>
      </w:r>
      <w:r w:rsidRPr="00B4335C">
        <w:rPr>
          <w:szCs w:val="22"/>
        </w:rPr>
        <w:t>Balancing Amount”</w:t>
      </w:r>
      <w:r>
        <w:rPr>
          <w:szCs w:val="22"/>
        </w:rPr>
        <w:t xml:space="preserve"> on Ministry of Energy, Northern Development and Mines </w:t>
      </w:r>
      <w:r w:rsidRPr="00A32BEC">
        <w:rPr>
          <w:i/>
          <w:szCs w:val="22"/>
        </w:rPr>
        <w:t>preliminary</w:t>
      </w:r>
      <w:r>
        <w:rPr>
          <w:szCs w:val="22"/>
        </w:rPr>
        <w:t xml:space="preserve"> and </w:t>
      </w:r>
      <w:r w:rsidRPr="00A32BEC">
        <w:rPr>
          <w:i/>
          <w:szCs w:val="22"/>
        </w:rPr>
        <w:t>final settlement statements</w:t>
      </w:r>
      <w:r w:rsidRPr="00B4335C">
        <w:rPr>
          <w:szCs w:val="22"/>
        </w:rPr>
        <w:t>.</w:t>
      </w:r>
    </w:p>
    <w:p w14:paraId="50E20019" w14:textId="77777777" w:rsidR="00D43CDE" w:rsidRPr="00855267" w:rsidRDefault="00D43CDE" w:rsidP="00133618">
      <w:pPr>
        <w:pStyle w:val="Heading4"/>
      </w:pPr>
      <w:r w:rsidRPr="00855267">
        <w:t xml:space="preserve">Settlement of </w:t>
      </w:r>
      <w:r>
        <w:t>Ontario Rebate for Electricity (OER) Claims</w:t>
      </w:r>
    </w:p>
    <w:p w14:paraId="376C876C" w14:textId="728C3C2C" w:rsidR="00861C24" w:rsidRPr="00A32BEC" w:rsidRDefault="00861C24" w:rsidP="00861C24">
      <w:pPr>
        <w:pStyle w:val="BodyText"/>
        <w:autoSpaceDE w:val="0"/>
        <w:autoSpaceDN w:val="0"/>
        <w:adjustRightInd w:val="0"/>
      </w:pPr>
      <w:r>
        <w:t xml:space="preserve">The </w:t>
      </w:r>
      <w:r w:rsidR="00D40CB1">
        <w:t>33.2</w:t>
      </w:r>
      <w:r>
        <w:t xml:space="preserve">% reduction </w:t>
      </w:r>
      <w:r w:rsidR="000C47C7">
        <w:t xml:space="preserve">of the base invoice amount </w:t>
      </w:r>
      <w:r>
        <w:t xml:space="preserve">under the OER for eligible consumers </w:t>
      </w:r>
      <w:r w:rsidR="00986A21">
        <w:t>is</w:t>
      </w:r>
      <w:r>
        <w:t xml:space="preserve"> in effect for the billing period</w:t>
      </w:r>
      <w:r w:rsidR="000C47C7">
        <w:t>s</w:t>
      </w:r>
      <w:r>
        <w:t xml:space="preserve"> </w:t>
      </w:r>
      <w:r w:rsidR="000C47C7">
        <w:t>beginning</w:t>
      </w:r>
      <w:r>
        <w:t xml:space="preserve"> November 1, </w:t>
      </w:r>
      <w:r w:rsidR="00D40CB1">
        <w:t>2020</w:t>
      </w:r>
      <w:r>
        <w:t>.</w:t>
      </w:r>
    </w:p>
    <w:p w14:paraId="37EFA606" w14:textId="0CE68220" w:rsidR="00861C24" w:rsidRDefault="000F4C7E" w:rsidP="0018276B">
      <w:pPr>
        <w:pStyle w:val="Default"/>
        <w:spacing w:before="120" w:after="120"/>
        <w:rPr>
          <w:sz w:val="22"/>
          <w:szCs w:val="22"/>
        </w:rPr>
      </w:pPr>
      <w:r w:rsidRPr="00F656C1">
        <w:rPr>
          <w:iCs/>
          <w:sz w:val="22"/>
          <w:szCs w:val="22"/>
        </w:rPr>
        <w:t>Licensed</w:t>
      </w:r>
      <w:r>
        <w:rPr>
          <w:i/>
          <w:iCs/>
          <w:sz w:val="22"/>
          <w:szCs w:val="22"/>
        </w:rPr>
        <w:t xml:space="preserve"> </w:t>
      </w:r>
      <w:r w:rsidRPr="00986A21">
        <w:rPr>
          <w:iCs/>
          <w:sz w:val="22"/>
          <w:szCs w:val="22"/>
        </w:rPr>
        <w:t>distributors</w:t>
      </w:r>
      <w:r w:rsidRPr="00B4335C">
        <w:rPr>
          <w:i/>
          <w:iCs/>
          <w:sz w:val="22"/>
          <w:szCs w:val="22"/>
        </w:rPr>
        <w:t xml:space="preserve"> </w:t>
      </w:r>
      <w:r w:rsidRPr="00B4335C">
        <w:rPr>
          <w:sz w:val="22"/>
          <w:szCs w:val="22"/>
        </w:rPr>
        <w:t>and unit sub-</w:t>
      </w:r>
      <w:r w:rsidRPr="00986A21">
        <w:rPr>
          <w:iCs/>
          <w:sz w:val="22"/>
          <w:szCs w:val="22"/>
        </w:rPr>
        <w:t>meter</w:t>
      </w:r>
      <w:r w:rsidRPr="00B4335C">
        <w:rPr>
          <w:i/>
          <w:iCs/>
          <w:sz w:val="22"/>
          <w:szCs w:val="22"/>
        </w:rPr>
        <w:t xml:space="preserve"> </w:t>
      </w:r>
      <w:r w:rsidRPr="00B4335C">
        <w:rPr>
          <w:sz w:val="22"/>
          <w:szCs w:val="22"/>
        </w:rPr>
        <w:t xml:space="preserve">providers </w:t>
      </w:r>
      <w:r>
        <w:rPr>
          <w:sz w:val="22"/>
          <w:szCs w:val="22"/>
        </w:rPr>
        <w:t xml:space="preserve">that are </w:t>
      </w:r>
      <w:r w:rsidRPr="00F656C1">
        <w:rPr>
          <w:i/>
          <w:sz w:val="22"/>
          <w:szCs w:val="22"/>
        </w:rPr>
        <w:t>market participants</w:t>
      </w:r>
      <w:r>
        <w:rPr>
          <w:sz w:val="22"/>
          <w:szCs w:val="22"/>
        </w:rPr>
        <w:t xml:space="preserve"> </w:t>
      </w:r>
      <w:r w:rsidRPr="00B4335C">
        <w:rPr>
          <w:sz w:val="22"/>
          <w:szCs w:val="22"/>
        </w:rPr>
        <w:t xml:space="preserve">must submit their </w:t>
      </w:r>
      <w:r w:rsidR="00861C24">
        <w:rPr>
          <w:sz w:val="22"/>
          <w:szCs w:val="22"/>
        </w:rPr>
        <w:t xml:space="preserve">OER </w:t>
      </w:r>
      <w:r w:rsidRPr="00B4335C">
        <w:rPr>
          <w:sz w:val="22"/>
          <w:szCs w:val="22"/>
        </w:rPr>
        <w:t xml:space="preserve">claims </w:t>
      </w:r>
      <w:r w:rsidR="00861C24" w:rsidRPr="00861C24">
        <w:rPr>
          <w:sz w:val="22"/>
          <w:szCs w:val="22"/>
        </w:rPr>
        <w:t xml:space="preserve">to </w:t>
      </w:r>
      <w:r w:rsidR="00861C24" w:rsidRPr="00861C24">
        <w:rPr>
          <w:i/>
          <w:sz w:val="22"/>
          <w:szCs w:val="22"/>
        </w:rPr>
        <w:t>IESO</w:t>
      </w:r>
      <w:r w:rsidR="00861C24" w:rsidRPr="00861C24">
        <w:rPr>
          <w:sz w:val="22"/>
          <w:szCs w:val="22"/>
        </w:rPr>
        <w:t xml:space="preserve"> via the settlement form “Ontario Electricity Rebate (OER) – LDC &amp; USMP”</w:t>
      </w:r>
      <w:r w:rsidRPr="00B4335C">
        <w:rPr>
          <w:sz w:val="22"/>
          <w:szCs w:val="22"/>
        </w:rPr>
        <w:t xml:space="preserve">. </w:t>
      </w:r>
    </w:p>
    <w:p w14:paraId="19C2F89E" w14:textId="7BEBC763" w:rsidR="006253E2" w:rsidRDefault="000F4C7E" w:rsidP="0018276B">
      <w:pPr>
        <w:pStyle w:val="Default"/>
        <w:spacing w:before="120" w:after="120"/>
        <w:rPr>
          <w:color w:val="auto"/>
          <w:sz w:val="22"/>
          <w:szCs w:val="20"/>
          <w:lang w:val="en-US"/>
        </w:rPr>
      </w:pPr>
      <w:r w:rsidRPr="00B4335C">
        <w:rPr>
          <w:sz w:val="22"/>
          <w:szCs w:val="22"/>
        </w:rPr>
        <w:t>The</w:t>
      </w:r>
      <w:r w:rsidR="00861C24">
        <w:rPr>
          <w:sz w:val="22"/>
          <w:szCs w:val="22"/>
        </w:rPr>
        <w:t xml:space="preserve"> OER</w:t>
      </w:r>
      <w:r w:rsidRPr="00B4335C">
        <w:rPr>
          <w:sz w:val="22"/>
          <w:szCs w:val="22"/>
        </w:rPr>
        <w:t xml:space="preserve"> </w:t>
      </w:r>
      <w:r w:rsidRPr="00B4335C">
        <w:rPr>
          <w:i/>
          <w:iCs/>
          <w:sz w:val="22"/>
          <w:szCs w:val="22"/>
        </w:rPr>
        <w:t>settlement</w:t>
      </w:r>
      <w:r w:rsidRPr="009C1F3D">
        <w:rPr>
          <w:i/>
          <w:iCs/>
          <w:sz w:val="22"/>
          <w:szCs w:val="22"/>
        </w:rPr>
        <w:t xml:space="preserve"> </w:t>
      </w:r>
      <w:r w:rsidRPr="009C1F3D">
        <w:rPr>
          <w:i/>
          <w:sz w:val="22"/>
          <w:szCs w:val="22"/>
        </w:rPr>
        <w:t>amount</w:t>
      </w:r>
      <w:r w:rsidRPr="00B4335C">
        <w:rPr>
          <w:sz w:val="22"/>
          <w:szCs w:val="22"/>
        </w:rPr>
        <w:t xml:space="preserve"> for </w:t>
      </w:r>
      <w:r>
        <w:rPr>
          <w:sz w:val="22"/>
          <w:szCs w:val="22"/>
        </w:rPr>
        <w:t xml:space="preserve">licensed </w:t>
      </w:r>
      <w:r w:rsidRPr="00B4335C">
        <w:rPr>
          <w:i/>
          <w:iCs/>
          <w:sz w:val="22"/>
          <w:szCs w:val="22"/>
        </w:rPr>
        <w:t xml:space="preserve">distributors </w:t>
      </w:r>
      <w:r w:rsidRPr="00B4335C">
        <w:rPr>
          <w:sz w:val="22"/>
          <w:szCs w:val="22"/>
        </w:rPr>
        <w:t>and unit sub-</w:t>
      </w:r>
      <w:r w:rsidRPr="00B4335C">
        <w:rPr>
          <w:i/>
          <w:iCs/>
          <w:sz w:val="22"/>
          <w:szCs w:val="22"/>
        </w:rPr>
        <w:t xml:space="preserve">meter </w:t>
      </w:r>
      <w:r w:rsidRPr="00B4335C">
        <w:rPr>
          <w:sz w:val="22"/>
          <w:szCs w:val="22"/>
        </w:rPr>
        <w:t xml:space="preserve">providers will be included on the </w:t>
      </w:r>
      <w:r w:rsidRPr="00B4335C">
        <w:rPr>
          <w:i/>
          <w:iCs/>
          <w:sz w:val="22"/>
          <w:szCs w:val="22"/>
        </w:rPr>
        <w:t xml:space="preserve">preliminary settlement statement </w:t>
      </w:r>
      <w:r w:rsidRPr="00B4335C">
        <w:rPr>
          <w:sz w:val="22"/>
          <w:szCs w:val="22"/>
        </w:rPr>
        <w:t xml:space="preserve">for the last </w:t>
      </w:r>
      <w:r w:rsidRPr="00B4335C">
        <w:rPr>
          <w:i/>
          <w:iCs/>
          <w:sz w:val="22"/>
          <w:szCs w:val="22"/>
        </w:rPr>
        <w:t xml:space="preserve">trading day </w:t>
      </w:r>
      <w:r w:rsidRPr="00B4335C">
        <w:rPr>
          <w:sz w:val="22"/>
          <w:szCs w:val="22"/>
        </w:rPr>
        <w:t xml:space="preserve">of the month under </w:t>
      </w:r>
      <w:r w:rsidRPr="00B4335C">
        <w:rPr>
          <w:i/>
          <w:iCs/>
          <w:sz w:val="22"/>
          <w:szCs w:val="22"/>
        </w:rPr>
        <w:t xml:space="preserve">charge type </w:t>
      </w:r>
      <w:r w:rsidRPr="00B4335C">
        <w:rPr>
          <w:sz w:val="22"/>
          <w:szCs w:val="22"/>
        </w:rPr>
        <w:t>998</w:t>
      </w:r>
      <w:r w:rsidR="00416541">
        <w:rPr>
          <w:sz w:val="22"/>
          <w:szCs w:val="22"/>
        </w:rPr>
        <w:t>3</w:t>
      </w:r>
      <w:r w:rsidRPr="00B4335C">
        <w:rPr>
          <w:sz w:val="22"/>
          <w:szCs w:val="22"/>
        </w:rPr>
        <w:t xml:space="preserve"> “Ontario </w:t>
      </w:r>
      <w:r w:rsidR="00416541">
        <w:rPr>
          <w:sz w:val="22"/>
          <w:szCs w:val="22"/>
        </w:rPr>
        <w:t xml:space="preserve">Electricity </w:t>
      </w:r>
      <w:r w:rsidRPr="00B4335C">
        <w:rPr>
          <w:sz w:val="22"/>
          <w:szCs w:val="22"/>
        </w:rPr>
        <w:t xml:space="preserve">Rebate Settlement Amount”. </w:t>
      </w:r>
    </w:p>
    <w:p w14:paraId="67C88B3B" w14:textId="2B0A859D" w:rsidR="000F4C7E" w:rsidRDefault="000F4C7E" w:rsidP="0018276B">
      <w:pPr>
        <w:pStyle w:val="Default"/>
        <w:spacing w:before="120" w:after="120"/>
        <w:rPr>
          <w:sz w:val="22"/>
          <w:szCs w:val="22"/>
        </w:rPr>
      </w:pPr>
      <w:r w:rsidRPr="00B4335C">
        <w:rPr>
          <w:sz w:val="22"/>
          <w:szCs w:val="22"/>
        </w:rPr>
        <w:t xml:space="preserve">The corresponding set-off is </w:t>
      </w:r>
      <w:r w:rsidRPr="00B4335C">
        <w:rPr>
          <w:i/>
          <w:iCs/>
          <w:sz w:val="22"/>
          <w:szCs w:val="22"/>
        </w:rPr>
        <w:t xml:space="preserve">charge type </w:t>
      </w:r>
      <w:r w:rsidRPr="00B4335C">
        <w:rPr>
          <w:sz w:val="22"/>
          <w:szCs w:val="22"/>
        </w:rPr>
        <w:t>14</w:t>
      </w:r>
      <w:r w:rsidR="00416541">
        <w:rPr>
          <w:sz w:val="22"/>
          <w:szCs w:val="22"/>
        </w:rPr>
        <w:t>5</w:t>
      </w:r>
      <w:r w:rsidRPr="00B4335C">
        <w:rPr>
          <w:sz w:val="22"/>
          <w:szCs w:val="22"/>
        </w:rPr>
        <w:t xml:space="preserve">7 “Ontario </w:t>
      </w:r>
      <w:r w:rsidR="00416541">
        <w:rPr>
          <w:sz w:val="22"/>
          <w:szCs w:val="22"/>
        </w:rPr>
        <w:t xml:space="preserve">Electricity </w:t>
      </w:r>
      <w:r w:rsidRPr="00B4335C">
        <w:rPr>
          <w:sz w:val="22"/>
          <w:szCs w:val="22"/>
        </w:rPr>
        <w:t>Rebate Balancing Amount”</w:t>
      </w:r>
      <w:r w:rsidR="00A32BEC">
        <w:rPr>
          <w:sz w:val="22"/>
          <w:szCs w:val="22"/>
        </w:rPr>
        <w:t xml:space="preserve"> on Ministry of Energy, Northern Development and Mines </w:t>
      </w:r>
      <w:r w:rsidR="00A32BEC" w:rsidRPr="00A32BEC">
        <w:rPr>
          <w:i/>
          <w:sz w:val="22"/>
          <w:szCs w:val="22"/>
        </w:rPr>
        <w:t>preliminary</w:t>
      </w:r>
      <w:r w:rsidR="00A32BEC">
        <w:rPr>
          <w:sz w:val="22"/>
          <w:szCs w:val="22"/>
        </w:rPr>
        <w:t xml:space="preserve"> and </w:t>
      </w:r>
      <w:r w:rsidR="00A32BEC" w:rsidRPr="00A32BEC">
        <w:rPr>
          <w:i/>
          <w:sz w:val="22"/>
          <w:szCs w:val="22"/>
        </w:rPr>
        <w:t>final settlement statements</w:t>
      </w:r>
      <w:r w:rsidRPr="00B4335C">
        <w:rPr>
          <w:sz w:val="22"/>
          <w:szCs w:val="22"/>
        </w:rPr>
        <w:t xml:space="preserve">. </w:t>
      </w:r>
    </w:p>
    <w:p w14:paraId="7B222FE3" w14:textId="4DDBB9A4" w:rsidR="00F870B7" w:rsidRPr="00855267" w:rsidRDefault="00F870B7" w:rsidP="00133618">
      <w:pPr>
        <w:pStyle w:val="Heading4"/>
      </w:pPr>
      <w:r w:rsidRPr="00855267">
        <w:t xml:space="preserve">Settlement of </w:t>
      </w:r>
      <w:r>
        <w:t>OREC-OESP Variance</w:t>
      </w:r>
    </w:p>
    <w:p w14:paraId="22C5DF85" w14:textId="77777777" w:rsidR="00F870B7" w:rsidRPr="00B65E91" w:rsidRDefault="00F870B7" w:rsidP="00F870B7">
      <w:pPr>
        <w:pStyle w:val="BodyText"/>
        <w:autoSpaceDE w:val="0"/>
        <w:autoSpaceDN w:val="0"/>
        <w:adjustRightInd w:val="0"/>
      </w:pPr>
      <w:r>
        <w:t>Unit sub-</w:t>
      </w:r>
      <w:r w:rsidRPr="000A5693">
        <w:rPr>
          <w:i/>
        </w:rPr>
        <w:t>meter</w:t>
      </w:r>
      <w:r>
        <w:t xml:space="preserve"> providers that submitted both OREC and OESP claims for the billing periods from January 1, 2017 to October 31, 2019 on behalf of eligible consumers must remit OREC-OESP variance to </w:t>
      </w:r>
      <w:r>
        <w:rPr>
          <w:i/>
        </w:rPr>
        <w:t>IESO</w:t>
      </w:r>
      <w:r>
        <w:t xml:space="preserve"> via the settlement form “OREC-OESP Variance – USMP” as post-final adjustments.</w:t>
      </w:r>
    </w:p>
    <w:p w14:paraId="1C1CC77D" w14:textId="77777777" w:rsidR="00F870B7" w:rsidRDefault="00F870B7" w:rsidP="00F870B7">
      <w:pPr>
        <w:pStyle w:val="BodyText"/>
        <w:autoSpaceDE w:val="0"/>
        <w:autoSpaceDN w:val="0"/>
        <w:adjustRightInd w:val="0"/>
        <w:rPr>
          <w:szCs w:val="22"/>
        </w:rPr>
      </w:pPr>
      <w:r>
        <w:t xml:space="preserve">The OREC-OESP variance </w:t>
      </w:r>
      <w:r w:rsidRPr="00B4335C">
        <w:rPr>
          <w:i/>
          <w:iCs/>
          <w:szCs w:val="22"/>
        </w:rPr>
        <w:t>settlement</w:t>
      </w:r>
      <w:r w:rsidRPr="009C1F3D">
        <w:rPr>
          <w:i/>
          <w:iCs/>
          <w:szCs w:val="22"/>
        </w:rPr>
        <w:t xml:space="preserve"> </w:t>
      </w:r>
      <w:r w:rsidRPr="009C1F3D">
        <w:rPr>
          <w:i/>
          <w:szCs w:val="22"/>
        </w:rPr>
        <w:t>amount</w:t>
      </w:r>
      <w:r w:rsidRPr="00B4335C">
        <w:rPr>
          <w:szCs w:val="22"/>
        </w:rPr>
        <w:t xml:space="preserve"> for unit sub-</w:t>
      </w:r>
      <w:r w:rsidRPr="00B4335C">
        <w:rPr>
          <w:i/>
          <w:iCs/>
          <w:szCs w:val="22"/>
        </w:rPr>
        <w:t xml:space="preserve">meter </w:t>
      </w:r>
      <w:r w:rsidRPr="00B4335C">
        <w:rPr>
          <w:szCs w:val="22"/>
        </w:rPr>
        <w:t xml:space="preserve">providers </w:t>
      </w:r>
      <w:r>
        <w:rPr>
          <w:szCs w:val="22"/>
        </w:rPr>
        <w:t>will be</w:t>
      </w:r>
      <w:r w:rsidRPr="00B4335C">
        <w:rPr>
          <w:szCs w:val="22"/>
        </w:rPr>
        <w:t xml:space="preserve"> included on the </w:t>
      </w:r>
      <w:r w:rsidRPr="00B4335C">
        <w:rPr>
          <w:i/>
          <w:iCs/>
          <w:szCs w:val="22"/>
        </w:rPr>
        <w:t xml:space="preserve">preliminary settlement statement </w:t>
      </w:r>
      <w:r w:rsidRPr="00B4335C">
        <w:rPr>
          <w:szCs w:val="22"/>
        </w:rPr>
        <w:t xml:space="preserve">for the last </w:t>
      </w:r>
      <w:r w:rsidRPr="00B4335C">
        <w:rPr>
          <w:i/>
          <w:iCs/>
          <w:szCs w:val="22"/>
        </w:rPr>
        <w:t xml:space="preserve">trading day </w:t>
      </w:r>
      <w:r w:rsidRPr="00B4335C">
        <w:rPr>
          <w:szCs w:val="22"/>
        </w:rPr>
        <w:t xml:space="preserve">of the </w:t>
      </w:r>
      <w:r>
        <w:rPr>
          <w:szCs w:val="22"/>
        </w:rPr>
        <w:t xml:space="preserve">current settlement </w:t>
      </w:r>
      <w:r w:rsidRPr="00B4335C">
        <w:rPr>
          <w:szCs w:val="22"/>
        </w:rPr>
        <w:t xml:space="preserve">month </w:t>
      </w:r>
      <w:r>
        <w:rPr>
          <w:szCs w:val="22"/>
        </w:rPr>
        <w:t>through</w:t>
      </w:r>
      <w:r w:rsidRPr="00B4335C">
        <w:rPr>
          <w:szCs w:val="22"/>
        </w:rPr>
        <w:t xml:space="preserve"> </w:t>
      </w:r>
      <w:r w:rsidRPr="00B4335C">
        <w:rPr>
          <w:i/>
          <w:iCs/>
          <w:szCs w:val="22"/>
        </w:rPr>
        <w:t xml:space="preserve">charge type </w:t>
      </w:r>
      <w:r w:rsidRPr="00B4335C">
        <w:rPr>
          <w:szCs w:val="22"/>
        </w:rPr>
        <w:t>998</w:t>
      </w:r>
      <w:r>
        <w:rPr>
          <w:szCs w:val="22"/>
        </w:rPr>
        <w:t>2</w:t>
      </w:r>
      <w:r w:rsidRPr="00B4335C">
        <w:rPr>
          <w:szCs w:val="22"/>
        </w:rPr>
        <w:t xml:space="preserve"> “Ontario </w:t>
      </w:r>
      <w:r>
        <w:rPr>
          <w:szCs w:val="22"/>
        </w:rPr>
        <w:t xml:space="preserve">Rebate for Electricity Consumers (8% Provincial Rebate) </w:t>
      </w:r>
      <w:r w:rsidRPr="00B4335C">
        <w:rPr>
          <w:szCs w:val="22"/>
        </w:rPr>
        <w:t>Settlement Amount”</w:t>
      </w:r>
      <w:r>
        <w:rPr>
          <w:szCs w:val="22"/>
        </w:rPr>
        <w:t>.</w:t>
      </w:r>
    </w:p>
    <w:p w14:paraId="2FA4BF26" w14:textId="370230E5" w:rsidR="00F870B7" w:rsidRDefault="00F870B7" w:rsidP="00F870B7">
      <w:pPr>
        <w:rPr>
          <w:szCs w:val="22"/>
        </w:rPr>
      </w:pPr>
      <w:r w:rsidRPr="00B4335C">
        <w:rPr>
          <w:szCs w:val="22"/>
        </w:rPr>
        <w:t xml:space="preserve">The corresponding set-off is </w:t>
      </w:r>
      <w:r w:rsidRPr="00B4335C">
        <w:rPr>
          <w:i/>
          <w:iCs/>
          <w:szCs w:val="22"/>
        </w:rPr>
        <w:t xml:space="preserve">charge type </w:t>
      </w:r>
      <w:r w:rsidRPr="00B4335C">
        <w:rPr>
          <w:szCs w:val="22"/>
        </w:rPr>
        <w:t>14</w:t>
      </w:r>
      <w:r>
        <w:rPr>
          <w:szCs w:val="22"/>
        </w:rPr>
        <w:t>6</w:t>
      </w:r>
      <w:r w:rsidRPr="00B4335C">
        <w:rPr>
          <w:szCs w:val="22"/>
        </w:rPr>
        <w:t xml:space="preserve">7 “Ontario </w:t>
      </w:r>
      <w:r>
        <w:rPr>
          <w:szCs w:val="22"/>
        </w:rPr>
        <w:t>Rebate for Electricity Consumers</w:t>
      </w:r>
      <w:r w:rsidRPr="00B4335C">
        <w:rPr>
          <w:szCs w:val="22"/>
        </w:rPr>
        <w:t xml:space="preserve"> </w:t>
      </w:r>
      <w:r>
        <w:rPr>
          <w:szCs w:val="22"/>
        </w:rPr>
        <w:t xml:space="preserve">(8% Provincial Rebate) </w:t>
      </w:r>
      <w:r w:rsidRPr="00B4335C">
        <w:rPr>
          <w:szCs w:val="22"/>
        </w:rPr>
        <w:t>Balancing Amount”</w:t>
      </w:r>
      <w:r>
        <w:rPr>
          <w:szCs w:val="22"/>
        </w:rPr>
        <w:t xml:space="preserve"> on Ministry of Energy, Northern Development and Mines </w:t>
      </w:r>
      <w:r w:rsidRPr="00A32BEC">
        <w:rPr>
          <w:i/>
          <w:szCs w:val="22"/>
        </w:rPr>
        <w:t>preliminary</w:t>
      </w:r>
      <w:r>
        <w:rPr>
          <w:szCs w:val="22"/>
        </w:rPr>
        <w:t xml:space="preserve"> </w:t>
      </w:r>
      <w:r w:rsidRPr="00A32BEC">
        <w:rPr>
          <w:i/>
          <w:szCs w:val="22"/>
        </w:rPr>
        <w:t>settlement statements</w:t>
      </w:r>
      <w:r w:rsidRPr="00B4335C">
        <w:rPr>
          <w:szCs w:val="22"/>
        </w:rPr>
        <w:t>.</w:t>
      </w:r>
    </w:p>
    <w:p w14:paraId="07EA82F2" w14:textId="78B2767D" w:rsidR="00F870B7" w:rsidRPr="00855267" w:rsidRDefault="00F870B7" w:rsidP="00133618">
      <w:pPr>
        <w:pStyle w:val="Heading4"/>
      </w:pPr>
      <w:r w:rsidRPr="00855267">
        <w:t xml:space="preserve">Settlement of </w:t>
      </w:r>
      <w:r>
        <w:t>OER-OESP Variance</w:t>
      </w:r>
    </w:p>
    <w:p w14:paraId="111B039B" w14:textId="77777777" w:rsidR="00F870B7" w:rsidRPr="00B65E91" w:rsidRDefault="00F870B7" w:rsidP="00F870B7">
      <w:pPr>
        <w:pStyle w:val="BodyText"/>
        <w:autoSpaceDE w:val="0"/>
        <w:autoSpaceDN w:val="0"/>
        <w:adjustRightInd w:val="0"/>
      </w:pPr>
      <w:r>
        <w:t>Unit sub-</w:t>
      </w:r>
      <w:r w:rsidRPr="000A5693">
        <w:rPr>
          <w:i/>
        </w:rPr>
        <w:t>meter</w:t>
      </w:r>
      <w:r>
        <w:t xml:space="preserve"> providers that submitted both OER and OESP claims for the billing periods effective November 1, 2019 on behalf of eligible consumers must remit OER-OESP variance to </w:t>
      </w:r>
      <w:r>
        <w:rPr>
          <w:i/>
        </w:rPr>
        <w:t>IESO</w:t>
      </w:r>
      <w:r>
        <w:t xml:space="preserve"> via the settlement form “OER-OESP Variance – USMP” as post-final adjustments.</w:t>
      </w:r>
    </w:p>
    <w:p w14:paraId="5465F9B2" w14:textId="77777777" w:rsidR="00F870B7" w:rsidRDefault="00F870B7" w:rsidP="00F870B7">
      <w:pPr>
        <w:pStyle w:val="BodyText"/>
        <w:autoSpaceDE w:val="0"/>
        <w:autoSpaceDN w:val="0"/>
        <w:adjustRightInd w:val="0"/>
        <w:rPr>
          <w:szCs w:val="22"/>
        </w:rPr>
      </w:pPr>
      <w:r>
        <w:t xml:space="preserve">The OER-OESP variance </w:t>
      </w:r>
      <w:r w:rsidRPr="00B4335C">
        <w:rPr>
          <w:i/>
          <w:iCs/>
          <w:szCs w:val="22"/>
        </w:rPr>
        <w:t>settlement</w:t>
      </w:r>
      <w:r w:rsidRPr="009C1F3D">
        <w:rPr>
          <w:i/>
          <w:iCs/>
          <w:szCs w:val="22"/>
        </w:rPr>
        <w:t xml:space="preserve"> </w:t>
      </w:r>
      <w:r w:rsidRPr="009C1F3D">
        <w:rPr>
          <w:i/>
          <w:szCs w:val="22"/>
        </w:rPr>
        <w:t>amount</w:t>
      </w:r>
      <w:r w:rsidRPr="00B4335C">
        <w:rPr>
          <w:szCs w:val="22"/>
        </w:rPr>
        <w:t xml:space="preserve"> for unit sub-</w:t>
      </w:r>
      <w:r w:rsidRPr="00B4335C">
        <w:rPr>
          <w:i/>
          <w:iCs/>
          <w:szCs w:val="22"/>
        </w:rPr>
        <w:t xml:space="preserve">meter </w:t>
      </w:r>
      <w:r w:rsidRPr="00B4335C">
        <w:rPr>
          <w:szCs w:val="22"/>
        </w:rPr>
        <w:t xml:space="preserve">providers </w:t>
      </w:r>
      <w:r>
        <w:rPr>
          <w:szCs w:val="22"/>
        </w:rPr>
        <w:t>will be</w:t>
      </w:r>
      <w:r w:rsidRPr="00B4335C">
        <w:rPr>
          <w:szCs w:val="22"/>
        </w:rPr>
        <w:t xml:space="preserve"> included on the </w:t>
      </w:r>
      <w:r w:rsidRPr="00B4335C">
        <w:rPr>
          <w:i/>
          <w:iCs/>
          <w:szCs w:val="22"/>
        </w:rPr>
        <w:t xml:space="preserve">preliminary settlement statement </w:t>
      </w:r>
      <w:r w:rsidRPr="00B4335C">
        <w:rPr>
          <w:szCs w:val="22"/>
        </w:rPr>
        <w:t xml:space="preserve">for the last </w:t>
      </w:r>
      <w:r w:rsidRPr="00B4335C">
        <w:rPr>
          <w:i/>
          <w:iCs/>
          <w:szCs w:val="22"/>
        </w:rPr>
        <w:t xml:space="preserve">trading day </w:t>
      </w:r>
      <w:r w:rsidRPr="00B4335C">
        <w:rPr>
          <w:szCs w:val="22"/>
        </w:rPr>
        <w:t xml:space="preserve">of the </w:t>
      </w:r>
      <w:r>
        <w:rPr>
          <w:szCs w:val="22"/>
        </w:rPr>
        <w:t xml:space="preserve">current settlement </w:t>
      </w:r>
      <w:r w:rsidRPr="00B4335C">
        <w:rPr>
          <w:szCs w:val="22"/>
        </w:rPr>
        <w:t xml:space="preserve">month </w:t>
      </w:r>
      <w:r>
        <w:rPr>
          <w:szCs w:val="22"/>
        </w:rPr>
        <w:t>through</w:t>
      </w:r>
      <w:r w:rsidRPr="00B4335C">
        <w:rPr>
          <w:szCs w:val="22"/>
        </w:rPr>
        <w:t xml:space="preserve"> </w:t>
      </w:r>
      <w:r w:rsidRPr="00B4335C">
        <w:rPr>
          <w:i/>
          <w:iCs/>
          <w:szCs w:val="22"/>
        </w:rPr>
        <w:t xml:space="preserve">charge type </w:t>
      </w:r>
      <w:r w:rsidRPr="00B4335C">
        <w:rPr>
          <w:szCs w:val="22"/>
        </w:rPr>
        <w:t>998</w:t>
      </w:r>
      <w:r>
        <w:rPr>
          <w:szCs w:val="22"/>
        </w:rPr>
        <w:t>3</w:t>
      </w:r>
      <w:r w:rsidRPr="00B4335C">
        <w:rPr>
          <w:szCs w:val="22"/>
        </w:rPr>
        <w:t xml:space="preserve"> “Ontario </w:t>
      </w:r>
      <w:r>
        <w:rPr>
          <w:szCs w:val="22"/>
        </w:rPr>
        <w:t xml:space="preserve">Electricity </w:t>
      </w:r>
      <w:r w:rsidRPr="00B4335C">
        <w:rPr>
          <w:szCs w:val="22"/>
        </w:rPr>
        <w:t>Rebate Settlement Amount”</w:t>
      </w:r>
      <w:r>
        <w:rPr>
          <w:szCs w:val="22"/>
        </w:rPr>
        <w:t>.</w:t>
      </w:r>
    </w:p>
    <w:p w14:paraId="6728F7D4" w14:textId="77777777" w:rsidR="00F870B7" w:rsidRDefault="00F870B7" w:rsidP="00F870B7">
      <w:pPr>
        <w:rPr>
          <w:szCs w:val="22"/>
        </w:rPr>
      </w:pPr>
      <w:r w:rsidRPr="00B4335C">
        <w:rPr>
          <w:szCs w:val="22"/>
        </w:rPr>
        <w:t xml:space="preserve">The corresponding set-off is </w:t>
      </w:r>
      <w:r w:rsidRPr="00B4335C">
        <w:rPr>
          <w:i/>
          <w:iCs/>
          <w:szCs w:val="22"/>
        </w:rPr>
        <w:t xml:space="preserve">charge type </w:t>
      </w:r>
      <w:r w:rsidRPr="00B4335C">
        <w:rPr>
          <w:szCs w:val="22"/>
        </w:rPr>
        <w:t>14</w:t>
      </w:r>
      <w:r>
        <w:rPr>
          <w:szCs w:val="22"/>
        </w:rPr>
        <w:t>5</w:t>
      </w:r>
      <w:r w:rsidRPr="00B4335C">
        <w:rPr>
          <w:szCs w:val="22"/>
        </w:rPr>
        <w:t xml:space="preserve">7 “Ontario </w:t>
      </w:r>
      <w:r>
        <w:rPr>
          <w:szCs w:val="22"/>
        </w:rPr>
        <w:t xml:space="preserve">Electricity </w:t>
      </w:r>
      <w:r w:rsidRPr="00B4335C">
        <w:rPr>
          <w:szCs w:val="22"/>
        </w:rPr>
        <w:t>Rebate Balancing Amount”</w:t>
      </w:r>
      <w:r>
        <w:rPr>
          <w:szCs w:val="22"/>
        </w:rPr>
        <w:t xml:space="preserve"> on Ministry of Energy, Northern Development and Mines </w:t>
      </w:r>
      <w:r w:rsidRPr="00A32BEC">
        <w:rPr>
          <w:i/>
          <w:szCs w:val="22"/>
        </w:rPr>
        <w:t>preliminary</w:t>
      </w:r>
      <w:r>
        <w:rPr>
          <w:szCs w:val="22"/>
        </w:rPr>
        <w:t xml:space="preserve"> </w:t>
      </w:r>
      <w:r w:rsidRPr="00A32BEC">
        <w:rPr>
          <w:i/>
          <w:szCs w:val="22"/>
        </w:rPr>
        <w:t>settlement statements</w:t>
      </w:r>
      <w:r w:rsidRPr="00B4335C">
        <w:rPr>
          <w:szCs w:val="22"/>
        </w:rPr>
        <w:t>.</w:t>
      </w:r>
    </w:p>
    <w:p w14:paraId="6BFC2BF5" w14:textId="77777777" w:rsidR="00C91D67" w:rsidRPr="0029294E" w:rsidRDefault="00C91D67" w:rsidP="00C91D67">
      <w:pPr>
        <w:pStyle w:val="Heading3"/>
      </w:pPr>
      <w:bookmarkStart w:id="1279" w:name="_Toc25761293"/>
      <w:bookmarkStart w:id="1280" w:name="_Toc35796362"/>
      <w:bookmarkStart w:id="1281" w:name="_Toc79657964"/>
      <w:bookmarkEnd w:id="1279"/>
      <w:r>
        <w:t>Fair Hydro Act, 2017</w:t>
      </w:r>
      <w:bookmarkEnd w:id="1280"/>
      <w:bookmarkEnd w:id="1281"/>
    </w:p>
    <w:p w14:paraId="442F59A7" w14:textId="77777777" w:rsidR="00C91D67" w:rsidRDefault="00C91D67" w:rsidP="00C91D67">
      <w:r>
        <w:t xml:space="preserve">The </w:t>
      </w:r>
      <w:r w:rsidRPr="0021584F">
        <w:rPr>
          <w:i/>
        </w:rPr>
        <w:t>Fair Hydro Act, 2017</w:t>
      </w:r>
      <w:r>
        <w:t xml:space="preserve"> (Bill 132) makes amendments to the </w:t>
      </w:r>
      <w:r w:rsidRPr="004A48AF">
        <w:rPr>
          <w:i/>
        </w:rPr>
        <w:t>Electricity Act, 1998</w:t>
      </w:r>
      <w:r>
        <w:t xml:space="preserve">, and the </w:t>
      </w:r>
      <w:r w:rsidRPr="004A48AF">
        <w:rPr>
          <w:i/>
        </w:rPr>
        <w:t>Ontario Energy Board Act, 199</w:t>
      </w:r>
      <w:r>
        <w:rPr>
          <w:i/>
        </w:rPr>
        <w:t xml:space="preserve">8, </w:t>
      </w:r>
      <w:r>
        <w:t xml:space="preserve">implementing a variety of initiatives broadly targeting residential customers along with some small businesses and farms. </w:t>
      </w:r>
      <w:r w:rsidR="00017143">
        <w:t xml:space="preserve"> </w:t>
      </w:r>
      <w:r>
        <w:t xml:space="preserve">Additional programs being implemented under the </w:t>
      </w:r>
      <w:r>
        <w:rPr>
          <w:i/>
        </w:rPr>
        <w:t xml:space="preserve">Act </w:t>
      </w:r>
      <w:r>
        <w:t>specifically relate to residential customers in rural or remote ar</w:t>
      </w:r>
      <w:r w:rsidR="00017143">
        <w:t>eas and First Nations reserves.</w:t>
      </w:r>
    </w:p>
    <w:p w14:paraId="678F3B0D" w14:textId="0E4F9773" w:rsidR="00C91D67" w:rsidRDefault="00DD3FA6" w:rsidP="00133618">
      <w:pPr>
        <w:pStyle w:val="Heading4"/>
      </w:pPr>
      <w:r>
        <w:t>Intentionally Left Blank</w:t>
      </w:r>
    </w:p>
    <w:p w14:paraId="434E5CA7" w14:textId="1F2E5776" w:rsidR="00095421" w:rsidRPr="00E320C0" w:rsidRDefault="00095421" w:rsidP="00C91D67">
      <w:pPr>
        <w:pStyle w:val="BodyTextNote"/>
        <w:pBdr>
          <w:top w:val="single" w:sz="2" w:space="1" w:color="auto"/>
          <w:left w:val="single" w:sz="2" w:space="4" w:color="auto"/>
          <w:bottom w:val="single" w:sz="2" w:space="1" w:color="auto"/>
          <w:right w:val="single" w:sz="2" w:space="4" w:color="auto"/>
        </w:pBdr>
        <w:tabs>
          <w:tab w:val="clear" w:pos="576"/>
          <w:tab w:val="left" w:pos="720"/>
        </w:tabs>
        <w:ind w:left="720" w:hanging="720"/>
      </w:pPr>
      <w:r>
        <w:rPr>
          <w:szCs w:val="22"/>
          <w:lang w:val="en-CA"/>
        </w:rPr>
        <w:t>T</w:t>
      </w:r>
      <w:r w:rsidRPr="00E014D3">
        <w:rPr>
          <w:szCs w:val="22"/>
          <w:lang w:val="en-CA"/>
        </w:rPr>
        <w:t xml:space="preserve">he </w:t>
      </w:r>
      <w:r>
        <w:rPr>
          <w:szCs w:val="22"/>
          <w:lang w:val="en-CA"/>
        </w:rPr>
        <w:t>section ‘Global Adjustment Modifier’ has been removed as per amendment to regulation</w:t>
      </w:r>
      <w:r w:rsidRPr="00E014D3">
        <w:rPr>
          <w:szCs w:val="22"/>
          <w:lang w:val="en-CA"/>
        </w:rPr>
        <w:t xml:space="preserve">. </w:t>
      </w:r>
      <w:r>
        <w:rPr>
          <w:szCs w:val="22"/>
          <w:lang w:val="en-CA"/>
        </w:rPr>
        <w:t xml:space="preserve">For more details, refer to Appendix E.13, where the archived section can be found. </w:t>
      </w:r>
    </w:p>
    <w:p w14:paraId="63FC0638" w14:textId="77777777" w:rsidR="00C91D67" w:rsidRDefault="00C91D67" w:rsidP="00133618">
      <w:pPr>
        <w:pStyle w:val="Heading4"/>
      </w:pPr>
      <w:r>
        <w:t>First Nations On-reserve Delivery Credit</w:t>
      </w:r>
    </w:p>
    <w:p w14:paraId="56876D02" w14:textId="77777777" w:rsidR="00C91D67" w:rsidRDefault="00C91D67" w:rsidP="00B71E0E">
      <w:pPr>
        <w:spacing w:before="120"/>
        <w:rPr>
          <w:szCs w:val="22"/>
        </w:rPr>
      </w:pPr>
      <w:r w:rsidRPr="00864878">
        <w:rPr>
          <w:szCs w:val="22"/>
        </w:rPr>
        <w:t xml:space="preserve">As part of the </w:t>
      </w:r>
      <w:r w:rsidRPr="00864878">
        <w:rPr>
          <w:i/>
          <w:szCs w:val="22"/>
        </w:rPr>
        <w:t>Fair Hydro Act, 2017</w:t>
      </w:r>
      <w:r w:rsidRPr="00864878">
        <w:rPr>
          <w:szCs w:val="22"/>
        </w:rPr>
        <w:t>, the First Nations On-reserve Delivery Credit</w:t>
      </w:r>
      <w:r>
        <w:rPr>
          <w:szCs w:val="22"/>
        </w:rPr>
        <w:t xml:space="preserve"> (FNDC) </w:t>
      </w:r>
      <w:r w:rsidRPr="00864878">
        <w:rPr>
          <w:szCs w:val="22"/>
        </w:rPr>
        <w:t xml:space="preserve">provides a credit to a customer of a licensed distributor that occupies residential premises located on or within a reserve and has a residential-rate account with that distributor. The amount of the delivery credit is prescribed in Ontario Regulation O. Reg 197/17. </w:t>
      </w:r>
    </w:p>
    <w:p w14:paraId="246DB753" w14:textId="77777777" w:rsidR="00C91D67" w:rsidRDefault="00C91D67" w:rsidP="00C91D67">
      <w:r w:rsidRPr="00F656C1">
        <w:rPr>
          <w:iCs/>
          <w:szCs w:val="22"/>
        </w:rPr>
        <w:t>Licensed</w:t>
      </w:r>
      <w:r>
        <w:rPr>
          <w:i/>
          <w:iCs/>
          <w:szCs w:val="22"/>
        </w:rPr>
        <w:t xml:space="preserve"> </w:t>
      </w:r>
      <w:r w:rsidRPr="00F656C1">
        <w:rPr>
          <w:i/>
          <w:iCs/>
          <w:szCs w:val="22"/>
        </w:rPr>
        <w:t>distributors</w:t>
      </w:r>
      <w:r w:rsidRPr="00B4335C">
        <w:rPr>
          <w:i/>
          <w:iCs/>
          <w:szCs w:val="22"/>
        </w:rPr>
        <w:t xml:space="preserve"> </w:t>
      </w:r>
      <w:r w:rsidRPr="00B4335C">
        <w:rPr>
          <w:szCs w:val="22"/>
        </w:rPr>
        <w:t>must submit their claims for reimbursement</w:t>
      </w:r>
      <w:r>
        <w:rPr>
          <w:szCs w:val="22"/>
        </w:rPr>
        <w:t xml:space="preserve"> of the FNDC credits paid</w:t>
      </w:r>
      <w:r w:rsidRPr="00B4335C">
        <w:rPr>
          <w:szCs w:val="22"/>
        </w:rPr>
        <w:t xml:space="preserve"> to</w:t>
      </w:r>
      <w:r>
        <w:rPr>
          <w:szCs w:val="22"/>
        </w:rPr>
        <w:t xml:space="preserve"> their eligible customers.</w:t>
      </w:r>
      <w:r w:rsidRPr="00B4335C">
        <w:rPr>
          <w:szCs w:val="22"/>
        </w:rPr>
        <w:t xml:space="preserve"> </w:t>
      </w:r>
      <w:r>
        <w:rPr>
          <w:szCs w:val="22"/>
        </w:rPr>
        <w:t xml:space="preserve">These claims must be submitted </w:t>
      </w:r>
      <w:r w:rsidRPr="00B4335C">
        <w:rPr>
          <w:szCs w:val="22"/>
        </w:rPr>
        <w:t>monthly</w:t>
      </w:r>
      <w:r>
        <w:rPr>
          <w:szCs w:val="22"/>
        </w:rPr>
        <w:t xml:space="preserve"> to the IESO</w:t>
      </w:r>
      <w:r w:rsidRPr="00B4335C">
        <w:rPr>
          <w:szCs w:val="22"/>
        </w:rPr>
        <w:t xml:space="preserve"> no later than the fourth </w:t>
      </w:r>
      <w:r w:rsidRPr="006F60B3">
        <w:rPr>
          <w:i/>
          <w:szCs w:val="22"/>
        </w:rPr>
        <w:t>business day</w:t>
      </w:r>
      <w:r w:rsidRPr="00B4335C">
        <w:rPr>
          <w:szCs w:val="22"/>
        </w:rPr>
        <w:t xml:space="preserve"> after the last </w:t>
      </w:r>
      <w:r w:rsidRPr="00B4335C">
        <w:rPr>
          <w:i/>
          <w:iCs/>
          <w:szCs w:val="22"/>
        </w:rPr>
        <w:t xml:space="preserve">trading day </w:t>
      </w:r>
      <w:r w:rsidRPr="00B4335C">
        <w:rPr>
          <w:szCs w:val="22"/>
        </w:rPr>
        <w:t xml:space="preserve">of the month. The </w:t>
      </w:r>
      <w:r w:rsidRPr="00B4335C">
        <w:rPr>
          <w:i/>
          <w:iCs/>
          <w:szCs w:val="22"/>
        </w:rPr>
        <w:t>settlement</w:t>
      </w:r>
      <w:r w:rsidRPr="009C1F3D">
        <w:rPr>
          <w:i/>
          <w:iCs/>
          <w:szCs w:val="22"/>
        </w:rPr>
        <w:t xml:space="preserve"> </w:t>
      </w:r>
      <w:r w:rsidRPr="009C1F3D">
        <w:rPr>
          <w:i/>
          <w:szCs w:val="22"/>
        </w:rPr>
        <w:t>amount</w:t>
      </w:r>
      <w:r w:rsidRPr="00B4335C">
        <w:rPr>
          <w:szCs w:val="22"/>
        </w:rPr>
        <w:t xml:space="preserve"> for </w:t>
      </w:r>
      <w:r>
        <w:rPr>
          <w:szCs w:val="22"/>
        </w:rPr>
        <w:t xml:space="preserve">licensed </w:t>
      </w:r>
      <w:r w:rsidRPr="00B4335C">
        <w:rPr>
          <w:i/>
          <w:iCs/>
          <w:szCs w:val="22"/>
        </w:rPr>
        <w:t>distributors</w:t>
      </w:r>
      <w:r>
        <w:rPr>
          <w:i/>
          <w:iCs/>
          <w:szCs w:val="22"/>
        </w:rPr>
        <w:t xml:space="preserve"> </w:t>
      </w:r>
      <w:r w:rsidRPr="00B4335C">
        <w:rPr>
          <w:szCs w:val="22"/>
        </w:rPr>
        <w:t xml:space="preserve">will be included on the </w:t>
      </w:r>
      <w:r w:rsidRPr="00B4335C">
        <w:rPr>
          <w:i/>
          <w:iCs/>
          <w:szCs w:val="22"/>
        </w:rPr>
        <w:t xml:space="preserve">preliminary settlement statement </w:t>
      </w:r>
      <w:r w:rsidRPr="00B4335C">
        <w:rPr>
          <w:szCs w:val="22"/>
        </w:rPr>
        <w:t xml:space="preserve">and </w:t>
      </w:r>
      <w:r w:rsidRPr="00B4335C">
        <w:rPr>
          <w:i/>
          <w:iCs/>
          <w:szCs w:val="22"/>
        </w:rPr>
        <w:t xml:space="preserve">final settlement statement </w:t>
      </w:r>
      <w:r w:rsidRPr="00B4335C">
        <w:rPr>
          <w:szCs w:val="22"/>
        </w:rPr>
        <w:t xml:space="preserve">for the last </w:t>
      </w:r>
      <w:r w:rsidRPr="00B4335C">
        <w:rPr>
          <w:i/>
          <w:iCs/>
          <w:szCs w:val="22"/>
        </w:rPr>
        <w:t xml:space="preserve">trading day </w:t>
      </w:r>
      <w:r w:rsidRPr="00B4335C">
        <w:rPr>
          <w:szCs w:val="22"/>
        </w:rPr>
        <w:t xml:space="preserve">of the month under </w:t>
      </w:r>
      <w:r w:rsidRPr="00B4335C">
        <w:rPr>
          <w:i/>
          <w:iCs/>
          <w:szCs w:val="22"/>
        </w:rPr>
        <w:t xml:space="preserve">charge type </w:t>
      </w:r>
      <w:r>
        <w:rPr>
          <w:szCs w:val="22"/>
        </w:rPr>
        <w:t>705</w:t>
      </w:r>
      <w:r w:rsidRPr="00B4335C">
        <w:rPr>
          <w:szCs w:val="22"/>
        </w:rPr>
        <w:t xml:space="preserve"> “</w:t>
      </w:r>
      <w:r w:rsidRPr="00DC306D">
        <w:rPr>
          <w:szCs w:val="22"/>
        </w:rPr>
        <w:t>Ontario Fair Hydro Plan First Nations On-reserve Delivery Amount</w:t>
      </w:r>
      <w:r w:rsidRPr="00B4335C">
        <w:rPr>
          <w:szCs w:val="22"/>
        </w:rPr>
        <w:t xml:space="preserve">”. The corresponding set-off is </w:t>
      </w:r>
      <w:r w:rsidRPr="00B4335C">
        <w:rPr>
          <w:i/>
          <w:iCs/>
          <w:szCs w:val="22"/>
        </w:rPr>
        <w:t xml:space="preserve">charge type </w:t>
      </w:r>
      <w:r>
        <w:rPr>
          <w:szCs w:val="22"/>
        </w:rPr>
        <w:t>755</w:t>
      </w:r>
      <w:r w:rsidRPr="00B4335C">
        <w:rPr>
          <w:szCs w:val="22"/>
        </w:rPr>
        <w:t xml:space="preserve"> “</w:t>
      </w:r>
      <w:r w:rsidRPr="00DC306D">
        <w:rPr>
          <w:szCs w:val="22"/>
        </w:rPr>
        <w:t>MOE - Ontario Fair Hydro Plan First Nations On-reserve Delivery Balancing Amount</w:t>
      </w:r>
      <w:r w:rsidRPr="00B4335C">
        <w:rPr>
          <w:szCs w:val="22"/>
        </w:rPr>
        <w:t>”.</w:t>
      </w:r>
    </w:p>
    <w:p w14:paraId="201EBD93" w14:textId="77777777" w:rsidR="00C91D67" w:rsidRPr="00D10A2E" w:rsidRDefault="00C91D67" w:rsidP="00133618">
      <w:pPr>
        <w:pStyle w:val="Heading4"/>
      </w:pPr>
      <w:r>
        <w:t>Distribution Rate Protection</w:t>
      </w:r>
    </w:p>
    <w:p w14:paraId="565B82BF" w14:textId="77777777" w:rsidR="00C91D67" w:rsidRDefault="00C91D67" w:rsidP="00C91D67">
      <w:pPr>
        <w:pStyle w:val="BodyText"/>
        <w:rPr>
          <w:iCs/>
          <w:szCs w:val="22"/>
        </w:rPr>
      </w:pPr>
      <w:r>
        <w:rPr>
          <w:iCs/>
          <w:szCs w:val="22"/>
        </w:rPr>
        <w:t xml:space="preserve">As part of the </w:t>
      </w:r>
      <w:r w:rsidRPr="00950176">
        <w:rPr>
          <w:i/>
          <w:iCs/>
          <w:szCs w:val="22"/>
        </w:rPr>
        <w:t>Fair Hydro Act, 2017</w:t>
      </w:r>
      <w:r>
        <w:rPr>
          <w:iCs/>
          <w:szCs w:val="22"/>
        </w:rPr>
        <w:t xml:space="preserve">, </w:t>
      </w:r>
      <w:r w:rsidRPr="00896CE1">
        <w:rPr>
          <w:iCs/>
          <w:szCs w:val="22"/>
        </w:rPr>
        <w:t>the Distribution</w:t>
      </w:r>
      <w:r>
        <w:rPr>
          <w:iCs/>
          <w:szCs w:val="22"/>
        </w:rPr>
        <w:t xml:space="preserve"> Rate Protection (DRP) program</w:t>
      </w:r>
      <w:r w:rsidRPr="00896CE1">
        <w:rPr>
          <w:iCs/>
          <w:szCs w:val="22"/>
        </w:rPr>
        <w:t xml:space="preserve"> sets maximum monthly base distribution charges for eligible residential customers of certain utilities. </w:t>
      </w:r>
      <w:r w:rsidR="00017143">
        <w:rPr>
          <w:iCs/>
          <w:szCs w:val="22"/>
        </w:rPr>
        <w:t xml:space="preserve"> </w:t>
      </w:r>
      <w:r w:rsidRPr="00896CE1">
        <w:rPr>
          <w:iCs/>
          <w:szCs w:val="22"/>
        </w:rPr>
        <w:t>The eligibility requirements can be found in Ontario Regulation O. Reg 198/17. The maximum monthly base distribution rate is set at least once a year by the Ontario Energy Board (OEB). As the DRP program caps the base distribution charges, distributors must calculate the actual total base distribution charge and compare this to the maximum charge approved by the OEB and charge no more than the maximum amount.</w:t>
      </w:r>
    </w:p>
    <w:p w14:paraId="7F84807C" w14:textId="2A6B32C1" w:rsidR="00EC591E" w:rsidRPr="00E320C0" w:rsidRDefault="00C91D67" w:rsidP="00C91D67">
      <w:pPr>
        <w:pStyle w:val="BodyText"/>
        <w:rPr>
          <w:szCs w:val="22"/>
        </w:rPr>
      </w:pPr>
      <w:r w:rsidRPr="00F656C1">
        <w:rPr>
          <w:iCs/>
          <w:szCs w:val="22"/>
        </w:rPr>
        <w:t>Licensed</w:t>
      </w:r>
      <w:r>
        <w:rPr>
          <w:i/>
          <w:iCs/>
          <w:szCs w:val="22"/>
        </w:rPr>
        <w:t xml:space="preserve"> </w:t>
      </w:r>
      <w:r w:rsidRPr="00F656C1">
        <w:rPr>
          <w:i/>
          <w:iCs/>
          <w:szCs w:val="22"/>
        </w:rPr>
        <w:t>distributors</w:t>
      </w:r>
      <w:r w:rsidRPr="00B4335C">
        <w:rPr>
          <w:i/>
          <w:iCs/>
          <w:szCs w:val="22"/>
        </w:rPr>
        <w:t xml:space="preserve"> </w:t>
      </w:r>
      <w:r w:rsidRPr="00B4335C">
        <w:rPr>
          <w:szCs w:val="22"/>
        </w:rPr>
        <w:t>must submit their claims for reimbursement</w:t>
      </w:r>
      <w:r>
        <w:rPr>
          <w:szCs w:val="22"/>
        </w:rPr>
        <w:t xml:space="preserve"> of the DRP credits paid</w:t>
      </w:r>
      <w:r w:rsidRPr="00B4335C">
        <w:rPr>
          <w:szCs w:val="22"/>
        </w:rPr>
        <w:t xml:space="preserve"> to</w:t>
      </w:r>
      <w:r>
        <w:rPr>
          <w:szCs w:val="22"/>
        </w:rPr>
        <w:t xml:space="preserve"> their eligible customers.</w:t>
      </w:r>
      <w:r w:rsidRPr="00B4335C">
        <w:rPr>
          <w:szCs w:val="22"/>
        </w:rPr>
        <w:t xml:space="preserve"> </w:t>
      </w:r>
      <w:r w:rsidR="00017143">
        <w:rPr>
          <w:szCs w:val="22"/>
        </w:rPr>
        <w:t xml:space="preserve"> </w:t>
      </w:r>
      <w:r>
        <w:rPr>
          <w:szCs w:val="22"/>
        </w:rPr>
        <w:t>This claim must be submitted monthly to the IESO</w:t>
      </w:r>
      <w:r w:rsidRPr="00B4335C">
        <w:rPr>
          <w:szCs w:val="22"/>
        </w:rPr>
        <w:t xml:space="preserve"> no later than the fourth </w:t>
      </w:r>
      <w:r w:rsidRPr="006F60B3">
        <w:rPr>
          <w:i/>
          <w:szCs w:val="22"/>
        </w:rPr>
        <w:t>business day</w:t>
      </w:r>
      <w:r w:rsidRPr="00B4335C">
        <w:rPr>
          <w:szCs w:val="22"/>
        </w:rPr>
        <w:t xml:space="preserve"> after the last </w:t>
      </w:r>
      <w:r w:rsidRPr="00B4335C">
        <w:rPr>
          <w:i/>
          <w:iCs/>
          <w:szCs w:val="22"/>
        </w:rPr>
        <w:t xml:space="preserve">trading day </w:t>
      </w:r>
      <w:r w:rsidRPr="00B4335C">
        <w:rPr>
          <w:szCs w:val="22"/>
        </w:rPr>
        <w:t xml:space="preserve">of the month. The </w:t>
      </w:r>
      <w:r w:rsidRPr="00B4335C">
        <w:rPr>
          <w:i/>
          <w:iCs/>
          <w:szCs w:val="22"/>
        </w:rPr>
        <w:t>settlement</w:t>
      </w:r>
      <w:r w:rsidRPr="009C1F3D">
        <w:rPr>
          <w:i/>
          <w:iCs/>
          <w:szCs w:val="22"/>
        </w:rPr>
        <w:t xml:space="preserve"> </w:t>
      </w:r>
      <w:r w:rsidRPr="009C1F3D">
        <w:rPr>
          <w:i/>
          <w:szCs w:val="22"/>
        </w:rPr>
        <w:t>amount</w:t>
      </w:r>
      <w:r w:rsidRPr="00B4335C">
        <w:rPr>
          <w:szCs w:val="22"/>
        </w:rPr>
        <w:t xml:space="preserve"> for </w:t>
      </w:r>
      <w:r>
        <w:rPr>
          <w:szCs w:val="22"/>
        </w:rPr>
        <w:t xml:space="preserve">licensed </w:t>
      </w:r>
      <w:r w:rsidRPr="00B4335C">
        <w:rPr>
          <w:i/>
          <w:iCs/>
          <w:szCs w:val="22"/>
        </w:rPr>
        <w:t>distributors</w:t>
      </w:r>
      <w:r>
        <w:rPr>
          <w:i/>
          <w:iCs/>
          <w:szCs w:val="22"/>
        </w:rPr>
        <w:t xml:space="preserve"> </w:t>
      </w:r>
      <w:r w:rsidRPr="00B4335C">
        <w:rPr>
          <w:szCs w:val="22"/>
        </w:rPr>
        <w:t xml:space="preserve">will be included on the </w:t>
      </w:r>
      <w:r w:rsidRPr="00B4335C">
        <w:rPr>
          <w:i/>
          <w:iCs/>
          <w:szCs w:val="22"/>
        </w:rPr>
        <w:t xml:space="preserve">preliminary settlement statement </w:t>
      </w:r>
      <w:r w:rsidRPr="00B4335C">
        <w:rPr>
          <w:szCs w:val="22"/>
        </w:rPr>
        <w:t xml:space="preserve">and </w:t>
      </w:r>
      <w:r w:rsidRPr="00B4335C">
        <w:rPr>
          <w:i/>
          <w:iCs/>
          <w:szCs w:val="22"/>
        </w:rPr>
        <w:t xml:space="preserve">final settlement statement </w:t>
      </w:r>
      <w:r w:rsidRPr="00B4335C">
        <w:rPr>
          <w:szCs w:val="22"/>
        </w:rPr>
        <w:t xml:space="preserve">for the last </w:t>
      </w:r>
      <w:r w:rsidRPr="00B4335C">
        <w:rPr>
          <w:i/>
          <w:iCs/>
          <w:szCs w:val="22"/>
        </w:rPr>
        <w:t xml:space="preserve">trading day </w:t>
      </w:r>
      <w:r w:rsidRPr="00B4335C">
        <w:rPr>
          <w:szCs w:val="22"/>
        </w:rPr>
        <w:t>of the month under</w:t>
      </w:r>
      <w:r>
        <w:rPr>
          <w:szCs w:val="22"/>
        </w:rPr>
        <w:t xml:space="preserve"> </w:t>
      </w:r>
      <w:r w:rsidRPr="00B4335C">
        <w:rPr>
          <w:i/>
          <w:iCs/>
          <w:szCs w:val="22"/>
        </w:rPr>
        <w:t xml:space="preserve">charge type </w:t>
      </w:r>
      <w:r>
        <w:rPr>
          <w:szCs w:val="22"/>
        </w:rPr>
        <w:t>706</w:t>
      </w:r>
      <w:r w:rsidRPr="00B4335C">
        <w:rPr>
          <w:szCs w:val="22"/>
        </w:rPr>
        <w:t xml:space="preserve"> “</w:t>
      </w:r>
      <w:r w:rsidRPr="00DC306D">
        <w:rPr>
          <w:szCs w:val="22"/>
        </w:rPr>
        <w:t>Ontario Fair Hydro Plan Distribution Rate Protection Amount</w:t>
      </w:r>
      <w:r w:rsidRPr="00B4335C">
        <w:rPr>
          <w:szCs w:val="22"/>
        </w:rPr>
        <w:t xml:space="preserve">”. The corresponding set-off is </w:t>
      </w:r>
      <w:r w:rsidRPr="00B4335C">
        <w:rPr>
          <w:i/>
          <w:iCs/>
          <w:szCs w:val="22"/>
        </w:rPr>
        <w:t xml:space="preserve">charge type </w:t>
      </w:r>
      <w:r>
        <w:rPr>
          <w:szCs w:val="22"/>
        </w:rPr>
        <w:t>756</w:t>
      </w:r>
      <w:r w:rsidRPr="00B4335C">
        <w:rPr>
          <w:szCs w:val="22"/>
        </w:rPr>
        <w:t xml:space="preserve"> “</w:t>
      </w:r>
      <w:r w:rsidRPr="00DC306D">
        <w:rPr>
          <w:szCs w:val="22"/>
        </w:rPr>
        <w:t>MOE - Ontario Fair Hydro Plan Distribution Rate Protection Balancing Amount</w:t>
      </w:r>
      <w:r w:rsidRPr="00B4335C">
        <w:rPr>
          <w:szCs w:val="22"/>
        </w:rPr>
        <w:t>”.</w:t>
      </w:r>
    </w:p>
    <w:p w14:paraId="19420A8A" w14:textId="33E49D70" w:rsidR="00C91D67" w:rsidRDefault="00F9175E" w:rsidP="00133618">
      <w:pPr>
        <w:pStyle w:val="Heading4"/>
      </w:pPr>
      <w:r>
        <w:t>Intentionally Left Blank</w:t>
      </w:r>
    </w:p>
    <w:p w14:paraId="778299FC" w14:textId="54858C9D" w:rsidR="00095421" w:rsidRPr="00E320C0" w:rsidRDefault="00095421" w:rsidP="00C91D67">
      <w:pPr>
        <w:pStyle w:val="BodyTextNote"/>
        <w:pBdr>
          <w:top w:val="single" w:sz="2" w:space="1" w:color="auto"/>
          <w:left w:val="single" w:sz="2" w:space="4" w:color="auto"/>
          <w:bottom w:val="single" w:sz="2" w:space="1" w:color="auto"/>
          <w:right w:val="single" w:sz="2" w:space="4" w:color="auto"/>
        </w:pBdr>
        <w:tabs>
          <w:tab w:val="clear" w:pos="576"/>
          <w:tab w:val="left" w:pos="720"/>
        </w:tabs>
        <w:ind w:left="720" w:hanging="720"/>
      </w:pPr>
      <w:r>
        <w:rPr>
          <w:szCs w:val="22"/>
          <w:lang w:val="en-CA"/>
        </w:rPr>
        <w:t>T</w:t>
      </w:r>
      <w:r w:rsidRPr="00E014D3">
        <w:rPr>
          <w:szCs w:val="22"/>
          <w:lang w:val="en-CA"/>
        </w:rPr>
        <w:t xml:space="preserve">he </w:t>
      </w:r>
      <w:r>
        <w:rPr>
          <w:szCs w:val="22"/>
          <w:lang w:val="en-CA"/>
        </w:rPr>
        <w:t>section ‘Financing Entity’ has been removed as per amendment to regulation</w:t>
      </w:r>
      <w:r w:rsidRPr="00E014D3">
        <w:rPr>
          <w:szCs w:val="22"/>
          <w:lang w:val="en-CA"/>
        </w:rPr>
        <w:t xml:space="preserve">. </w:t>
      </w:r>
      <w:r>
        <w:rPr>
          <w:szCs w:val="22"/>
          <w:lang w:val="en-CA"/>
        </w:rPr>
        <w:t xml:space="preserve">For more details, refer to Appendix E.13, where the archived section can be found. </w:t>
      </w:r>
    </w:p>
    <w:p w14:paraId="2130D8DB" w14:textId="7E03147E" w:rsidR="00C91D67" w:rsidRDefault="00F9175E" w:rsidP="00133618">
      <w:pPr>
        <w:pStyle w:val="Heading4"/>
      </w:pPr>
      <w:r>
        <w:t>Intentionally Left Blank</w:t>
      </w:r>
    </w:p>
    <w:p w14:paraId="2D2FB8BB" w14:textId="57CA6A06" w:rsidR="00095421" w:rsidRPr="00E320C0" w:rsidRDefault="00095421" w:rsidP="00E320C0">
      <w:pPr>
        <w:pStyle w:val="BodyTextNote"/>
        <w:pBdr>
          <w:top w:val="single" w:sz="2" w:space="1" w:color="auto"/>
          <w:left w:val="single" w:sz="2" w:space="4" w:color="auto"/>
          <w:bottom w:val="single" w:sz="2" w:space="1" w:color="auto"/>
          <w:right w:val="single" w:sz="2" w:space="4" w:color="auto"/>
        </w:pBdr>
        <w:tabs>
          <w:tab w:val="clear" w:pos="576"/>
          <w:tab w:val="left" w:pos="720"/>
        </w:tabs>
        <w:ind w:left="720" w:hanging="720"/>
      </w:pPr>
      <w:r>
        <w:rPr>
          <w:szCs w:val="22"/>
          <w:lang w:val="en-CA"/>
        </w:rPr>
        <w:t>T</w:t>
      </w:r>
      <w:r w:rsidRPr="00E014D3">
        <w:rPr>
          <w:szCs w:val="22"/>
          <w:lang w:val="en-CA"/>
        </w:rPr>
        <w:t xml:space="preserve">he </w:t>
      </w:r>
      <w:r>
        <w:rPr>
          <w:szCs w:val="22"/>
          <w:lang w:val="en-CA"/>
        </w:rPr>
        <w:t>section ‘Regulatory Asset’ has been removed as per amendment to regulation</w:t>
      </w:r>
      <w:r w:rsidRPr="00E014D3">
        <w:rPr>
          <w:szCs w:val="22"/>
          <w:lang w:val="en-CA"/>
        </w:rPr>
        <w:t xml:space="preserve">. </w:t>
      </w:r>
      <w:r>
        <w:rPr>
          <w:szCs w:val="22"/>
          <w:lang w:val="en-CA"/>
        </w:rPr>
        <w:t xml:space="preserve">For more details, refer to Appendix E.13, where the archived section can be found. </w:t>
      </w:r>
    </w:p>
    <w:p w14:paraId="0C7A2F4D" w14:textId="77777777" w:rsidR="00301821" w:rsidRDefault="00301821" w:rsidP="001904F6">
      <w:pPr>
        <w:pStyle w:val="Heading3"/>
        <w:spacing w:before="240"/>
      </w:pPr>
      <w:bookmarkStart w:id="1282" w:name="_Toc35796363"/>
      <w:bookmarkStart w:id="1283" w:name="_Toc79657965"/>
      <w:r>
        <w:rPr>
          <w:szCs w:val="22"/>
        </w:rPr>
        <w:t xml:space="preserve">Capacity </w:t>
      </w:r>
      <w:r w:rsidRPr="00301821">
        <w:t>Export</w:t>
      </w:r>
      <w:r w:rsidR="003F35AA">
        <w:t>s</w:t>
      </w:r>
      <w:r w:rsidR="003F35AA">
        <w:rPr>
          <w:rStyle w:val="FootnoteReference"/>
        </w:rPr>
        <w:footnoteReference w:id="41"/>
      </w:r>
      <w:bookmarkEnd w:id="1282"/>
      <w:bookmarkEnd w:id="1283"/>
    </w:p>
    <w:p w14:paraId="467563DB" w14:textId="77777777" w:rsidR="00B05D94" w:rsidRPr="006879E3" w:rsidRDefault="00B05D94" w:rsidP="00B05D94">
      <w:pPr>
        <w:pStyle w:val="BodyText"/>
        <w:rPr>
          <w:szCs w:val="22"/>
        </w:rPr>
      </w:pPr>
      <w:bookmarkStart w:id="1284" w:name="_Toc521920348"/>
      <w:bookmarkEnd w:id="1284"/>
      <w:r w:rsidRPr="006879E3">
        <w:rPr>
          <w:szCs w:val="22"/>
        </w:rPr>
        <w:t xml:space="preserve">A Capacity Seller is not eligible for any congestion management </w:t>
      </w:r>
      <w:r w:rsidRPr="006879E3">
        <w:rPr>
          <w:i/>
          <w:szCs w:val="22"/>
        </w:rPr>
        <w:t>settlement</w:t>
      </w:r>
      <w:r w:rsidRPr="006879E3">
        <w:rPr>
          <w:szCs w:val="22"/>
        </w:rPr>
        <w:t xml:space="preserve"> credit payments in respect of an </w:t>
      </w:r>
      <w:r w:rsidRPr="006879E3">
        <w:rPr>
          <w:i/>
          <w:szCs w:val="22"/>
        </w:rPr>
        <w:t>energy</w:t>
      </w:r>
      <w:r w:rsidRPr="006879E3">
        <w:rPr>
          <w:szCs w:val="22"/>
        </w:rPr>
        <w:t xml:space="preserve"> bid from a </w:t>
      </w:r>
      <w:r w:rsidRPr="006879E3">
        <w:rPr>
          <w:i/>
          <w:szCs w:val="22"/>
        </w:rPr>
        <w:t>boundary entity</w:t>
      </w:r>
      <w:r w:rsidRPr="006879E3">
        <w:rPr>
          <w:szCs w:val="22"/>
        </w:rPr>
        <w:t xml:space="preserve"> for a </w:t>
      </w:r>
      <w:r w:rsidRPr="006879E3">
        <w:rPr>
          <w:i/>
          <w:szCs w:val="22"/>
        </w:rPr>
        <w:t>called capacity export</w:t>
      </w:r>
      <w:r w:rsidRPr="006879E3">
        <w:rPr>
          <w:szCs w:val="22"/>
        </w:rPr>
        <w:t xml:space="preserve">.  The IESO may withhold or recover any congestion management </w:t>
      </w:r>
      <w:r w:rsidRPr="006879E3">
        <w:rPr>
          <w:i/>
          <w:szCs w:val="22"/>
        </w:rPr>
        <w:t>settlement</w:t>
      </w:r>
      <w:r w:rsidRPr="006879E3">
        <w:rPr>
          <w:szCs w:val="22"/>
        </w:rPr>
        <w:t xml:space="preserve"> credits paid in respect of </w:t>
      </w:r>
      <w:r w:rsidRPr="006879E3">
        <w:rPr>
          <w:i/>
          <w:szCs w:val="22"/>
        </w:rPr>
        <w:t>called capacity exports</w:t>
      </w:r>
      <w:r w:rsidRPr="006879E3">
        <w:rPr>
          <w:szCs w:val="22"/>
        </w:rPr>
        <w:t xml:space="preserve"> and will redistribute any recovered payments in accordance with </w:t>
      </w:r>
      <w:r w:rsidRPr="006879E3">
        <w:rPr>
          <w:szCs w:val="22"/>
          <w:lang w:eastAsia="en-US"/>
        </w:rPr>
        <w:t xml:space="preserve">Chapter 9, </w:t>
      </w:r>
      <w:r w:rsidRPr="006879E3">
        <w:rPr>
          <w:szCs w:val="22"/>
        </w:rPr>
        <w:t xml:space="preserve">Section 4.8.2 of the </w:t>
      </w:r>
      <w:r w:rsidRPr="006879E3">
        <w:rPr>
          <w:i/>
          <w:szCs w:val="22"/>
        </w:rPr>
        <w:t>market rules</w:t>
      </w:r>
      <w:r w:rsidRPr="006879E3">
        <w:rPr>
          <w:szCs w:val="22"/>
        </w:rPr>
        <w:t>.</w:t>
      </w:r>
    </w:p>
    <w:p w14:paraId="20849BF5" w14:textId="77777777" w:rsidR="00B05D94" w:rsidRPr="006879E3" w:rsidRDefault="00B05D94" w:rsidP="00B05D94">
      <w:pPr>
        <w:pStyle w:val="BodyText"/>
        <w:rPr>
          <w:szCs w:val="22"/>
        </w:rPr>
      </w:pPr>
      <w:r w:rsidRPr="006879E3">
        <w:rPr>
          <w:szCs w:val="22"/>
          <w:lang w:val="en-CA"/>
        </w:rPr>
        <w:t xml:space="preserve">Refer to “Market Manual 9: Part 9.5: Settlement for the Day-Ahead Commitment Process” for details on DA-PCG </w:t>
      </w:r>
      <w:r w:rsidRPr="006879E3">
        <w:rPr>
          <w:i/>
          <w:szCs w:val="22"/>
        </w:rPr>
        <w:t>settlement amounts</w:t>
      </w:r>
      <w:r w:rsidRPr="006879E3">
        <w:rPr>
          <w:szCs w:val="22"/>
        </w:rPr>
        <w:t xml:space="preserve"> for a Capacity Resource</w:t>
      </w:r>
      <w:r w:rsidRPr="006879E3">
        <w:rPr>
          <w:i/>
          <w:szCs w:val="22"/>
        </w:rPr>
        <w:t xml:space="preserve"> </w:t>
      </w:r>
      <w:r w:rsidRPr="006879E3">
        <w:rPr>
          <w:szCs w:val="22"/>
        </w:rPr>
        <w:t>that has committed its capacity</w:t>
      </w:r>
      <w:r w:rsidRPr="006879E3">
        <w:rPr>
          <w:i/>
          <w:szCs w:val="22"/>
        </w:rPr>
        <w:t xml:space="preserve"> </w:t>
      </w:r>
      <w:r w:rsidRPr="006879E3">
        <w:rPr>
          <w:szCs w:val="22"/>
        </w:rPr>
        <w:t xml:space="preserve">to an external </w:t>
      </w:r>
      <w:r w:rsidRPr="006879E3">
        <w:rPr>
          <w:i/>
          <w:szCs w:val="22"/>
        </w:rPr>
        <w:t>control area</w:t>
      </w:r>
      <w:r w:rsidRPr="006879E3">
        <w:rPr>
          <w:szCs w:val="22"/>
        </w:rPr>
        <w:t>.</w:t>
      </w:r>
    </w:p>
    <w:p w14:paraId="1A5FBFDA" w14:textId="77777777" w:rsidR="00B05D94" w:rsidRDefault="00B05D94" w:rsidP="00B05D94">
      <w:pPr>
        <w:pStyle w:val="BodyText"/>
        <w:rPr>
          <w:szCs w:val="22"/>
        </w:rPr>
      </w:pPr>
      <w:r w:rsidRPr="006879E3">
        <w:rPr>
          <w:szCs w:val="22"/>
          <w:lang w:val="en-CA"/>
        </w:rPr>
        <w:t xml:space="preserve">Refer to “Market Manual 4: Market Operations Part 4.6: Real-Time Generation Cost Guarantee Program” for details on RT-GCG </w:t>
      </w:r>
      <w:r w:rsidRPr="006879E3">
        <w:rPr>
          <w:i/>
          <w:szCs w:val="22"/>
        </w:rPr>
        <w:t>settlement amounts</w:t>
      </w:r>
      <w:r w:rsidRPr="006879E3">
        <w:rPr>
          <w:szCs w:val="22"/>
        </w:rPr>
        <w:t xml:space="preserve"> for a Capacity Resource</w:t>
      </w:r>
      <w:r w:rsidRPr="006879E3">
        <w:rPr>
          <w:i/>
          <w:szCs w:val="22"/>
        </w:rPr>
        <w:t xml:space="preserve"> </w:t>
      </w:r>
      <w:r w:rsidRPr="006879E3">
        <w:rPr>
          <w:szCs w:val="22"/>
        </w:rPr>
        <w:t>that has committed its capacity</w:t>
      </w:r>
      <w:r w:rsidRPr="006879E3">
        <w:rPr>
          <w:i/>
          <w:szCs w:val="22"/>
        </w:rPr>
        <w:t xml:space="preserve"> </w:t>
      </w:r>
      <w:r w:rsidRPr="006879E3">
        <w:rPr>
          <w:szCs w:val="22"/>
        </w:rPr>
        <w:t xml:space="preserve">to an external </w:t>
      </w:r>
      <w:r w:rsidRPr="006879E3">
        <w:rPr>
          <w:i/>
          <w:szCs w:val="22"/>
        </w:rPr>
        <w:t>control area</w:t>
      </w:r>
      <w:r w:rsidRPr="006879E3">
        <w:rPr>
          <w:szCs w:val="22"/>
        </w:rPr>
        <w:t>.</w:t>
      </w:r>
    </w:p>
    <w:p w14:paraId="664FCA5C" w14:textId="77777777" w:rsidR="003E6C19" w:rsidRDefault="003E6C19" w:rsidP="00502E64">
      <w:pPr>
        <w:pStyle w:val="Heading3"/>
        <w:spacing w:before="120" w:after="0"/>
      </w:pPr>
      <w:bookmarkStart w:id="1285" w:name="_Toc35796364"/>
      <w:bookmarkStart w:id="1286" w:name="_Toc79657966"/>
      <w:r>
        <w:t>Dispute Resolution Settlement</w:t>
      </w:r>
      <w:bookmarkEnd w:id="1285"/>
      <w:bookmarkEnd w:id="1286"/>
    </w:p>
    <w:p w14:paraId="1E132628" w14:textId="77777777" w:rsidR="003E6C19" w:rsidRDefault="003E6C19" w:rsidP="003E6C19">
      <w:pPr>
        <w:spacing w:before="120" w:after="120"/>
        <w:rPr>
          <w:szCs w:val="22"/>
        </w:rPr>
      </w:pPr>
      <w:r>
        <w:t xml:space="preserve">After the successful resolution of a dispute between the IESO and a </w:t>
      </w:r>
      <w:r w:rsidRPr="00C0739C">
        <w:rPr>
          <w:i/>
        </w:rPr>
        <w:t>market participant</w:t>
      </w:r>
      <w:r>
        <w:t xml:space="preserve">, any </w:t>
      </w:r>
      <w:r w:rsidRPr="00C0739C">
        <w:rPr>
          <w:i/>
        </w:rPr>
        <w:t>settlement amount</w:t>
      </w:r>
      <w:r>
        <w:t xml:space="preserve"> due to or owed by the market participant will be settled </w:t>
      </w:r>
      <w:r>
        <w:rPr>
          <w:szCs w:val="22"/>
        </w:rPr>
        <w:t xml:space="preserve">under </w:t>
      </w:r>
      <w:r>
        <w:rPr>
          <w:i/>
          <w:iCs/>
          <w:szCs w:val="22"/>
        </w:rPr>
        <w:t xml:space="preserve">charge type </w:t>
      </w:r>
      <w:r>
        <w:rPr>
          <w:szCs w:val="22"/>
        </w:rPr>
        <w:t xml:space="preserve">700 “Dispute Resolution Settlement Amount” on the </w:t>
      </w:r>
      <w:r>
        <w:rPr>
          <w:i/>
          <w:iCs/>
          <w:szCs w:val="22"/>
        </w:rPr>
        <w:t xml:space="preserve">preliminary settlement statement </w:t>
      </w:r>
      <w:r>
        <w:rPr>
          <w:szCs w:val="22"/>
        </w:rPr>
        <w:t xml:space="preserve">for the last </w:t>
      </w:r>
      <w:r>
        <w:rPr>
          <w:i/>
          <w:iCs/>
          <w:szCs w:val="22"/>
        </w:rPr>
        <w:t xml:space="preserve">trading day </w:t>
      </w:r>
      <w:r>
        <w:rPr>
          <w:szCs w:val="22"/>
        </w:rPr>
        <w:t xml:space="preserve">of a subsequent month. </w:t>
      </w:r>
    </w:p>
    <w:p w14:paraId="5FAB943C" w14:textId="77777777" w:rsidR="003E6C19" w:rsidRDefault="003E6C19" w:rsidP="003E6C19">
      <w:pPr>
        <w:spacing w:before="120" w:after="120"/>
      </w:pPr>
      <w:r>
        <w:t xml:space="preserve">The dispute resolution </w:t>
      </w:r>
      <w:r w:rsidRPr="00383482">
        <w:rPr>
          <w:i/>
        </w:rPr>
        <w:t>settlement amount</w:t>
      </w:r>
      <w:r>
        <w:t xml:space="preserve"> will be fully balanced by one of the following, depending on the nature of the dispute and the associated resolution:</w:t>
      </w:r>
    </w:p>
    <w:p w14:paraId="5462BB7B" w14:textId="77777777" w:rsidR="003E6C19" w:rsidRDefault="003E6C19" w:rsidP="006B5440">
      <w:pPr>
        <w:pStyle w:val="ListParagraph"/>
        <w:numPr>
          <w:ilvl w:val="0"/>
          <w:numId w:val="128"/>
        </w:numPr>
        <w:contextualSpacing w:val="0"/>
      </w:pPr>
      <w:r>
        <w:t xml:space="preserve">Charge type 750 “Dispute Resolution Balancing Amount (IESO)”, which will be due to or owed by </w:t>
      </w:r>
      <w:r w:rsidRPr="009F5EE4">
        <w:t>IESO Adjustment Account</w:t>
      </w:r>
      <w:r>
        <w:t>; or</w:t>
      </w:r>
    </w:p>
    <w:p w14:paraId="6ABF36EC" w14:textId="6AB0DA08" w:rsidR="003E6C19" w:rsidRPr="00735547" w:rsidRDefault="003E6C19" w:rsidP="006B5440">
      <w:pPr>
        <w:pStyle w:val="ListParagraph"/>
        <w:numPr>
          <w:ilvl w:val="0"/>
          <w:numId w:val="128"/>
        </w:numPr>
        <w:contextualSpacing w:val="0"/>
        <w:rPr>
          <w:szCs w:val="22"/>
          <w:lang w:val="en-CA"/>
        </w:rPr>
      </w:pPr>
      <w:r>
        <w:t xml:space="preserve">Charge type 1750 “Dispute Resolution Balancing Amount (Market)”, which will be due to or owed by </w:t>
      </w:r>
      <w:r w:rsidRPr="00DC0096">
        <w:t>market participants</w:t>
      </w:r>
      <w:r>
        <w:t xml:space="preserve"> as a volumetric uplift charge based on load and export quantities. </w:t>
      </w:r>
    </w:p>
    <w:p w14:paraId="1E82FC7C" w14:textId="1D17018A" w:rsidR="00735547" w:rsidRDefault="00735547" w:rsidP="00735547">
      <w:pPr>
        <w:pStyle w:val="Heading3"/>
        <w:rPr>
          <w:lang w:val="en-CA"/>
        </w:rPr>
      </w:pPr>
      <w:bookmarkStart w:id="1287" w:name="_Toc49249902"/>
      <w:bookmarkStart w:id="1288" w:name="_Toc49331310"/>
      <w:bookmarkStart w:id="1289" w:name="_Toc79657967"/>
      <w:bookmarkEnd w:id="1287"/>
      <w:bookmarkEnd w:id="1288"/>
      <w:r>
        <w:rPr>
          <w:lang w:val="en-CA"/>
        </w:rPr>
        <w:t>COVID-19 Energy Assistance Program (CEAP</w:t>
      </w:r>
      <w:r w:rsidR="00D712FC">
        <w:rPr>
          <w:lang w:val="en-CA"/>
        </w:rPr>
        <w:t xml:space="preserve"> and</w:t>
      </w:r>
      <w:r w:rsidR="00524FCC">
        <w:rPr>
          <w:lang w:val="en-CA"/>
        </w:rPr>
        <w:t xml:space="preserve"> </w:t>
      </w:r>
      <w:r w:rsidR="00D712FC">
        <w:rPr>
          <w:lang w:val="en-CA"/>
        </w:rPr>
        <w:t>CEAP-SB</w:t>
      </w:r>
      <w:r>
        <w:rPr>
          <w:lang w:val="en-CA"/>
        </w:rPr>
        <w:t>)</w:t>
      </w:r>
      <w:bookmarkEnd w:id="1289"/>
    </w:p>
    <w:p w14:paraId="4F068E6E" w14:textId="16A2CF65" w:rsidR="00E20070" w:rsidRDefault="00735547" w:rsidP="00735547">
      <w:pPr>
        <w:pStyle w:val="BodyText"/>
        <w:rPr>
          <w:lang w:val="en-CA"/>
        </w:rPr>
      </w:pPr>
      <w:r>
        <w:rPr>
          <w:lang w:val="en-CA"/>
        </w:rPr>
        <w:t>The COVID-19 Energy Assistance Program was established by the Ministry of Energy, Northern Development and Mines as an expansion</w:t>
      </w:r>
      <w:r w:rsidR="00E20070">
        <w:rPr>
          <w:lang w:val="en-CA"/>
        </w:rPr>
        <w:t xml:space="preserve"> of the Low Income Energy Assistance Program (LEAP) to </w:t>
      </w:r>
      <w:r w:rsidR="00E20070" w:rsidRPr="00C005AC">
        <w:rPr>
          <w:lang w:val="en-CA"/>
        </w:rPr>
        <w:t>provide assistance to residential customers</w:t>
      </w:r>
      <w:r w:rsidR="00D712FC" w:rsidRPr="00C005AC">
        <w:rPr>
          <w:lang w:val="en-CA"/>
        </w:rPr>
        <w:t>, small business customers, and registered charities</w:t>
      </w:r>
      <w:r w:rsidR="00E20070" w:rsidRPr="00C005AC">
        <w:rPr>
          <w:lang w:val="en-CA"/>
        </w:rPr>
        <w:t xml:space="preserve"> who are struggling to pay their energy bills or are in arrears on their bills as a result of COVID-19.</w:t>
      </w:r>
      <w:r w:rsidR="0050315C" w:rsidRPr="00C005AC">
        <w:rPr>
          <w:lang w:val="en-CA"/>
        </w:rPr>
        <w:t xml:space="preserve"> </w:t>
      </w:r>
      <w:r w:rsidR="00FC12E7" w:rsidRPr="00C005AC">
        <w:rPr>
          <w:lang w:val="en-CA"/>
        </w:rPr>
        <w:t>This program has been extended for the fiscal year 2021-22 by the ENDM - see “1.6.36.3 COVID-19 Energy Assistance Program 2021-22 (CEAP 2021-22)” and the letter, “</w:t>
      </w:r>
      <w:hyperlink r:id="rId50" w:history="1">
        <w:r w:rsidR="00FC12E7" w:rsidRPr="00C005AC">
          <w:rPr>
            <w:rStyle w:val="Hyperlink"/>
            <w:lang w:val="en-CA"/>
          </w:rPr>
          <w:t>OEB CEAP and CEAP-SB Funding Allocation</w:t>
        </w:r>
      </w:hyperlink>
      <w:r w:rsidR="00FC12E7" w:rsidRPr="00C005AC">
        <w:rPr>
          <w:lang w:val="en-CA"/>
        </w:rPr>
        <w:t xml:space="preserve">”. </w:t>
      </w:r>
      <w:r w:rsidR="00E20070" w:rsidRPr="00C005AC">
        <w:rPr>
          <w:lang w:val="en-CA"/>
        </w:rPr>
        <w:t xml:space="preserve">The Ministry has entered into a transfer agreement with the </w:t>
      </w:r>
      <w:r w:rsidR="00E20070" w:rsidRPr="00C005AC">
        <w:rPr>
          <w:i/>
          <w:lang w:val="en-CA"/>
        </w:rPr>
        <w:t xml:space="preserve">IESO </w:t>
      </w:r>
      <w:r w:rsidR="00E20070" w:rsidRPr="00C005AC">
        <w:rPr>
          <w:lang w:val="en-CA"/>
        </w:rPr>
        <w:t xml:space="preserve">to reimburse, up to a cap specified by the OEB, licensed </w:t>
      </w:r>
      <w:r w:rsidR="00E20070" w:rsidRPr="00C005AC">
        <w:rPr>
          <w:i/>
          <w:lang w:val="en-CA"/>
        </w:rPr>
        <w:t xml:space="preserve">distributors </w:t>
      </w:r>
      <w:r w:rsidR="00E20070" w:rsidRPr="00C005AC">
        <w:rPr>
          <w:lang w:val="en-CA"/>
        </w:rPr>
        <w:t xml:space="preserve">and unit sub-meter providers for CEAP credits that they have provided to consumers that have eligible accounts with: the licensed </w:t>
      </w:r>
      <w:r w:rsidR="00E20070" w:rsidRPr="00C005AC">
        <w:rPr>
          <w:i/>
          <w:lang w:val="en-CA"/>
        </w:rPr>
        <w:t>distributor</w:t>
      </w:r>
      <w:r w:rsidR="00E20070" w:rsidRPr="00C005AC">
        <w:rPr>
          <w:lang w:val="en-CA"/>
        </w:rPr>
        <w:t xml:space="preserve">; and wholly-embedded distributors of which the licensed </w:t>
      </w:r>
      <w:r w:rsidR="00E20070" w:rsidRPr="00C005AC">
        <w:rPr>
          <w:i/>
          <w:lang w:val="en-CA"/>
        </w:rPr>
        <w:t>distributor</w:t>
      </w:r>
      <w:r w:rsidR="00E20070" w:rsidRPr="00C005AC">
        <w:rPr>
          <w:lang w:val="en-CA"/>
        </w:rPr>
        <w:t xml:space="preserve"> is the host di</w:t>
      </w:r>
      <w:r w:rsidR="00E9663C" w:rsidRPr="00C005AC">
        <w:rPr>
          <w:lang w:val="en-CA"/>
        </w:rPr>
        <w:t>stributor; and unit sub-meter providers that are serving residential customers</w:t>
      </w:r>
      <w:r w:rsidR="006016F1" w:rsidRPr="00C005AC">
        <w:rPr>
          <w:lang w:val="en-CA"/>
        </w:rPr>
        <w:t xml:space="preserve"> under CEAP and small business customers and registered charities under CEAP-SB</w:t>
      </w:r>
      <w:r w:rsidR="00E9663C" w:rsidRPr="00C005AC">
        <w:rPr>
          <w:lang w:val="en-CA"/>
        </w:rPr>
        <w:t>.</w:t>
      </w:r>
    </w:p>
    <w:p w14:paraId="7CF16655" w14:textId="57BAB8B3" w:rsidR="00E9663C" w:rsidRDefault="00E9663C" w:rsidP="00735547">
      <w:pPr>
        <w:pStyle w:val="BodyText"/>
        <w:rPr>
          <w:u w:val="single"/>
          <w:lang w:val="en-CA"/>
        </w:rPr>
      </w:pPr>
      <w:r>
        <w:rPr>
          <w:lang w:val="en-CA"/>
        </w:rPr>
        <w:t xml:space="preserve">Licensed </w:t>
      </w:r>
      <w:r>
        <w:rPr>
          <w:i/>
          <w:lang w:val="en-CA"/>
        </w:rPr>
        <w:t>distributors</w:t>
      </w:r>
      <w:r>
        <w:rPr>
          <w:lang w:val="en-CA"/>
        </w:rPr>
        <w:t xml:space="preserve"> and unit sub-meter providers registered with the </w:t>
      </w:r>
      <w:r>
        <w:rPr>
          <w:i/>
          <w:lang w:val="en-CA"/>
        </w:rPr>
        <w:t>IESO</w:t>
      </w:r>
      <w:r>
        <w:rPr>
          <w:lang w:val="en-CA"/>
        </w:rPr>
        <w:t xml:space="preserve"> must submit their claims for </w:t>
      </w:r>
      <w:r w:rsidRPr="002236AE">
        <w:rPr>
          <w:lang w:val="en-CA"/>
        </w:rPr>
        <w:t xml:space="preserve">reimbursement to the </w:t>
      </w:r>
      <w:r w:rsidRPr="002236AE">
        <w:rPr>
          <w:i/>
          <w:lang w:val="en-CA"/>
        </w:rPr>
        <w:t>IESO</w:t>
      </w:r>
      <w:r w:rsidRPr="002236AE">
        <w:rPr>
          <w:lang w:val="en-CA"/>
        </w:rPr>
        <w:t xml:space="preserve"> monthly </w:t>
      </w:r>
      <w:r w:rsidR="006016F1">
        <w:rPr>
          <w:lang w:val="en-CA"/>
        </w:rPr>
        <w:t xml:space="preserve">on a monthly basis </w:t>
      </w:r>
      <w:r w:rsidRPr="002236AE">
        <w:rPr>
          <w:lang w:val="en-CA"/>
        </w:rPr>
        <w:t xml:space="preserve">no later than the fourth </w:t>
      </w:r>
      <w:r w:rsidRPr="002236AE">
        <w:rPr>
          <w:i/>
          <w:lang w:val="en-CA"/>
        </w:rPr>
        <w:t>business day</w:t>
      </w:r>
      <w:r w:rsidRPr="002236AE">
        <w:rPr>
          <w:lang w:val="en-CA"/>
        </w:rPr>
        <w:t xml:space="preserve"> after the last </w:t>
      </w:r>
      <w:r w:rsidRPr="002236AE">
        <w:rPr>
          <w:i/>
          <w:lang w:val="en-CA"/>
        </w:rPr>
        <w:t xml:space="preserve">trading day </w:t>
      </w:r>
      <w:r w:rsidRPr="002236AE">
        <w:rPr>
          <w:lang w:val="en-CA"/>
        </w:rPr>
        <w:t xml:space="preserve">of the month.  The </w:t>
      </w:r>
      <w:r w:rsidRPr="002236AE">
        <w:rPr>
          <w:i/>
          <w:lang w:val="en-CA"/>
        </w:rPr>
        <w:t xml:space="preserve">settlement amount </w:t>
      </w:r>
      <w:r w:rsidRPr="002236AE">
        <w:rPr>
          <w:lang w:val="en-CA"/>
        </w:rPr>
        <w:t xml:space="preserve">for licensed </w:t>
      </w:r>
      <w:r w:rsidRPr="002236AE">
        <w:rPr>
          <w:i/>
          <w:lang w:val="en-CA"/>
        </w:rPr>
        <w:t>distributors</w:t>
      </w:r>
      <w:r w:rsidRPr="002236AE">
        <w:rPr>
          <w:lang w:val="en-CA"/>
        </w:rPr>
        <w:t xml:space="preserve"> and unit sub-meter providers will be included on the </w:t>
      </w:r>
      <w:r w:rsidRPr="002236AE">
        <w:rPr>
          <w:i/>
          <w:lang w:val="en-CA"/>
        </w:rPr>
        <w:t>preliminary settlement statement</w:t>
      </w:r>
      <w:r w:rsidRPr="002236AE">
        <w:rPr>
          <w:lang w:val="en-CA"/>
        </w:rPr>
        <w:t xml:space="preserve"> for the last </w:t>
      </w:r>
      <w:r w:rsidRPr="002236AE">
        <w:rPr>
          <w:i/>
          <w:lang w:val="en-CA"/>
        </w:rPr>
        <w:t xml:space="preserve">trading day </w:t>
      </w:r>
      <w:r w:rsidRPr="002236AE">
        <w:rPr>
          <w:lang w:val="en-CA"/>
        </w:rPr>
        <w:t>of the month in which the claims were processed.</w:t>
      </w:r>
    </w:p>
    <w:p w14:paraId="1DEA617A" w14:textId="231841B6" w:rsidR="00133618" w:rsidRDefault="00133618" w:rsidP="00133618">
      <w:pPr>
        <w:pStyle w:val="Heading4"/>
        <w:rPr>
          <w:lang w:val="en-CA"/>
        </w:rPr>
      </w:pPr>
      <w:r>
        <w:rPr>
          <w:lang w:val="en-CA"/>
        </w:rPr>
        <w:t>Settlement of COVID-19 Energy Assistance Program (CEAP) Claims</w:t>
      </w:r>
    </w:p>
    <w:p w14:paraId="749DB217" w14:textId="5C7941DC" w:rsidR="00133618" w:rsidRDefault="00D424E4" w:rsidP="00133618">
      <w:pPr>
        <w:pStyle w:val="BodyText"/>
        <w:rPr>
          <w:lang w:val="en-CA"/>
        </w:rPr>
      </w:pPr>
      <w:r>
        <w:rPr>
          <w:lang w:val="en-CA"/>
        </w:rPr>
        <w:t xml:space="preserve">In order to maximize the ability of CEAP to provide the intended benefits, the OEB has determined that CEAP must be available to residential electricity customers prior to the end of the winter disconnection ban July 31.  Therefore, license </w:t>
      </w:r>
      <w:r>
        <w:rPr>
          <w:i/>
          <w:lang w:val="en-CA"/>
        </w:rPr>
        <w:t>distributors</w:t>
      </w:r>
      <w:r>
        <w:rPr>
          <w:lang w:val="en-CA"/>
        </w:rPr>
        <w:t xml:space="preserve"> and unit sub-meter providers must start accepting applications for CEAP as of July 13, 2020.</w:t>
      </w:r>
    </w:p>
    <w:p w14:paraId="32E08863" w14:textId="3356631D" w:rsidR="00D424E4" w:rsidRDefault="00D424E4" w:rsidP="00133618">
      <w:pPr>
        <w:pStyle w:val="BodyText"/>
        <w:rPr>
          <w:lang w:val="en-CA"/>
        </w:rPr>
      </w:pPr>
      <w:r>
        <w:rPr>
          <w:lang w:val="en-CA"/>
        </w:rPr>
        <w:t xml:space="preserve">Licensed </w:t>
      </w:r>
      <w:r>
        <w:rPr>
          <w:i/>
          <w:lang w:val="en-CA"/>
        </w:rPr>
        <w:t>distributors</w:t>
      </w:r>
      <w:r>
        <w:rPr>
          <w:lang w:val="en-CA"/>
        </w:rPr>
        <w:t xml:space="preserve"> and unit sub-meter providers must submit their CEAP forms to </w:t>
      </w:r>
      <w:r>
        <w:rPr>
          <w:i/>
          <w:lang w:val="en-CA"/>
        </w:rPr>
        <w:t xml:space="preserve">IESO </w:t>
      </w:r>
      <w:r>
        <w:rPr>
          <w:lang w:val="en-CA"/>
        </w:rPr>
        <w:t>via the settlement form “COVID-19 Energy Assistance Program”.</w:t>
      </w:r>
    </w:p>
    <w:p w14:paraId="14253165" w14:textId="1CD3CFCE" w:rsidR="00D424E4" w:rsidRDefault="00D424E4" w:rsidP="00133618">
      <w:pPr>
        <w:pStyle w:val="BodyText"/>
        <w:rPr>
          <w:lang w:val="en-CA"/>
        </w:rPr>
      </w:pPr>
      <w:r>
        <w:rPr>
          <w:lang w:val="en-CA"/>
        </w:rPr>
        <w:t xml:space="preserve">The CEAP </w:t>
      </w:r>
      <w:r>
        <w:rPr>
          <w:i/>
          <w:lang w:val="en-CA"/>
        </w:rPr>
        <w:t>settlement amount</w:t>
      </w:r>
      <w:r>
        <w:rPr>
          <w:lang w:val="en-CA"/>
        </w:rPr>
        <w:t xml:space="preserve"> for licensed </w:t>
      </w:r>
      <w:r>
        <w:rPr>
          <w:i/>
          <w:lang w:val="en-CA"/>
        </w:rPr>
        <w:t>distributors</w:t>
      </w:r>
      <w:r>
        <w:rPr>
          <w:lang w:val="en-CA"/>
        </w:rPr>
        <w:t xml:space="preserve"> and unit sub-meter providers will be included on the </w:t>
      </w:r>
      <w:r>
        <w:rPr>
          <w:i/>
          <w:lang w:val="en-CA"/>
        </w:rPr>
        <w:t xml:space="preserve">preliminary settlement statement </w:t>
      </w:r>
      <w:r>
        <w:rPr>
          <w:lang w:val="en-CA"/>
        </w:rPr>
        <w:t xml:space="preserve">for the last </w:t>
      </w:r>
      <w:r>
        <w:rPr>
          <w:i/>
          <w:lang w:val="en-CA"/>
        </w:rPr>
        <w:t>trading day</w:t>
      </w:r>
      <w:r>
        <w:rPr>
          <w:lang w:val="en-CA"/>
        </w:rPr>
        <w:t xml:space="preserve"> of the month under </w:t>
      </w:r>
      <w:r>
        <w:rPr>
          <w:i/>
          <w:lang w:val="en-CA"/>
        </w:rPr>
        <w:t>charge type</w:t>
      </w:r>
      <w:r>
        <w:rPr>
          <w:lang w:val="en-CA"/>
        </w:rPr>
        <w:t xml:space="preserve"> 1477 “COVID-19 Energy Assistance Program (CEAP) Settlement Amount”.</w:t>
      </w:r>
    </w:p>
    <w:p w14:paraId="04D7DBCB" w14:textId="3B069C0D" w:rsidR="005B12F6" w:rsidRDefault="005B12F6" w:rsidP="00133618">
      <w:pPr>
        <w:pStyle w:val="BodyText"/>
        <w:rPr>
          <w:lang w:val="en-CA"/>
        </w:rPr>
      </w:pPr>
      <w:r>
        <w:rPr>
          <w:lang w:val="en-CA"/>
        </w:rPr>
        <w:t xml:space="preserve">The corresponding set-off is </w:t>
      </w:r>
      <w:r>
        <w:rPr>
          <w:i/>
          <w:lang w:val="en-CA"/>
        </w:rPr>
        <w:t xml:space="preserve">charge type </w:t>
      </w:r>
      <w:r>
        <w:rPr>
          <w:lang w:val="en-CA"/>
        </w:rPr>
        <w:t xml:space="preserve">9984 “COVID-19 Energy Assistance Program (CEAP) Balancing Amount” on the Ministry’s </w:t>
      </w:r>
      <w:r>
        <w:rPr>
          <w:i/>
          <w:lang w:val="en-CA"/>
        </w:rPr>
        <w:t xml:space="preserve">preliminary settlement </w:t>
      </w:r>
      <w:r w:rsidR="00C260AB">
        <w:rPr>
          <w:i/>
          <w:lang w:val="en-CA"/>
        </w:rPr>
        <w:t>statements</w:t>
      </w:r>
      <w:r w:rsidR="00C260AB">
        <w:rPr>
          <w:lang w:val="en-CA"/>
        </w:rPr>
        <w:t>.</w:t>
      </w:r>
    </w:p>
    <w:p w14:paraId="079D610A" w14:textId="37242CB7" w:rsidR="007D0A55" w:rsidRDefault="007D0A55" w:rsidP="007D0A55">
      <w:pPr>
        <w:pStyle w:val="Heading4"/>
        <w:rPr>
          <w:lang w:val="en-CA"/>
        </w:rPr>
      </w:pPr>
      <w:r>
        <w:rPr>
          <w:lang w:val="en-CA"/>
        </w:rPr>
        <w:t>Settlement of COVID-19 Energy Assistance Program – Small Business (CEAP-SB) Claims</w:t>
      </w:r>
    </w:p>
    <w:p w14:paraId="01D431FE" w14:textId="3ED6F61D" w:rsidR="007D0A55" w:rsidRDefault="007D0A55" w:rsidP="007D0A55">
      <w:pPr>
        <w:pStyle w:val="BodyText"/>
        <w:rPr>
          <w:lang w:val="en-CA"/>
        </w:rPr>
      </w:pPr>
      <w:r>
        <w:rPr>
          <w:lang w:val="en-CA"/>
        </w:rPr>
        <w:t xml:space="preserve">Licensed </w:t>
      </w:r>
      <w:r>
        <w:rPr>
          <w:i/>
          <w:lang w:val="en-CA"/>
        </w:rPr>
        <w:t xml:space="preserve">distributors </w:t>
      </w:r>
      <w:r>
        <w:rPr>
          <w:lang w:val="en-CA"/>
        </w:rPr>
        <w:t xml:space="preserve">and unit sub-meter providers must submit their CEAP-SB claims to </w:t>
      </w:r>
      <w:r>
        <w:rPr>
          <w:i/>
          <w:lang w:val="en-CA"/>
        </w:rPr>
        <w:t xml:space="preserve">IESO </w:t>
      </w:r>
      <w:r>
        <w:rPr>
          <w:lang w:val="en-CA"/>
        </w:rPr>
        <w:t>via the settlement form “COVID-19 Energy Assistance Program – Small Business”.</w:t>
      </w:r>
    </w:p>
    <w:p w14:paraId="57AC95EB" w14:textId="044B7714" w:rsidR="007D0A55" w:rsidRDefault="007D0A55" w:rsidP="007D0A55">
      <w:pPr>
        <w:pStyle w:val="BodyText"/>
        <w:rPr>
          <w:lang w:val="en-CA"/>
        </w:rPr>
      </w:pPr>
      <w:r>
        <w:rPr>
          <w:lang w:val="en-CA"/>
        </w:rPr>
        <w:t xml:space="preserve">The CEAP-SB </w:t>
      </w:r>
      <w:r>
        <w:rPr>
          <w:i/>
          <w:lang w:val="en-CA"/>
        </w:rPr>
        <w:t xml:space="preserve">settlement amount </w:t>
      </w:r>
      <w:r>
        <w:rPr>
          <w:lang w:val="en-CA"/>
        </w:rPr>
        <w:t xml:space="preserve">for licensed </w:t>
      </w:r>
      <w:r>
        <w:rPr>
          <w:i/>
          <w:lang w:val="en-CA"/>
        </w:rPr>
        <w:t>distributors</w:t>
      </w:r>
      <w:r w:rsidR="004F73A6">
        <w:rPr>
          <w:i/>
          <w:lang w:val="en-CA"/>
        </w:rPr>
        <w:t xml:space="preserve"> </w:t>
      </w:r>
      <w:r w:rsidR="004F73A6">
        <w:rPr>
          <w:lang w:val="en-CA"/>
        </w:rPr>
        <w:t xml:space="preserve">and unit sub-meter providers will be included on the </w:t>
      </w:r>
      <w:r w:rsidR="004F73A6">
        <w:rPr>
          <w:i/>
          <w:lang w:val="en-CA"/>
        </w:rPr>
        <w:t xml:space="preserve">preliminary settlement statement </w:t>
      </w:r>
      <w:r w:rsidR="004F73A6">
        <w:rPr>
          <w:lang w:val="en-CA"/>
        </w:rPr>
        <w:t xml:space="preserve">for the last </w:t>
      </w:r>
      <w:r w:rsidR="004F73A6">
        <w:rPr>
          <w:i/>
          <w:lang w:val="en-CA"/>
        </w:rPr>
        <w:t xml:space="preserve">trading day </w:t>
      </w:r>
      <w:r w:rsidR="004F73A6">
        <w:rPr>
          <w:lang w:val="en-CA"/>
        </w:rPr>
        <w:t xml:space="preserve">of the month under </w:t>
      </w:r>
      <w:r w:rsidR="004F73A6">
        <w:rPr>
          <w:i/>
          <w:lang w:val="en-CA"/>
        </w:rPr>
        <w:t xml:space="preserve">charge type </w:t>
      </w:r>
      <w:r w:rsidR="004F73A6">
        <w:rPr>
          <w:lang w:val="en-CA"/>
        </w:rPr>
        <w:t>1477 “COVID-19 Energy Assistance Program (CEAP) Settlement Amount”.</w:t>
      </w:r>
    </w:p>
    <w:p w14:paraId="5E23F60F" w14:textId="439FFF10" w:rsidR="009C1DC8" w:rsidRDefault="009C1DC8" w:rsidP="007D0A55">
      <w:pPr>
        <w:pStyle w:val="BodyText"/>
        <w:rPr>
          <w:lang w:val="en-CA"/>
        </w:rPr>
      </w:pPr>
      <w:r>
        <w:rPr>
          <w:lang w:val="en-CA"/>
        </w:rPr>
        <w:t xml:space="preserve">The corresponding set-off is </w:t>
      </w:r>
      <w:r>
        <w:rPr>
          <w:i/>
          <w:lang w:val="en-CA"/>
        </w:rPr>
        <w:t xml:space="preserve">charge type </w:t>
      </w:r>
      <w:r>
        <w:rPr>
          <w:lang w:val="en-CA"/>
        </w:rPr>
        <w:t xml:space="preserve">9984 “COVID-19 Energy Assistance Program (CEAP) Balancing Amount” on the Ministry’s </w:t>
      </w:r>
      <w:r>
        <w:rPr>
          <w:i/>
          <w:lang w:val="en-CA"/>
        </w:rPr>
        <w:t>preliminary settlement statement</w:t>
      </w:r>
      <w:r>
        <w:rPr>
          <w:lang w:val="en-CA"/>
        </w:rPr>
        <w:t>.</w:t>
      </w:r>
    </w:p>
    <w:p w14:paraId="6C08EE30" w14:textId="4EEA48A8" w:rsidR="0050315C" w:rsidRPr="00C005AC" w:rsidRDefault="0050315C" w:rsidP="0050315C">
      <w:pPr>
        <w:pStyle w:val="Heading4"/>
        <w:rPr>
          <w:lang w:val="en-CA"/>
        </w:rPr>
      </w:pPr>
      <w:r w:rsidRPr="00C005AC">
        <w:rPr>
          <w:lang w:val="en-CA"/>
        </w:rPr>
        <w:t>COVID-19 Energy Assistance Program 2021-22 (CEAP 2021-22)</w:t>
      </w:r>
    </w:p>
    <w:p w14:paraId="4F7434EE" w14:textId="77777777" w:rsidR="0050315C" w:rsidRPr="00C005AC" w:rsidRDefault="0050315C" w:rsidP="0050315C">
      <w:pPr>
        <w:pStyle w:val="BodyText"/>
        <w:rPr>
          <w:lang w:val="en-CA"/>
        </w:rPr>
      </w:pPr>
      <w:r w:rsidRPr="00C005AC">
        <w:rPr>
          <w:lang w:val="en-CA"/>
        </w:rPr>
        <w:t xml:space="preserve">The </w:t>
      </w:r>
      <w:r w:rsidRPr="00C005AC">
        <w:rPr>
          <w:i/>
          <w:lang w:val="en-CA"/>
        </w:rPr>
        <w:t>IESO</w:t>
      </w:r>
      <w:r w:rsidRPr="00C005AC">
        <w:rPr>
          <w:lang w:val="en-CA"/>
        </w:rPr>
        <w:t xml:space="preserve"> will begin accepting CEAP 2021-22 submissions by licensed </w:t>
      </w:r>
      <w:r w:rsidRPr="00C005AC">
        <w:rPr>
          <w:i/>
          <w:lang w:val="en-CA"/>
        </w:rPr>
        <w:t>distributors</w:t>
      </w:r>
      <w:r w:rsidRPr="00C005AC">
        <w:rPr>
          <w:lang w:val="en-CA"/>
        </w:rPr>
        <w:t xml:space="preserve"> and unit sub-meter providers beginning May 1, 2021.</w:t>
      </w:r>
    </w:p>
    <w:p w14:paraId="381F7BC8" w14:textId="77777777" w:rsidR="0050315C" w:rsidRPr="00C005AC" w:rsidRDefault="0050315C" w:rsidP="0050315C">
      <w:pPr>
        <w:pStyle w:val="BodyText"/>
        <w:rPr>
          <w:lang w:val="en-CA"/>
        </w:rPr>
      </w:pPr>
      <w:r w:rsidRPr="00C005AC">
        <w:rPr>
          <w:lang w:val="en-CA"/>
        </w:rPr>
        <w:t xml:space="preserve">Licensed </w:t>
      </w:r>
      <w:r w:rsidRPr="00C005AC">
        <w:rPr>
          <w:i/>
          <w:lang w:val="en-CA"/>
        </w:rPr>
        <w:t>distributors</w:t>
      </w:r>
      <w:r w:rsidRPr="00C005AC">
        <w:rPr>
          <w:lang w:val="en-CA"/>
        </w:rPr>
        <w:t xml:space="preserve"> and unit sub-meter providers must submit their residential and small business claims to </w:t>
      </w:r>
      <w:r w:rsidRPr="00C005AC">
        <w:rPr>
          <w:i/>
          <w:lang w:val="en-CA"/>
        </w:rPr>
        <w:t xml:space="preserve">IESO </w:t>
      </w:r>
      <w:r w:rsidRPr="00C005AC">
        <w:rPr>
          <w:lang w:val="en-CA"/>
        </w:rPr>
        <w:t>via the settlement form “COVID-19 Energy Assistance Program 2021-22”.</w:t>
      </w:r>
    </w:p>
    <w:p w14:paraId="2ADC8205" w14:textId="77777777" w:rsidR="0050315C" w:rsidRPr="00C005AC" w:rsidRDefault="0050315C" w:rsidP="0050315C">
      <w:pPr>
        <w:pStyle w:val="BodyText"/>
        <w:rPr>
          <w:lang w:val="en-CA"/>
        </w:rPr>
      </w:pPr>
      <w:r w:rsidRPr="00C005AC">
        <w:rPr>
          <w:lang w:val="en-CA"/>
        </w:rPr>
        <w:t xml:space="preserve">The CEAP 2021-22 </w:t>
      </w:r>
      <w:r w:rsidRPr="00C005AC">
        <w:rPr>
          <w:i/>
          <w:lang w:val="en-CA"/>
        </w:rPr>
        <w:t xml:space="preserve">settlement amount </w:t>
      </w:r>
      <w:r w:rsidRPr="00C005AC">
        <w:rPr>
          <w:lang w:val="en-CA"/>
        </w:rPr>
        <w:t xml:space="preserve">for licensed </w:t>
      </w:r>
      <w:r w:rsidRPr="00C005AC">
        <w:rPr>
          <w:i/>
          <w:lang w:val="en-CA"/>
        </w:rPr>
        <w:t xml:space="preserve">distributors </w:t>
      </w:r>
      <w:r w:rsidRPr="00C005AC">
        <w:rPr>
          <w:lang w:val="en-CA"/>
        </w:rPr>
        <w:t xml:space="preserve">and unit sub-meter providers will be included on the </w:t>
      </w:r>
      <w:r w:rsidRPr="00C005AC">
        <w:rPr>
          <w:i/>
          <w:lang w:val="en-CA"/>
        </w:rPr>
        <w:t xml:space="preserve">preliminary settlement statement </w:t>
      </w:r>
      <w:r w:rsidRPr="00C005AC">
        <w:rPr>
          <w:lang w:val="en-CA"/>
        </w:rPr>
        <w:t xml:space="preserve">for the last </w:t>
      </w:r>
      <w:r w:rsidRPr="00C005AC">
        <w:rPr>
          <w:i/>
          <w:lang w:val="en-CA"/>
        </w:rPr>
        <w:t xml:space="preserve">trading day </w:t>
      </w:r>
      <w:r w:rsidRPr="00C005AC">
        <w:rPr>
          <w:lang w:val="en-CA"/>
        </w:rPr>
        <w:t xml:space="preserve">of the month under </w:t>
      </w:r>
      <w:r w:rsidRPr="00C005AC">
        <w:rPr>
          <w:i/>
          <w:lang w:val="en-CA"/>
        </w:rPr>
        <w:t xml:space="preserve">charge type </w:t>
      </w:r>
      <w:r w:rsidRPr="00C005AC">
        <w:rPr>
          <w:lang w:val="en-CA"/>
        </w:rPr>
        <w:t>1477 “COVID-19 Energy Assistance Program (CEAP) Settlement Amount”.</w:t>
      </w:r>
    </w:p>
    <w:p w14:paraId="17F95F2B" w14:textId="7EFB1B5F" w:rsidR="006016F1" w:rsidRPr="00C005AC" w:rsidRDefault="0050315C" w:rsidP="00133618">
      <w:pPr>
        <w:pStyle w:val="BodyText"/>
        <w:rPr>
          <w:lang w:val="en-CA"/>
        </w:rPr>
      </w:pPr>
      <w:r w:rsidRPr="00C005AC">
        <w:rPr>
          <w:lang w:val="en-CA"/>
        </w:rPr>
        <w:t xml:space="preserve">The corresponding set-off is </w:t>
      </w:r>
      <w:r w:rsidRPr="00C005AC">
        <w:rPr>
          <w:i/>
          <w:lang w:val="en-CA"/>
        </w:rPr>
        <w:t xml:space="preserve">charge type </w:t>
      </w:r>
      <w:r w:rsidRPr="00C005AC">
        <w:rPr>
          <w:lang w:val="en-CA"/>
        </w:rPr>
        <w:t xml:space="preserve">9984 “COVID-19 Energy Assistance Program (CEAP) Balancing Amount” on the Ministry’s </w:t>
      </w:r>
      <w:r w:rsidRPr="00C005AC">
        <w:rPr>
          <w:i/>
          <w:lang w:val="en-CA"/>
        </w:rPr>
        <w:t>preliminary settlement statement</w:t>
      </w:r>
      <w:r w:rsidRPr="00C005AC">
        <w:rPr>
          <w:lang w:val="en-CA"/>
        </w:rPr>
        <w:t>.</w:t>
      </w:r>
    </w:p>
    <w:p w14:paraId="44AAE263" w14:textId="2B866775" w:rsidR="009272F8" w:rsidRPr="00C005AC" w:rsidRDefault="009272F8" w:rsidP="00160173">
      <w:pPr>
        <w:pStyle w:val="Heading2"/>
        <w:spacing w:before="360" w:after="0"/>
        <w:rPr>
          <w:color w:val="000000" w:themeColor="text1"/>
          <w:lang w:val="en-CA"/>
        </w:rPr>
      </w:pPr>
      <w:bookmarkStart w:id="1290" w:name="_Toc529257556"/>
      <w:bookmarkStart w:id="1291" w:name="_Toc35796365"/>
      <w:bookmarkStart w:id="1292" w:name="_Toc79657968"/>
      <w:bookmarkEnd w:id="1290"/>
      <w:r w:rsidRPr="00C005AC">
        <w:rPr>
          <w:color w:val="000000" w:themeColor="text1"/>
          <w:lang w:val="en-CA"/>
        </w:rPr>
        <w:t>Roles and Responsibilities</w:t>
      </w:r>
      <w:bookmarkEnd w:id="1270"/>
      <w:bookmarkEnd w:id="1291"/>
      <w:bookmarkEnd w:id="1292"/>
    </w:p>
    <w:p w14:paraId="6ABBC3F5" w14:textId="77777777" w:rsidR="00855CB7" w:rsidRDefault="00855CB7">
      <w:pPr>
        <w:pStyle w:val="BodyText"/>
        <w:rPr>
          <w:lang w:val="en-CA"/>
        </w:rPr>
      </w:pPr>
      <w:r>
        <w:rPr>
          <w:lang w:val="en-CA"/>
        </w:rPr>
        <w:t xml:space="preserve">Responsibility for </w:t>
      </w:r>
      <w:r>
        <w:rPr>
          <w:i/>
          <w:lang w:val="en-CA"/>
        </w:rPr>
        <w:t>settlement statements</w:t>
      </w:r>
      <w:r>
        <w:rPr>
          <w:lang w:val="en-CA"/>
        </w:rPr>
        <w:t xml:space="preserve"> is shared among:</w:t>
      </w:r>
    </w:p>
    <w:p w14:paraId="40597F98" w14:textId="77777777" w:rsidR="00855CB7" w:rsidRDefault="00712519">
      <w:pPr>
        <w:pStyle w:val="ListBullet"/>
        <w:rPr>
          <w:lang w:val="en-CA"/>
        </w:rPr>
      </w:pPr>
      <w:r>
        <w:rPr>
          <w:i/>
          <w:lang w:val="en-CA"/>
        </w:rPr>
        <w:t xml:space="preserve">market </w:t>
      </w:r>
      <w:r w:rsidR="00855CB7">
        <w:rPr>
          <w:i/>
          <w:lang w:val="en-CA"/>
        </w:rPr>
        <w:t>participants</w:t>
      </w:r>
      <w:r w:rsidR="00855CB7">
        <w:rPr>
          <w:lang w:val="en-CA"/>
        </w:rPr>
        <w:t xml:space="preserve">, </w:t>
      </w:r>
      <w:r>
        <w:rPr>
          <w:lang w:val="en-CA"/>
        </w:rPr>
        <w:t xml:space="preserve">who </w:t>
      </w:r>
      <w:r w:rsidR="00855CB7">
        <w:rPr>
          <w:lang w:val="en-CA"/>
        </w:rPr>
        <w:t>are responsible for:</w:t>
      </w:r>
    </w:p>
    <w:p w14:paraId="4480D225" w14:textId="77777777" w:rsidR="00855CB7" w:rsidRDefault="00712519" w:rsidP="00EB235A">
      <w:pPr>
        <w:pStyle w:val="ListBullet"/>
        <w:tabs>
          <w:tab w:val="num" w:pos="1224"/>
        </w:tabs>
        <w:ind w:left="1224"/>
        <w:rPr>
          <w:lang w:val="en-CA"/>
        </w:rPr>
      </w:pPr>
      <w:r>
        <w:rPr>
          <w:lang w:val="en-CA"/>
        </w:rPr>
        <w:t xml:space="preserve">downloading </w:t>
      </w:r>
      <w:r w:rsidR="00855CB7">
        <w:rPr>
          <w:lang w:val="en-CA"/>
        </w:rPr>
        <w:t xml:space="preserve">and reviewing </w:t>
      </w:r>
      <w:r w:rsidR="00855CB7">
        <w:rPr>
          <w:i/>
          <w:lang w:val="en-CA"/>
        </w:rPr>
        <w:t>preliminary</w:t>
      </w:r>
      <w:r w:rsidR="00855CB7">
        <w:rPr>
          <w:lang w:val="en-CA"/>
        </w:rPr>
        <w:t xml:space="preserve"> and </w:t>
      </w:r>
      <w:r w:rsidR="00855CB7">
        <w:rPr>
          <w:i/>
          <w:lang w:val="en-CA"/>
        </w:rPr>
        <w:t>final settlement statement</w:t>
      </w:r>
      <w:r w:rsidR="00855CB7">
        <w:rPr>
          <w:lang w:val="en-CA"/>
        </w:rPr>
        <w:t xml:space="preserve"> files and companion data files;</w:t>
      </w:r>
    </w:p>
    <w:p w14:paraId="1D0AACCF" w14:textId="77777777" w:rsidR="00855CB7" w:rsidRDefault="00712519" w:rsidP="00EB235A">
      <w:pPr>
        <w:pStyle w:val="ListBullet"/>
        <w:tabs>
          <w:tab w:val="num" w:pos="1224"/>
        </w:tabs>
        <w:ind w:left="1224"/>
        <w:rPr>
          <w:lang w:val="en-CA"/>
        </w:rPr>
      </w:pPr>
      <w:r>
        <w:rPr>
          <w:lang w:val="en-CA"/>
        </w:rPr>
        <w:t xml:space="preserve">notifying </w:t>
      </w:r>
      <w:r w:rsidR="005C60EF">
        <w:rPr>
          <w:lang w:val="en-CA"/>
        </w:rPr>
        <w:t>us</w:t>
      </w:r>
      <w:r w:rsidR="00855CB7">
        <w:rPr>
          <w:lang w:val="en-CA"/>
        </w:rPr>
        <w:t xml:space="preserve"> if a </w:t>
      </w:r>
      <w:r w:rsidR="00855CB7">
        <w:rPr>
          <w:i/>
          <w:lang w:val="en-CA"/>
        </w:rPr>
        <w:t>preliminary</w:t>
      </w:r>
      <w:r w:rsidR="00855CB7">
        <w:rPr>
          <w:lang w:val="en-CA"/>
        </w:rPr>
        <w:t xml:space="preserve"> or </w:t>
      </w:r>
      <w:r w:rsidR="00855CB7">
        <w:rPr>
          <w:i/>
          <w:lang w:val="en-CA"/>
        </w:rPr>
        <w:t>final settlement statement</w:t>
      </w:r>
      <w:r w:rsidR="00855CB7">
        <w:rPr>
          <w:lang w:val="en-CA"/>
        </w:rPr>
        <w:t xml:space="preserve"> file and the companion data files are not issued </w:t>
      </w:r>
      <w:r w:rsidR="005C60EF">
        <w:rPr>
          <w:lang w:val="en-CA"/>
        </w:rPr>
        <w:t xml:space="preserve">following </w:t>
      </w:r>
      <w:r w:rsidR="00855CB7">
        <w:rPr>
          <w:lang w:val="en-CA"/>
        </w:rPr>
        <w:t xml:space="preserve">the schedule identified in the </w:t>
      </w:r>
      <w:r w:rsidR="00855CB7">
        <w:rPr>
          <w:i/>
          <w:lang w:val="en-CA"/>
        </w:rPr>
        <w:t>SSPC</w:t>
      </w:r>
      <w:r w:rsidR="00855CB7">
        <w:rPr>
          <w:lang w:val="en-CA"/>
        </w:rPr>
        <w:t>;</w:t>
      </w:r>
    </w:p>
    <w:p w14:paraId="3D945319" w14:textId="77777777" w:rsidR="00855CB7" w:rsidRDefault="00712519" w:rsidP="00EB235A">
      <w:pPr>
        <w:pStyle w:val="ListBullet"/>
        <w:tabs>
          <w:tab w:val="num" w:pos="1224"/>
        </w:tabs>
        <w:ind w:left="1224"/>
        <w:rPr>
          <w:lang w:val="en-CA"/>
        </w:rPr>
      </w:pPr>
      <w:r>
        <w:rPr>
          <w:lang w:val="en-CA"/>
        </w:rPr>
        <w:t xml:space="preserve">identifying </w:t>
      </w:r>
      <w:r w:rsidR="00855CB7">
        <w:rPr>
          <w:lang w:val="en-CA"/>
        </w:rPr>
        <w:t xml:space="preserve">errors in the </w:t>
      </w:r>
      <w:r w:rsidR="00855CB7">
        <w:rPr>
          <w:i/>
          <w:lang w:val="en-CA"/>
        </w:rPr>
        <w:t>preliminary settlement statements</w:t>
      </w:r>
      <w:r w:rsidR="00855CB7">
        <w:rPr>
          <w:lang w:val="en-CA"/>
        </w:rPr>
        <w:t xml:space="preserve"> and data files and providing a </w:t>
      </w:r>
      <w:r w:rsidR="00855CB7">
        <w:rPr>
          <w:i/>
          <w:lang w:val="en-CA"/>
        </w:rPr>
        <w:t>notice of disagreement</w:t>
      </w:r>
      <w:r w:rsidR="00855CB7">
        <w:rPr>
          <w:lang w:val="en-CA"/>
        </w:rPr>
        <w:t>; and</w:t>
      </w:r>
    </w:p>
    <w:p w14:paraId="7E44AE02" w14:textId="77777777" w:rsidR="00274BEB" w:rsidRDefault="00712519">
      <w:pPr>
        <w:pStyle w:val="ListBullet"/>
        <w:tabs>
          <w:tab w:val="num" w:pos="1224"/>
        </w:tabs>
        <w:spacing w:after="120"/>
        <w:ind w:left="1224"/>
        <w:rPr>
          <w:lang w:val="en-CA"/>
        </w:rPr>
      </w:pPr>
      <w:r>
        <w:rPr>
          <w:lang w:val="en-CA"/>
        </w:rPr>
        <w:t xml:space="preserve">downloading </w:t>
      </w:r>
      <w:r w:rsidR="00855CB7">
        <w:rPr>
          <w:lang w:val="en-CA"/>
        </w:rPr>
        <w:t>and submitting required documentation for special exemptions, rebates and refunds.</w:t>
      </w:r>
    </w:p>
    <w:p w14:paraId="2BD49151" w14:textId="77777777" w:rsidR="00855CB7" w:rsidRDefault="00855CB7" w:rsidP="00BF6978">
      <w:pPr>
        <w:pStyle w:val="ListBullet"/>
        <w:keepNext/>
        <w:rPr>
          <w:lang w:val="en-CA"/>
        </w:rPr>
      </w:pPr>
      <w:r>
        <w:rPr>
          <w:lang w:val="en-CA"/>
        </w:rPr>
        <w:t xml:space="preserve">the </w:t>
      </w:r>
      <w:r>
        <w:rPr>
          <w:i/>
          <w:lang w:val="en-CA"/>
        </w:rPr>
        <w:t>IESO</w:t>
      </w:r>
      <w:r>
        <w:rPr>
          <w:lang w:val="en-CA"/>
        </w:rPr>
        <w:t>, which is responsible for:</w:t>
      </w:r>
    </w:p>
    <w:p w14:paraId="14D79D61" w14:textId="77777777" w:rsidR="00855CB7" w:rsidRDefault="00712519" w:rsidP="00EB235A">
      <w:pPr>
        <w:pStyle w:val="ListBullet"/>
        <w:tabs>
          <w:tab w:val="num" w:pos="1224"/>
        </w:tabs>
        <w:ind w:left="1224"/>
        <w:rPr>
          <w:lang w:val="en-CA"/>
        </w:rPr>
      </w:pPr>
      <w:r>
        <w:rPr>
          <w:lang w:val="en-CA"/>
        </w:rPr>
        <w:t xml:space="preserve">processing </w:t>
      </w:r>
      <w:r w:rsidR="00855CB7">
        <w:rPr>
          <w:lang w:val="en-CA"/>
        </w:rPr>
        <w:t>the special exemptions, rebates and refunds;</w:t>
      </w:r>
    </w:p>
    <w:p w14:paraId="2EBD5A9F" w14:textId="77777777" w:rsidR="00855CB7" w:rsidRDefault="00712519" w:rsidP="00EB235A">
      <w:pPr>
        <w:pStyle w:val="ListBullet"/>
        <w:tabs>
          <w:tab w:val="num" w:pos="1224"/>
        </w:tabs>
        <w:ind w:left="1224"/>
        <w:rPr>
          <w:lang w:val="en-CA"/>
        </w:rPr>
      </w:pPr>
      <w:r>
        <w:rPr>
          <w:lang w:val="en-CA"/>
        </w:rPr>
        <w:t xml:space="preserve">issuing </w:t>
      </w:r>
      <w:r w:rsidR="00855CB7">
        <w:rPr>
          <w:i/>
          <w:lang w:val="en-CA"/>
        </w:rPr>
        <w:t>preliminary settlement statement</w:t>
      </w:r>
      <w:r w:rsidR="00855CB7">
        <w:rPr>
          <w:lang w:val="en-CA"/>
        </w:rPr>
        <w:t xml:space="preserve"> files and companion data files for each </w:t>
      </w:r>
      <w:r w:rsidR="00855CB7">
        <w:rPr>
          <w:i/>
          <w:lang w:val="en-CA"/>
        </w:rPr>
        <w:t>trading day</w:t>
      </w:r>
      <w:r w:rsidR="00855CB7">
        <w:rPr>
          <w:lang w:val="en-CA"/>
        </w:rPr>
        <w:t xml:space="preserve"> of the </w:t>
      </w:r>
      <w:r w:rsidR="00855CB7">
        <w:rPr>
          <w:i/>
          <w:lang w:val="en-CA"/>
        </w:rPr>
        <w:t>physical markets</w:t>
      </w:r>
      <w:r w:rsidR="00855CB7">
        <w:rPr>
          <w:lang w:val="en-CA"/>
        </w:rPr>
        <w:t>;</w:t>
      </w:r>
    </w:p>
    <w:p w14:paraId="314A4B12" w14:textId="77777777" w:rsidR="00855CB7" w:rsidRDefault="00712519" w:rsidP="00EB235A">
      <w:pPr>
        <w:pStyle w:val="ListBullet"/>
        <w:tabs>
          <w:tab w:val="num" w:pos="1224"/>
        </w:tabs>
        <w:ind w:left="1224"/>
        <w:rPr>
          <w:lang w:val="en-CA"/>
        </w:rPr>
      </w:pPr>
      <w:r>
        <w:rPr>
          <w:lang w:val="en-CA"/>
        </w:rPr>
        <w:t xml:space="preserve">responding </w:t>
      </w:r>
      <w:r w:rsidR="00855CB7">
        <w:rPr>
          <w:lang w:val="en-CA"/>
        </w:rPr>
        <w:t xml:space="preserve">to queries received from the </w:t>
      </w:r>
      <w:r w:rsidR="00855CB7">
        <w:rPr>
          <w:i/>
          <w:lang w:val="en-CA"/>
        </w:rPr>
        <w:t>market participants</w:t>
      </w:r>
      <w:r w:rsidR="00855CB7">
        <w:rPr>
          <w:lang w:val="en-CA"/>
        </w:rPr>
        <w:t xml:space="preserve"> pertaining to the </w:t>
      </w:r>
      <w:r w:rsidR="00855CB7">
        <w:rPr>
          <w:i/>
          <w:lang w:val="en-CA"/>
        </w:rPr>
        <w:t>preliminary settlement statement</w:t>
      </w:r>
      <w:r w:rsidR="00855CB7">
        <w:rPr>
          <w:lang w:val="en-CA"/>
        </w:rPr>
        <w:t xml:space="preserve"> files and companion data files;</w:t>
      </w:r>
    </w:p>
    <w:p w14:paraId="0A2ECC0E" w14:textId="77777777" w:rsidR="00855CB7" w:rsidRDefault="00712519" w:rsidP="00EB235A">
      <w:pPr>
        <w:pStyle w:val="ListBullet"/>
        <w:tabs>
          <w:tab w:val="num" w:pos="1224"/>
        </w:tabs>
        <w:ind w:left="1224"/>
        <w:rPr>
          <w:lang w:val="en-CA"/>
        </w:rPr>
      </w:pPr>
      <w:r>
        <w:rPr>
          <w:lang w:val="en-CA"/>
        </w:rPr>
        <w:t xml:space="preserve">investigating </w:t>
      </w:r>
      <w:r w:rsidR="00855CB7">
        <w:rPr>
          <w:lang w:val="en-CA"/>
        </w:rPr>
        <w:t xml:space="preserve">and responding to a </w:t>
      </w:r>
      <w:r w:rsidR="00855CB7">
        <w:rPr>
          <w:i/>
          <w:lang w:val="en-CA"/>
        </w:rPr>
        <w:t>notice of disagreement</w:t>
      </w:r>
      <w:r w:rsidR="00855CB7">
        <w:rPr>
          <w:lang w:val="en-CA"/>
        </w:rPr>
        <w:t xml:space="preserve"> received from </w:t>
      </w:r>
      <w:r>
        <w:rPr>
          <w:lang w:val="en-CA"/>
        </w:rPr>
        <w:t xml:space="preserve">a </w:t>
      </w:r>
      <w:r w:rsidR="00855CB7">
        <w:rPr>
          <w:i/>
          <w:lang w:val="en-CA"/>
        </w:rPr>
        <w:t>market participant</w:t>
      </w:r>
      <w:r w:rsidR="00855CB7">
        <w:rPr>
          <w:lang w:val="en-CA"/>
        </w:rPr>
        <w:t>;</w:t>
      </w:r>
    </w:p>
    <w:p w14:paraId="4056F8BF" w14:textId="77777777" w:rsidR="00855CB7" w:rsidRDefault="00712519" w:rsidP="00EB235A">
      <w:pPr>
        <w:pStyle w:val="ListBullet"/>
        <w:tabs>
          <w:tab w:val="num" w:pos="1224"/>
        </w:tabs>
        <w:ind w:left="1224"/>
        <w:rPr>
          <w:lang w:val="en-CA"/>
        </w:rPr>
      </w:pPr>
      <w:r>
        <w:rPr>
          <w:lang w:val="en-CA"/>
        </w:rPr>
        <w:t xml:space="preserve">applying </w:t>
      </w:r>
      <w:r w:rsidR="00855CB7">
        <w:rPr>
          <w:lang w:val="en-CA"/>
        </w:rPr>
        <w:t xml:space="preserve">adjustments as required to the </w:t>
      </w:r>
      <w:r w:rsidR="00855CB7">
        <w:rPr>
          <w:i/>
          <w:lang w:val="en-CA"/>
        </w:rPr>
        <w:t>preliminary settlement statement</w:t>
      </w:r>
      <w:r w:rsidR="00855CB7">
        <w:rPr>
          <w:lang w:val="en-CA"/>
        </w:rPr>
        <w:t xml:space="preserve"> files and companion data files;</w:t>
      </w:r>
    </w:p>
    <w:p w14:paraId="6391920C" w14:textId="77777777" w:rsidR="00855CB7" w:rsidRDefault="00712519" w:rsidP="00EB235A">
      <w:pPr>
        <w:pStyle w:val="ListBullet"/>
        <w:tabs>
          <w:tab w:val="num" w:pos="1224"/>
        </w:tabs>
        <w:ind w:left="1224"/>
        <w:rPr>
          <w:lang w:val="en-CA"/>
        </w:rPr>
      </w:pPr>
      <w:r>
        <w:rPr>
          <w:lang w:val="en-CA"/>
        </w:rPr>
        <w:t xml:space="preserve">issuing </w:t>
      </w:r>
      <w:r w:rsidR="00855CB7">
        <w:rPr>
          <w:i/>
          <w:lang w:val="en-CA"/>
        </w:rPr>
        <w:t>final settlement statements</w:t>
      </w:r>
      <w:r w:rsidR="00855CB7">
        <w:rPr>
          <w:lang w:val="en-CA"/>
        </w:rPr>
        <w:t xml:space="preserve"> for each </w:t>
      </w:r>
      <w:r w:rsidR="00855CB7">
        <w:rPr>
          <w:i/>
          <w:lang w:val="en-CA"/>
        </w:rPr>
        <w:t>trading day</w:t>
      </w:r>
      <w:r w:rsidR="00855CB7">
        <w:rPr>
          <w:lang w:val="en-CA"/>
        </w:rPr>
        <w:t xml:space="preserve"> of the </w:t>
      </w:r>
      <w:r w:rsidR="00855CB7">
        <w:rPr>
          <w:i/>
          <w:lang w:val="en-CA"/>
        </w:rPr>
        <w:t>physical markets</w:t>
      </w:r>
      <w:r w:rsidR="00855CB7">
        <w:rPr>
          <w:lang w:val="en-CA"/>
        </w:rPr>
        <w:t>; and</w:t>
      </w:r>
    </w:p>
    <w:p w14:paraId="629CCE51" w14:textId="77777777" w:rsidR="003A1864" w:rsidRDefault="00712519" w:rsidP="00EB235A">
      <w:pPr>
        <w:pStyle w:val="ListBullet"/>
        <w:tabs>
          <w:tab w:val="num" w:pos="1224"/>
        </w:tabs>
        <w:ind w:left="1224"/>
        <w:rPr>
          <w:lang w:val="en-CA"/>
        </w:rPr>
      </w:pPr>
      <w:r>
        <w:rPr>
          <w:lang w:val="en-CA"/>
        </w:rPr>
        <w:t xml:space="preserve">dealing </w:t>
      </w:r>
      <w:r w:rsidR="00855CB7">
        <w:rPr>
          <w:lang w:val="en-CA"/>
        </w:rPr>
        <w:t xml:space="preserve">with inquiries related to adjustments as shown in </w:t>
      </w:r>
      <w:r w:rsidR="00855CB7">
        <w:rPr>
          <w:i/>
          <w:lang w:val="en-CA"/>
        </w:rPr>
        <w:t>final settlement statements</w:t>
      </w:r>
      <w:r w:rsidR="00855CB7">
        <w:rPr>
          <w:lang w:val="en-CA"/>
        </w:rPr>
        <w:t>.</w:t>
      </w:r>
    </w:p>
    <w:p w14:paraId="34A3F236" w14:textId="77777777" w:rsidR="00274BEB" w:rsidRDefault="00855CB7">
      <w:pPr>
        <w:pStyle w:val="Heading2"/>
        <w:spacing w:before="360" w:after="120"/>
        <w:rPr>
          <w:lang w:val="en-CA"/>
        </w:rPr>
      </w:pPr>
      <w:bookmarkStart w:id="1293" w:name="_Toc264896891"/>
      <w:bookmarkStart w:id="1294" w:name="_Toc32038441"/>
      <w:bookmarkStart w:id="1295" w:name="_Toc175383902"/>
      <w:bookmarkStart w:id="1296" w:name="_Toc400369528"/>
      <w:bookmarkStart w:id="1297" w:name="_Toc35796366"/>
      <w:bookmarkStart w:id="1298" w:name="_Toc79657969"/>
      <w:bookmarkEnd w:id="1293"/>
      <w:r>
        <w:rPr>
          <w:lang w:val="en-CA"/>
        </w:rPr>
        <w:t>Contact Information</w:t>
      </w:r>
      <w:bookmarkEnd w:id="1294"/>
      <w:bookmarkEnd w:id="1295"/>
      <w:bookmarkEnd w:id="1296"/>
      <w:bookmarkEnd w:id="1297"/>
      <w:bookmarkEnd w:id="1298"/>
    </w:p>
    <w:p w14:paraId="108FD3F7" w14:textId="77777777" w:rsidR="005C60EF" w:rsidRDefault="00855CB7" w:rsidP="00A442B9">
      <w:pPr>
        <w:pStyle w:val="BodyText0"/>
      </w:pPr>
      <w:r>
        <w:t xml:space="preserve">As part of the participant authorization and registration process, applicants identify contacts within their organization that address specific areas of market operations. </w:t>
      </w:r>
      <w:r w:rsidR="005068A5">
        <w:t xml:space="preserve"> </w:t>
      </w:r>
      <w:r w:rsidR="00726B5C">
        <w:t xml:space="preserve">For real-time </w:t>
      </w:r>
      <w:r w:rsidR="00726B5C">
        <w:rPr>
          <w:i/>
        </w:rPr>
        <w:t>energy</w:t>
      </w:r>
      <w:r w:rsidR="00726B5C">
        <w:t xml:space="preserve"> </w:t>
      </w:r>
      <w:r w:rsidR="00726B5C">
        <w:rPr>
          <w:i/>
        </w:rPr>
        <w:t>settlement statements</w:t>
      </w:r>
      <w:r w:rsidR="00726B5C">
        <w:t xml:space="preserve">, this contact will most likely be the </w:t>
      </w:r>
      <w:r w:rsidR="00726B5C">
        <w:rPr>
          <w:i/>
        </w:rPr>
        <w:t>Settlements Statements</w:t>
      </w:r>
      <w:r w:rsidR="00726B5C">
        <w:t xml:space="preserve"> Market Contact Type as indicated by Registration in the MPI (MP Contacts screens).  </w:t>
      </w:r>
      <w:r>
        <w:t xml:space="preserve">If </w:t>
      </w:r>
      <w:r w:rsidR="005C60EF">
        <w:t>you have</w:t>
      </w:r>
      <w:r>
        <w:t xml:space="preserve"> not identified a specific contact, </w:t>
      </w:r>
      <w:r w:rsidR="005C60EF">
        <w:t>we</w:t>
      </w:r>
      <w:r>
        <w:t xml:space="preserve"> will </w:t>
      </w:r>
      <w:r w:rsidR="005C60EF">
        <w:t xml:space="preserve">try to contact </w:t>
      </w:r>
      <w:r>
        <w:t xml:space="preserve">the </w:t>
      </w:r>
      <w:r w:rsidR="005C60EF">
        <w:t xml:space="preserve">‘main contact’ identified </w:t>
      </w:r>
      <w:r>
        <w:t>during the participant authorization process.</w:t>
      </w:r>
    </w:p>
    <w:p w14:paraId="78C3761B" w14:textId="783D403B" w:rsidR="00725238" w:rsidRDefault="005C60EF" w:rsidP="00A442B9">
      <w:pPr>
        <w:pStyle w:val="BodyText0"/>
      </w:pPr>
      <w:r>
        <w:t>We</w:t>
      </w:r>
      <w:r w:rsidR="00855CB7">
        <w:t xml:space="preserve"> will </w:t>
      </w:r>
      <w:r>
        <w:t xml:space="preserve">try </w:t>
      </w:r>
      <w:r w:rsidR="00855CB7">
        <w:t xml:space="preserve">to contact these individuals for activities within this procedure, unless alternative arrangements have been </w:t>
      </w:r>
      <w:r>
        <w:t xml:space="preserve">set up </w:t>
      </w:r>
      <w:r w:rsidR="00855CB7">
        <w:t xml:space="preserve">between </w:t>
      </w:r>
      <w:r>
        <w:t>us</w:t>
      </w:r>
      <w:r w:rsidR="00855CB7">
        <w:t xml:space="preserve"> and the </w:t>
      </w:r>
      <w:r w:rsidR="00855CB7">
        <w:rPr>
          <w:i/>
        </w:rPr>
        <w:t>market participant</w:t>
      </w:r>
      <w:r w:rsidR="00855CB7">
        <w:t xml:space="preserve">. </w:t>
      </w:r>
      <w:r w:rsidR="005068A5">
        <w:t xml:space="preserve"> </w:t>
      </w:r>
      <w:r w:rsidR="00855CB7">
        <w:t xml:space="preserve">For more information on </w:t>
      </w:r>
      <w:r>
        <w:t xml:space="preserve">MPI Registration </w:t>
      </w:r>
      <w:r w:rsidR="00855CB7">
        <w:t xml:space="preserve">and the </w:t>
      </w:r>
      <w:r>
        <w:t xml:space="preserve">participant authorization process, </w:t>
      </w:r>
      <w:r w:rsidR="00855CB7">
        <w:t>see “</w:t>
      </w:r>
      <w:r w:rsidR="00240E97">
        <w:t>Part 1.5 Market Registration Procedures</w:t>
      </w:r>
      <w:r w:rsidR="00855CB7">
        <w:t>”</w:t>
      </w:r>
      <w:r w:rsidR="00855CB7">
        <w:rPr>
          <w:i/>
        </w:rPr>
        <w:t>.</w:t>
      </w:r>
    </w:p>
    <w:p w14:paraId="7D96DFAB" w14:textId="78CD38C2" w:rsidR="00855CB7" w:rsidRDefault="00855CB7">
      <w:pPr>
        <w:rPr>
          <w:snapToGrid w:val="0"/>
          <w:lang w:val="en-CA" w:eastAsia="en-US"/>
        </w:rPr>
      </w:pPr>
      <w:r>
        <w:rPr>
          <w:snapToGrid w:val="0"/>
          <w:lang w:val="en-CA" w:eastAsia="en-US"/>
        </w:rPr>
        <w:t xml:space="preserve">If </w:t>
      </w:r>
      <w:r w:rsidR="005C60EF">
        <w:rPr>
          <w:snapToGrid w:val="0"/>
          <w:lang w:val="en-CA" w:eastAsia="en-US"/>
        </w:rPr>
        <w:t>you</w:t>
      </w:r>
      <w:r>
        <w:rPr>
          <w:i/>
          <w:snapToGrid w:val="0"/>
          <w:color w:val="000000"/>
          <w:lang w:val="en-CA" w:eastAsia="en-US"/>
        </w:rPr>
        <w:t xml:space="preserve"> </w:t>
      </w:r>
      <w:r>
        <w:rPr>
          <w:snapToGrid w:val="0"/>
          <w:color w:val="000000"/>
          <w:lang w:val="en-CA" w:eastAsia="en-US"/>
        </w:rPr>
        <w:t xml:space="preserve">wish to contact </w:t>
      </w:r>
      <w:r w:rsidR="005C60EF">
        <w:rPr>
          <w:snapToGrid w:val="0"/>
          <w:color w:val="000000"/>
          <w:lang w:val="en-CA" w:eastAsia="en-US"/>
        </w:rPr>
        <w:t>us</w:t>
      </w:r>
      <w:r>
        <w:rPr>
          <w:snapToGrid w:val="0"/>
          <w:color w:val="000000"/>
          <w:lang w:val="en-CA" w:eastAsia="en-US"/>
        </w:rPr>
        <w:t xml:space="preserve">, </w:t>
      </w:r>
      <w:r w:rsidR="005C60EF">
        <w:rPr>
          <w:snapToGrid w:val="0"/>
          <w:color w:val="000000"/>
          <w:lang w:val="en-CA" w:eastAsia="en-US"/>
        </w:rPr>
        <w:t>you</w:t>
      </w:r>
      <w:r>
        <w:rPr>
          <w:i/>
          <w:snapToGrid w:val="0"/>
          <w:color w:val="000000"/>
          <w:lang w:val="en-CA" w:eastAsia="en-US"/>
        </w:rPr>
        <w:t xml:space="preserve"> </w:t>
      </w:r>
      <w:r>
        <w:rPr>
          <w:snapToGrid w:val="0"/>
          <w:lang w:val="en-CA" w:eastAsia="en-US"/>
        </w:rPr>
        <w:t xml:space="preserve">can </w:t>
      </w:r>
      <w:r w:rsidR="00EC3A1E">
        <w:rPr>
          <w:snapToGrid w:val="0"/>
          <w:lang w:val="en-CA" w:eastAsia="en-US"/>
        </w:rPr>
        <w:t xml:space="preserve">reach </w:t>
      </w:r>
      <w:r w:rsidR="005C60EF">
        <w:rPr>
          <w:snapToGrid w:val="0"/>
          <w:lang w:val="en-CA" w:eastAsia="en-US"/>
        </w:rPr>
        <w:t>our</w:t>
      </w:r>
      <w:r w:rsidR="0053743C">
        <w:rPr>
          <w:i/>
          <w:snapToGrid w:val="0"/>
          <w:lang w:val="en-CA" w:eastAsia="en-US"/>
        </w:rPr>
        <w:t xml:space="preserve"> Customer Relations</w:t>
      </w:r>
      <w:r>
        <w:rPr>
          <w:snapToGrid w:val="0"/>
          <w:lang w:val="en-CA" w:eastAsia="en-US"/>
        </w:rPr>
        <w:t xml:space="preserve"> </w:t>
      </w:r>
      <w:r w:rsidR="005C60EF">
        <w:rPr>
          <w:snapToGrid w:val="0"/>
          <w:lang w:val="en-CA" w:eastAsia="en-US"/>
        </w:rPr>
        <w:t xml:space="preserve">department at </w:t>
      </w:r>
      <w:hyperlink r:id="rId51" w:history="1">
        <w:r w:rsidR="0053743C">
          <w:rPr>
            <w:rStyle w:val="Hyperlink"/>
            <w:snapToGrid w:val="0"/>
            <w:lang w:val="en-CA" w:eastAsia="en-US"/>
          </w:rPr>
          <w:t>customer.relations@ieso.ca</w:t>
        </w:r>
      </w:hyperlink>
      <w:r>
        <w:rPr>
          <w:snapToGrid w:val="0"/>
          <w:lang w:val="en-CA" w:eastAsia="en-US"/>
        </w:rPr>
        <w:t xml:space="preserve"> or via telephone, mail or courier to the numbers and addresses on </w:t>
      </w:r>
      <w:r w:rsidR="005C60EF">
        <w:rPr>
          <w:snapToGrid w:val="0"/>
          <w:lang w:val="en-CA" w:eastAsia="en-US"/>
        </w:rPr>
        <w:t>our</w:t>
      </w:r>
      <w:r>
        <w:rPr>
          <w:snapToGrid w:val="0"/>
          <w:lang w:val="en-CA" w:eastAsia="en-US"/>
        </w:rPr>
        <w:t xml:space="preserve"> </w:t>
      </w:r>
      <w:r w:rsidR="00EC3A1E">
        <w:rPr>
          <w:snapToGrid w:val="0"/>
          <w:lang w:val="en-CA" w:eastAsia="en-US"/>
        </w:rPr>
        <w:t xml:space="preserve">web </w:t>
      </w:r>
      <w:r>
        <w:rPr>
          <w:snapToGrid w:val="0"/>
          <w:lang w:val="en-CA" w:eastAsia="en-US"/>
        </w:rPr>
        <w:t>site (</w:t>
      </w:r>
      <w:hyperlink r:id="rId52" w:tooltip="IESO Website" w:history="1">
        <w:r>
          <w:rPr>
            <w:rStyle w:val="Hyperlink"/>
            <w:snapToGrid w:val="0"/>
            <w:lang w:val="en-CA" w:eastAsia="en-US"/>
          </w:rPr>
          <w:t>www.ieso.ca</w:t>
        </w:r>
      </w:hyperlink>
      <w:r>
        <w:rPr>
          <w:snapToGrid w:val="0"/>
          <w:lang w:val="en-CA" w:eastAsia="en-US"/>
        </w:rPr>
        <w:t>- or click on</w:t>
      </w:r>
      <w:r>
        <w:rPr>
          <w:snapToGrid w:val="0"/>
          <w:color w:val="000000"/>
          <w:lang w:val="en-CA" w:eastAsia="en-US"/>
        </w:rPr>
        <w:t xml:space="preserve"> </w:t>
      </w:r>
      <w:r>
        <w:rPr>
          <w:rFonts w:ascii="Arial" w:hAnsi="Arial"/>
          <w:snapToGrid w:val="0"/>
          <w:color w:val="000000"/>
          <w:lang w:val="en-CA" w:eastAsia="en-US"/>
        </w:rPr>
        <w:t>'</w:t>
      </w:r>
      <w:r>
        <w:rPr>
          <w:snapToGrid w:val="0"/>
          <w:color w:val="000000"/>
          <w:lang w:val="en-CA" w:eastAsia="en-US"/>
        </w:rPr>
        <w:t>Have a question?</w:t>
      </w:r>
      <w:r>
        <w:rPr>
          <w:rFonts w:ascii="Arial" w:hAnsi="Arial"/>
          <w:snapToGrid w:val="0"/>
          <w:color w:val="000000"/>
          <w:lang w:val="en-CA" w:eastAsia="en-US"/>
        </w:rPr>
        <w:t>'</w:t>
      </w:r>
      <w:r>
        <w:rPr>
          <w:snapToGrid w:val="0"/>
          <w:color w:val="000000"/>
          <w:lang w:val="en-CA" w:eastAsia="en-US"/>
        </w:rPr>
        <w:t xml:space="preserve"> to go to the </w:t>
      </w:r>
      <w:r>
        <w:rPr>
          <w:rFonts w:ascii="Arial" w:hAnsi="Arial"/>
          <w:snapToGrid w:val="0"/>
          <w:color w:val="000000"/>
          <w:lang w:val="en-CA" w:eastAsia="en-US"/>
        </w:rPr>
        <w:t>'</w:t>
      </w:r>
      <w:r>
        <w:rPr>
          <w:snapToGrid w:val="0"/>
          <w:color w:val="000000"/>
          <w:lang w:val="en-CA" w:eastAsia="en-US"/>
        </w:rPr>
        <w:t>Contacting the IESO</w:t>
      </w:r>
      <w:r>
        <w:rPr>
          <w:rFonts w:ascii="Arial" w:hAnsi="Arial"/>
          <w:snapToGrid w:val="0"/>
          <w:color w:val="000000"/>
          <w:lang w:val="en-CA" w:eastAsia="en-US"/>
        </w:rPr>
        <w:t>'</w:t>
      </w:r>
      <w:r>
        <w:rPr>
          <w:snapToGrid w:val="0"/>
          <w:color w:val="000000"/>
          <w:lang w:val="en-CA" w:eastAsia="en-US"/>
        </w:rPr>
        <w:t xml:space="preserve"> </w:t>
      </w:r>
      <w:r>
        <w:rPr>
          <w:snapToGrid w:val="0"/>
          <w:lang w:val="en-CA" w:eastAsia="en-US"/>
        </w:rPr>
        <w:t xml:space="preserve">page). </w:t>
      </w:r>
      <w:r w:rsidR="005068A5">
        <w:rPr>
          <w:snapToGrid w:val="0"/>
          <w:lang w:val="en-CA" w:eastAsia="en-US"/>
        </w:rPr>
        <w:t xml:space="preserve"> </w:t>
      </w:r>
      <w:r>
        <w:rPr>
          <w:snapToGrid w:val="0"/>
          <w:lang w:val="en-CA" w:eastAsia="en-US"/>
        </w:rPr>
        <w:t xml:space="preserve">If </w:t>
      </w:r>
      <w:r w:rsidR="0053743C">
        <w:rPr>
          <w:i/>
          <w:snapToGrid w:val="0"/>
          <w:lang w:val="en-CA" w:eastAsia="en-US"/>
        </w:rPr>
        <w:t>Customer Relations</w:t>
      </w:r>
      <w:r>
        <w:rPr>
          <w:snapToGrid w:val="0"/>
          <w:lang w:val="en-CA" w:eastAsia="en-US"/>
        </w:rPr>
        <w:t xml:space="preserve"> is closed, </w:t>
      </w:r>
      <w:r w:rsidR="005C60EF">
        <w:rPr>
          <w:snapToGrid w:val="0"/>
          <w:lang w:val="en-CA" w:eastAsia="en-US"/>
        </w:rPr>
        <w:t xml:space="preserve">you can leave </w:t>
      </w:r>
      <w:r>
        <w:rPr>
          <w:snapToGrid w:val="0"/>
          <w:lang w:val="en-CA" w:eastAsia="en-US"/>
        </w:rPr>
        <w:t xml:space="preserve">telephone messages or emails, which will be answered as soon as possible by </w:t>
      </w:r>
      <w:r w:rsidR="00EE771C">
        <w:rPr>
          <w:snapToGrid w:val="0"/>
          <w:lang w:val="en-CA" w:eastAsia="en-US"/>
        </w:rPr>
        <w:t>Customer Relations</w:t>
      </w:r>
      <w:r>
        <w:rPr>
          <w:snapToGrid w:val="0"/>
          <w:lang w:val="en-CA" w:eastAsia="en-US"/>
        </w:rPr>
        <w:t xml:space="preserve"> staff.</w:t>
      </w:r>
    </w:p>
    <w:p w14:paraId="200F98B0" w14:textId="77777777" w:rsidR="00855CB7" w:rsidRPr="00EC3A1E" w:rsidRDefault="00EC3A1E" w:rsidP="0018276B">
      <w:pPr>
        <w:pStyle w:val="BodyText"/>
        <w:rPr>
          <w:lang w:val="en-CA"/>
        </w:rPr>
      </w:pPr>
      <w:r>
        <w:rPr>
          <w:lang w:val="en-CA"/>
        </w:rPr>
        <w:t xml:space="preserve">Appendix A lists the </w:t>
      </w:r>
      <w:r w:rsidR="00855CB7">
        <w:rPr>
          <w:lang w:val="en-CA"/>
        </w:rPr>
        <w:t xml:space="preserve">forms </w:t>
      </w:r>
      <w:r>
        <w:rPr>
          <w:lang w:val="en-CA"/>
        </w:rPr>
        <w:t>you need</w:t>
      </w:r>
      <w:r w:rsidR="00855CB7">
        <w:rPr>
          <w:lang w:val="en-CA"/>
        </w:rPr>
        <w:t xml:space="preserve"> for this </w:t>
      </w:r>
      <w:r>
        <w:rPr>
          <w:lang w:val="en-CA"/>
        </w:rPr>
        <w:t xml:space="preserve">procedure – most </w:t>
      </w:r>
      <w:r w:rsidR="00855CB7">
        <w:rPr>
          <w:lang w:val="en-CA"/>
        </w:rPr>
        <w:t xml:space="preserve">forms are available on </w:t>
      </w:r>
      <w:r>
        <w:rPr>
          <w:lang w:val="en-CA"/>
        </w:rPr>
        <w:t>our w</w:t>
      </w:r>
      <w:r w:rsidR="00855CB7">
        <w:rPr>
          <w:lang w:val="en-CA"/>
        </w:rPr>
        <w:t xml:space="preserve">eb site. </w:t>
      </w:r>
      <w:r>
        <w:rPr>
          <w:lang w:val="en-CA"/>
        </w:rPr>
        <w:t xml:space="preserve">Please send </w:t>
      </w:r>
      <w:r w:rsidR="00855CB7">
        <w:rPr>
          <w:lang w:val="en-CA"/>
        </w:rPr>
        <w:t xml:space="preserve">signed forms </w:t>
      </w:r>
      <w:r>
        <w:rPr>
          <w:lang w:val="en-CA"/>
        </w:rPr>
        <w:t>and</w:t>
      </w:r>
      <w:r w:rsidR="00855CB7">
        <w:rPr>
          <w:lang w:val="en-CA"/>
        </w:rPr>
        <w:t xml:space="preserve"> supporting documentation </w:t>
      </w:r>
      <w:r>
        <w:rPr>
          <w:lang w:val="en-CA"/>
        </w:rPr>
        <w:t>to us by</w:t>
      </w:r>
      <w:r w:rsidR="00855CB7">
        <w:rPr>
          <w:lang w:val="en-CA"/>
        </w:rPr>
        <w:t xml:space="preserve"> mail or courier</w:t>
      </w:r>
      <w:r>
        <w:rPr>
          <w:lang w:val="en-CA"/>
        </w:rPr>
        <w:t>,</w:t>
      </w:r>
      <w:r w:rsidR="00855CB7">
        <w:rPr>
          <w:lang w:val="en-CA"/>
        </w:rPr>
        <w:t xml:space="preserve"> using the address on </w:t>
      </w:r>
      <w:r>
        <w:rPr>
          <w:lang w:val="en-CA"/>
        </w:rPr>
        <w:t>our w</w:t>
      </w:r>
      <w:r w:rsidR="00855CB7">
        <w:rPr>
          <w:lang w:val="en-CA"/>
        </w:rPr>
        <w:t xml:space="preserve">eb site or on the form. </w:t>
      </w:r>
      <w:r w:rsidR="005068A5">
        <w:rPr>
          <w:lang w:val="en-CA"/>
        </w:rPr>
        <w:t xml:space="preserve"> </w:t>
      </w:r>
      <w:r>
        <w:rPr>
          <w:lang w:val="en-CA"/>
        </w:rPr>
        <w:t xml:space="preserve">Please </w:t>
      </w:r>
      <w:r w:rsidR="00855CB7">
        <w:rPr>
          <w:lang w:val="en-CA"/>
        </w:rPr>
        <w:t>identify the subject</w:t>
      </w:r>
      <w:r>
        <w:rPr>
          <w:lang w:val="en-CA"/>
        </w:rPr>
        <w:t xml:space="preserve"> as:</w:t>
      </w:r>
      <w:r w:rsidR="00855CB7">
        <w:rPr>
          <w:b/>
          <w:lang w:val="en-CA"/>
        </w:rPr>
        <w:t xml:space="preserve"> Physical Markets Settlements Statements.</w:t>
      </w:r>
    </w:p>
    <w:p w14:paraId="11614B44" w14:textId="77777777" w:rsidR="002A7DEF" w:rsidRDefault="002A7DEF">
      <w:pPr>
        <w:pStyle w:val="BodyText"/>
        <w:rPr>
          <w:lang w:val="en-CA"/>
        </w:rPr>
      </w:pPr>
    </w:p>
    <w:p w14:paraId="5C913370" w14:textId="77777777" w:rsidR="00855CB7" w:rsidRDefault="001F15D7">
      <w:pPr>
        <w:pStyle w:val="EndofText"/>
        <w:rPr>
          <w:noProof w:val="0"/>
        </w:rPr>
      </w:pPr>
      <w:r>
        <w:t>–</w:t>
      </w:r>
      <w:r w:rsidR="00A62458">
        <w:t xml:space="preserve"> </w:t>
      </w:r>
      <w:r w:rsidR="00855CB7">
        <w:t>End of Section –</w:t>
      </w:r>
    </w:p>
    <w:p w14:paraId="496F3152" w14:textId="77777777" w:rsidR="00855CB7" w:rsidRDefault="00855CB7">
      <w:pPr>
        <w:pStyle w:val="EndofText"/>
        <w:rPr>
          <w:noProof w:val="0"/>
        </w:rPr>
        <w:sectPr w:rsidR="00855CB7" w:rsidSect="005E193C">
          <w:pgSz w:w="12240" w:h="15840" w:code="1"/>
          <w:pgMar w:top="1440" w:right="1440" w:bottom="1440" w:left="1800" w:header="720" w:footer="720" w:gutter="0"/>
          <w:pgNumType w:chapSep="enDash"/>
          <w:cols w:space="720"/>
          <w:docGrid w:linePitch="299"/>
        </w:sectPr>
      </w:pPr>
    </w:p>
    <w:p w14:paraId="49C3E444" w14:textId="77777777" w:rsidR="00855CB7" w:rsidRDefault="00855CB7">
      <w:pPr>
        <w:pStyle w:val="Heading1"/>
        <w:rPr>
          <w:lang w:val="en-CA"/>
        </w:rPr>
      </w:pPr>
      <w:bookmarkStart w:id="1299" w:name="_Toc479138118"/>
      <w:bookmarkStart w:id="1300" w:name="_Toc483275413"/>
      <w:bookmarkStart w:id="1301" w:name="_Toc32038442"/>
      <w:bookmarkStart w:id="1302" w:name="_Toc175383903"/>
      <w:bookmarkStart w:id="1303" w:name="_Toc400369529"/>
      <w:bookmarkStart w:id="1304" w:name="_Toc35796367"/>
      <w:bookmarkStart w:id="1305" w:name="_Toc79657970"/>
      <w:r>
        <w:rPr>
          <w:lang w:val="en-CA"/>
        </w:rPr>
        <w:t>Procedural Work Flow</w:t>
      </w:r>
      <w:bookmarkEnd w:id="1299"/>
      <w:bookmarkEnd w:id="1300"/>
      <w:bookmarkEnd w:id="1301"/>
      <w:bookmarkEnd w:id="1302"/>
      <w:bookmarkEnd w:id="1303"/>
      <w:bookmarkEnd w:id="1304"/>
      <w:bookmarkEnd w:id="1305"/>
    </w:p>
    <w:p w14:paraId="7B18D77F" w14:textId="77777777" w:rsidR="00855CB7" w:rsidRDefault="00855CB7">
      <w:pPr>
        <w:pStyle w:val="BodyText"/>
        <w:rPr>
          <w:lang w:val="en-CA"/>
        </w:rPr>
      </w:pPr>
      <w:r>
        <w:rPr>
          <w:lang w:val="en-CA"/>
        </w:rPr>
        <w:t xml:space="preserve">The diagrams in this section represent the flow of work and information related to the </w:t>
      </w:r>
      <w:r>
        <w:rPr>
          <w:i/>
          <w:lang w:val="en-CA"/>
        </w:rPr>
        <w:t>physical markets settlement statement</w:t>
      </w:r>
      <w:r>
        <w:rPr>
          <w:lang w:val="en-CA"/>
        </w:rPr>
        <w:t xml:space="preserve"> procedure between the </w:t>
      </w:r>
      <w:r>
        <w:rPr>
          <w:i/>
          <w:lang w:val="en-CA"/>
        </w:rPr>
        <w:t>IESO</w:t>
      </w:r>
      <w:r>
        <w:rPr>
          <w:lang w:val="en-CA"/>
        </w:rPr>
        <w:t xml:space="preserve"> and </w:t>
      </w:r>
      <w:r>
        <w:rPr>
          <w:i/>
          <w:lang w:val="en-CA"/>
        </w:rPr>
        <w:t>market participants</w:t>
      </w:r>
      <w:r>
        <w:rPr>
          <w:lang w:val="en-CA"/>
        </w:rPr>
        <w:t>.</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90"/>
        <w:gridCol w:w="7038"/>
      </w:tblGrid>
      <w:tr w:rsidR="00855CB7" w14:paraId="1B82054A" w14:textId="77777777">
        <w:trPr>
          <w:cantSplit/>
        </w:trPr>
        <w:tc>
          <w:tcPr>
            <w:tcW w:w="8928" w:type="dxa"/>
            <w:gridSpan w:val="2"/>
            <w:tcBorders>
              <w:top w:val="nil"/>
              <w:left w:val="nil"/>
              <w:right w:val="nil"/>
            </w:tcBorders>
          </w:tcPr>
          <w:p w14:paraId="03101854" w14:textId="77777777" w:rsidR="00855CB7" w:rsidRDefault="00855CB7">
            <w:pPr>
              <w:pStyle w:val="TableCaption"/>
              <w:rPr>
                <w:lang w:val="en-CA"/>
              </w:rPr>
            </w:pPr>
            <w:bookmarkStart w:id="1306" w:name="_Toc173213642"/>
            <w:bookmarkStart w:id="1307" w:name="_Toc400369596"/>
            <w:bookmarkStart w:id="1308" w:name="_Toc35796429"/>
            <w:bookmarkStart w:id="1309" w:name="_Toc79657836"/>
            <w:r>
              <w:rPr>
                <w:lang w:val="en-CA"/>
              </w:rPr>
              <w:t xml:space="preserve">Table 2–1: </w:t>
            </w:r>
            <w:r w:rsidR="00240F34">
              <w:rPr>
                <w:lang w:val="en-CA"/>
              </w:rPr>
              <w:t xml:space="preserve"> </w:t>
            </w:r>
            <w:r>
              <w:rPr>
                <w:lang w:val="en-CA"/>
              </w:rPr>
              <w:t>Legend for Work Flow Diagrams</w:t>
            </w:r>
            <w:bookmarkEnd w:id="1306"/>
            <w:bookmarkEnd w:id="1307"/>
            <w:bookmarkEnd w:id="1308"/>
            <w:bookmarkEnd w:id="1309"/>
          </w:p>
        </w:tc>
      </w:tr>
      <w:tr w:rsidR="00855CB7" w14:paraId="122FF6C8" w14:textId="77777777" w:rsidTr="007B06D7">
        <w:tc>
          <w:tcPr>
            <w:tcW w:w="1890" w:type="dxa"/>
            <w:shd w:val="clear" w:color="auto" w:fill="D9D9D9" w:themeFill="background1" w:themeFillShade="D9"/>
            <w:vAlign w:val="center"/>
          </w:tcPr>
          <w:p w14:paraId="6611B941" w14:textId="77777777" w:rsidR="00855CB7" w:rsidRDefault="00855CB7" w:rsidP="009E6D86">
            <w:pPr>
              <w:pStyle w:val="TableHead"/>
              <w:rPr>
                <w:lang w:val="en-CA"/>
              </w:rPr>
            </w:pPr>
            <w:r>
              <w:rPr>
                <w:lang w:val="en-CA"/>
              </w:rPr>
              <w:t>Legend</w:t>
            </w:r>
          </w:p>
        </w:tc>
        <w:tc>
          <w:tcPr>
            <w:tcW w:w="7038" w:type="dxa"/>
            <w:shd w:val="clear" w:color="auto" w:fill="D9D9D9" w:themeFill="background1" w:themeFillShade="D9"/>
            <w:vAlign w:val="center"/>
          </w:tcPr>
          <w:p w14:paraId="50FCED7F" w14:textId="77777777" w:rsidR="00855CB7" w:rsidRDefault="00855CB7" w:rsidP="009E6D86">
            <w:pPr>
              <w:pStyle w:val="TableHead"/>
              <w:rPr>
                <w:lang w:val="en-CA"/>
              </w:rPr>
            </w:pPr>
            <w:r>
              <w:rPr>
                <w:lang w:val="en-CA"/>
              </w:rPr>
              <w:t>Description</w:t>
            </w:r>
          </w:p>
        </w:tc>
      </w:tr>
      <w:tr w:rsidR="00855CB7" w14:paraId="088CE722" w14:textId="77777777" w:rsidTr="00F4437F">
        <w:tc>
          <w:tcPr>
            <w:tcW w:w="1890" w:type="dxa"/>
            <w:vAlign w:val="center"/>
          </w:tcPr>
          <w:p w14:paraId="551B21BC" w14:textId="77777777" w:rsidR="00855CB7" w:rsidRDefault="00855CB7" w:rsidP="00F4437F">
            <w:pPr>
              <w:pStyle w:val="TableText"/>
              <w:rPr>
                <w:lang w:val="en-CA"/>
              </w:rPr>
            </w:pPr>
            <w:r>
              <w:rPr>
                <w:lang w:val="en-CA"/>
              </w:rPr>
              <w:t>Oval</w:t>
            </w:r>
          </w:p>
        </w:tc>
        <w:tc>
          <w:tcPr>
            <w:tcW w:w="7038" w:type="dxa"/>
            <w:vAlign w:val="center"/>
          </w:tcPr>
          <w:p w14:paraId="0CEA034A" w14:textId="77777777" w:rsidR="00855CB7" w:rsidRDefault="00855CB7" w:rsidP="00F4437F">
            <w:pPr>
              <w:pStyle w:val="TableText"/>
              <w:rPr>
                <w:lang w:val="en-CA"/>
              </w:rPr>
            </w:pPr>
            <w:r>
              <w:rPr>
                <w:lang w:val="en-CA"/>
              </w:rPr>
              <w:t>An event that triggers task or that completes task. Trigger events and completion events are numbered sequentially within procedure (01 to 99)</w:t>
            </w:r>
          </w:p>
        </w:tc>
      </w:tr>
      <w:tr w:rsidR="00855CB7" w14:paraId="1DC5A203" w14:textId="77777777" w:rsidTr="00F4437F">
        <w:tc>
          <w:tcPr>
            <w:tcW w:w="1890" w:type="dxa"/>
            <w:vAlign w:val="center"/>
          </w:tcPr>
          <w:p w14:paraId="208BAE23" w14:textId="77777777" w:rsidR="00855CB7" w:rsidRDefault="00855CB7" w:rsidP="00F4437F">
            <w:pPr>
              <w:pStyle w:val="TableText"/>
              <w:rPr>
                <w:lang w:val="en-CA"/>
              </w:rPr>
            </w:pPr>
            <w:r>
              <w:rPr>
                <w:lang w:val="en-CA"/>
              </w:rPr>
              <w:t>Task Box</w:t>
            </w:r>
          </w:p>
        </w:tc>
        <w:tc>
          <w:tcPr>
            <w:tcW w:w="7038" w:type="dxa"/>
            <w:vAlign w:val="center"/>
          </w:tcPr>
          <w:p w14:paraId="29A443B1" w14:textId="77777777" w:rsidR="00855CB7" w:rsidRDefault="00855CB7" w:rsidP="00F4437F">
            <w:pPr>
              <w:pStyle w:val="TableText"/>
              <w:rPr>
                <w:lang w:val="en-CA"/>
              </w:rPr>
            </w:pPr>
            <w:r>
              <w:rPr>
                <w:lang w:val="en-CA"/>
              </w:rPr>
              <w:t xml:space="preserve">Shows reference number, party responsible for performing task (if “other party”), and task name or brief summary of task. Reference number (e.g., 1A.02) indicates procedure number within current </w:t>
            </w:r>
            <w:r>
              <w:rPr>
                <w:i/>
                <w:lang w:val="en-CA"/>
              </w:rPr>
              <w:t>market manual</w:t>
            </w:r>
            <w:r>
              <w:rPr>
                <w:lang w:val="en-CA"/>
              </w:rPr>
              <w:t xml:space="preserve"> (1), sub-procedure identifier (if applicable) (A), and task number (02)</w:t>
            </w:r>
          </w:p>
        </w:tc>
      </w:tr>
      <w:tr w:rsidR="00855CB7" w14:paraId="62B9961F" w14:textId="77777777" w:rsidTr="00F4437F">
        <w:tc>
          <w:tcPr>
            <w:tcW w:w="1890" w:type="dxa"/>
            <w:vAlign w:val="center"/>
          </w:tcPr>
          <w:p w14:paraId="41E51638" w14:textId="77777777" w:rsidR="00855CB7" w:rsidRDefault="00855CB7" w:rsidP="00F4437F">
            <w:pPr>
              <w:pStyle w:val="TableText"/>
              <w:rPr>
                <w:lang w:val="en-CA"/>
              </w:rPr>
            </w:pPr>
            <w:r>
              <w:rPr>
                <w:lang w:val="en-CA"/>
              </w:rPr>
              <w:t>Solid horizontal line</w:t>
            </w:r>
          </w:p>
        </w:tc>
        <w:tc>
          <w:tcPr>
            <w:tcW w:w="7038" w:type="dxa"/>
            <w:vAlign w:val="center"/>
          </w:tcPr>
          <w:p w14:paraId="0C9246FA" w14:textId="77777777" w:rsidR="00855CB7" w:rsidRDefault="00855CB7" w:rsidP="00F4437F">
            <w:pPr>
              <w:pStyle w:val="TableText"/>
              <w:rPr>
                <w:lang w:val="en-CA"/>
              </w:rPr>
            </w:pPr>
            <w:r>
              <w:rPr>
                <w:lang w:val="en-CA"/>
              </w:rPr>
              <w:t xml:space="preserve">Shows information flow between the </w:t>
            </w:r>
            <w:r>
              <w:rPr>
                <w:i/>
                <w:lang w:val="en-CA"/>
              </w:rPr>
              <w:t>IESO</w:t>
            </w:r>
            <w:r>
              <w:rPr>
                <w:lang w:val="en-CA"/>
              </w:rPr>
              <w:t xml:space="preserve"> and external parties</w:t>
            </w:r>
          </w:p>
        </w:tc>
      </w:tr>
      <w:tr w:rsidR="00855CB7" w14:paraId="79C77F33" w14:textId="77777777" w:rsidTr="00F4437F">
        <w:tc>
          <w:tcPr>
            <w:tcW w:w="1890" w:type="dxa"/>
            <w:vAlign w:val="center"/>
          </w:tcPr>
          <w:p w14:paraId="04C11109" w14:textId="77777777" w:rsidR="00855CB7" w:rsidRDefault="00855CB7" w:rsidP="00F4437F">
            <w:pPr>
              <w:pStyle w:val="TableText"/>
              <w:rPr>
                <w:lang w:val="en-CA"/>
              </w:rPr>
            </w:pPr>
            <w:r>
              <w:rPr>
                <w:lang w:val="en-CA"/>
              </w:rPr>
              <w:t>Solid vertical line</w:t>
            </w:r>
          </w:p>
        </w:tc>
        <w:tc>
          <w:tcPr>
            <w:tcW w:w="7038" w:type="dxa"/>
            <w:vAlign w:val="center"/>
          </w:tcPr>
          <w:p w14:paraId="7DB73DB7" w14:textId="77777777" w:rsidR="00855CB7" w:rsidRDefault="00855CB7" w:rsidP="00F4437F">
            <w:pPr>
              <w:pStyle w:val="TableText"/>
              <w:rPr>
                <w:lang w:val="en-CA"/>
              </w:rPr>
            </w:pPr>
            <w:r>
              <w:rPr>
                <w:lang w:val="en-CA"/>
              </w:rPr>
              <w:t>Shows linkage between tasks</w:t>
            </w:r>
          </w:p>
        </w:tc>
      </w:tr>
      <w:tr w:rsidR="00855CB7" w14:paraId="481C2D06" w14:textId="77777777" w:rsidTr="00F4437F">
        <w:tc>
          <w:tcPr>
            <w:tcW w:w="1890" w:type="dxa"/>
            <w:vAlign w:val="center"/>
          </w:tcPr>
          <w:p w14:paraId="7567D31E" w14:textId="77777777" w:rsidR="00855CB7" w:rsidRDefault="00855CB7" w:rsidP="00F4437F">
            <w:pPr>
              <w:pStyle w:val="TableText"/>
              <w:rPr>
                <w:lang w:val="en-CA"/>
              </w:rPr>
            </w:pPr>
            <w:r>
              <w:rPr>
                <w:lang w:val="en-CA"/>
              </w:rPr>
              <w:t>Broken line</w:t>
            </w:r>
          </w:p>
        </w:tc>
        <w:tc>
          <w:tcPr>
            <w:tcW w:w="7038" w:type="dxa"/>
            <w:vAlign w:val="center"/>
          </w:tcPr>
          <w:p w14:paraId="2B1B0F06" w14:textId="77777777" w:rsidR="00855CB7" w:rsidRDefault="00855CB7" w:rsidP="00F4437F">
            <w:pPr>
              <w:pStyle w:val="TableText"/>
              <w:rPr>
                <w:lang w:val="en-CA"/>
              </w:rPr>
            </w:pPr>
            <w:r>
              <w:rPr>
                <w:lang w:val="en-CA"/>
              </w:rPr>
              <w:t>Links trigger events and completion events to preceding or succeeding task</w:t>
            </w:r>
          </w:p>
        </w:tc>
      </w:tr>
    </w:tbl>
    <w:p w14:paraId="7BF822D5" w14:textId="77777777" w:rsidR="00855CB7" w:rsidRDefault="00855CB7">
      <w:pPr>
        <w:pStyle w:val="Heading2"/>
        <w:rPr>
          <w:lang w:val="en-CA"/>
        </w:rPr>
      </w:pPr>
      <w:bookmarkStart w:id="1310" w:name="_Toc479138119"/>
      <w:bookmarkStart w:id="1311" w:name="_Toc483275414"/>
      <w:bookmarkStart w:id="1312" w:name="_Toc32038443"/>
      <w:bookmarkStart w:id="1313" w:name="_Toc175383904"/>
      <w:bookmarkStart w:id="1314" w:name="_Toc400369530"/>
      <w:bookmarkStart w:id="1315" w:name="_Toc35796368"/>
      <w:bookmarkStart w:id="1316" w:name="_Toc79657971"/>
      <w:r>
        <w:rPr>
          <w:lang w:val="en-CA"/>
        </w:rPr>
        <w:t>Preliminary Settlement Statements</w:t>
      </w:r>
      <w:bookmarkEnd w:id="1310"/>
      <w:bookmarkEnd w:id="1311"/>
      <w:bookmarkEnd w:id="1312"/>
      <w:bookmarkEnd w:id="1313"/>
      <w:bookmarkEnd w:id="1314"/>
      <w:bookmarkEnd w:id="1315"/>
      <w:bookmarkEnd w:id="1316"/>
    </w:p>
    <w:p w14:paraId="795D358B" w14:textId="77777777" w:rsidR="00855CB7" w:rsidRDefault="00855CB7">
      <w:pPr>
        <w:pStyle w:val="BodyText"/>
        <w:rPr>
          <w:lang w:val="en-CA"/>
        </w:rPr>
      </w:pPr>
      <w:r>
        <w:rPr>
          <w:lang w:val="en-CA"/>
        </w:rPr>
        <w:t xml:space="preserve">Each </w:t>
      </w:r>
      <w:r>
        <w:rPr>
          <w:i/>
          <w:lang w:val="en-CA"/>
        </w:rPr>
        <w:t>business day</w:t>
      </w:r>
      <w:r>
        <w:rPr>
          <w:lang w:val="en-CA"/>
        </w:rPr>
        <w:t xml:space="preserve"> (10 </w:t>
      </w:r>
      <w:r>
        <w:rPr>
          <w:i/>
          <w:lang w:val="en-CA"/>
        </w:rPr>
        <w:t>business days</w:t>
      </w:r>
      <w:r>
        <w:rPr>
          <w:lang w:val="en-CA"/>
        </w:rPr>
        <w:t xml:space="preserve"> after each </w:t>
      </w:r>
      <w:r>
        <w:rPr>
          <w:i/>
          <w:lang w:val="en-CA"/>
        </w:rPr>
        <w:t>trading day</w:t>
      </w:r>
      <w:r>
        <w:rPr>
          <w:lang w:val="en-CA"/>
        </w:rPr>
        <w:t xml:space="preserve"> in the </w:t>
      </w:r>
      <w:r>
        <w:rPr>
          <w:i/>
          <w:lang w:val="en-CA"/>
        </w:rPr>
        <w:t>physical markets</w:t>
      </w:r>
      <w:r>
        <w:rPr>
          <w:lang w:val="en-CA"/>
        </w:rPr>
        <w:t xml:space="preserve"> in accordance with the </w:t>
      </w:r>
      <w:r>
        <w:rPr>
          <w:i/>
          <w:lang w:val="en-CA"/>
        </w:rPr>
        <w:t>SSPC</w:t>
      </w:r>
      <w:r>
        <w:rPr>
          <w:lang w:val="en-CA"/>
        </w:rPr>
        <w:t xml:space="preserve">), </w:t>
      </w:r>
      <w:r w:rsidR="004B048E">
        <w:rPr>
          <w:lang w:val="en-CA"/>
        </w:rPr>
        <w:t>our</w:t>
      </w:r>
      <w:r>
        <w:rPr>
          <w:lang w:val="en-CA"/>
        </w:rPr>
        <w:t xml:space="preserve"> Commercial Reconciliation System generate</w:t>
      </w:r>
      <w:r w:rsidR="004B048E">
        <w:rPr>
          <w:lang w:val="en-CA"/>
        </w:rPr>
        <w:t>s</w:t>
      </w:r>
      <w:r>
        <w:rPr>
          <w:lang w:val="en-CA"/>
        </w:rPr>
        <w:t xml:space="preserve"> the </w:t>
      </w:r>
      <w:r>
        <w:rPr>
          <w:i/>
          <w:lang w:val="en-CA"/>
        </w:rPr>
        <w:t>preliminary settlement statement</w:t>
      </w:r>
      <w:r>
        <w:rPr>
          <w:lang w:val="en-CA"/>
        </w:rPr>
        <w:t xml:space="preserve"> for that </w:t>
      </w:r>
      <w:r>
        <w:rPr>
          <w:i/>
          <w:lang w:val="en-CA"/>
        </w:rPr>
        <w:t>trading day</w:t>
      </w:r>
      <w:r>
        <w:rPr>
          <w:lang w:val="en-CA"/>
        </w:rPr>
        <w:t xml:space="preserve">.  The steps in the following diagram describe </w:t>
      </w:r>
      <w:r w:rsidR="004B048E">
        <w:rPr>
          <w:lang w:val="en-CA"/>
        </w:rPr>
        <w:t>how we issue the</w:t>
      </w:r>
      <w:r>
        <w:rPr>
          <w:lang w:val="en-CA"/>
        </w:rPr>
        <w:t xml:space="preserve"> </w:t>
      </w:r>
      <w:r>
        <w:rPr>
          <w:i/>
          <w:lang w:val="en-CA"/>
        </w:rPr>
        <w:t>preliminary settlement statement</w:t>
      </w:r>
      <w:r>
        <w:rPr>
          <w:lang w:val="en-CA"/>
        </w:rPr>
        <w:t xml:space="preserve">, and the process </w:t>
      </w:r>
      <w:r w:rsidRPr="004B048E">
        <w:rPr>
          <w:lang w:val="en-CA"/>
        </w:rPr>
        <w:t xml:space="preserve">for </w:t>
      </w:r>
      <w:r w:rsidR="004B048E" w:rsidRPr="004B048E">
        <w:rPr>
          <w:lang w:val="en-CA"/>
        </w:rPr>
        <w:t>you</w:t>
      </w:r>
      <w:r>
        <w:rPr>
          <w:lang w:val="en-CA"/>
        </w:rPr>
        <w:t xml:space="preserve"> to review and submit a </w:t>
      </w:r>
      <w:r>
        <w:rPr>
          <w:i/>
          <w:lang w:val="en-CA"/>
        </w:rPr>
        <w:t>notice of disagreement</w:t>
      </w:r>
      <w:r>
        <w:rPr>
          <w:lang w:val="en-CA"/>
        </w:rPr>
        <w:t xml:space="preserve"> to </w:t>
      </w:r>
      <w:r w:rsidR="004B048E">
        <w:rPr>
          <w:lang w:val="en-CA"/>
        </w:rPr>
        <w:t>us</w:t>
      </w:r>
      <w:r>
        <w:rPr>
          <w:lang w:val="en-CA"/>
        </w:rPr>
        <w:t xml:space="preserve"> regarding the statement.</w:t>
      </w:r>
    </w:p>
    <w:p w14:paraId="07DC128E" w14:textId="77777777" w:rsidR="00855CB7" w:rsidRDefault="00855CB7">
      <w:pPr>
        <w:pStyle w:val="BodyText"/>
        <w:rPr>
          <w:lang w:val="en-CA"/>
        </w:rPr>
      </w:pPr>
      <w:r>
        <w:rPr>
          <w:lang w:val="en-CA"/>
        </w:rPr>
        <w:t>Figure 2-1 is described in detail in Section 3.1, Table 3-1.</w:t>
      </w:r>
    </w:p>
    <w:p w14:paraId="20C08B35" w14:textId="74076F19" w:rsidR="00855CB7" w:rsidRDefault="00813208">
      <w:pPr>
        <w:pStyle w:val="Figure"/>
        <w:spacing w:before="0" w:after="0"/>
        <w:rPr>
          <w:noProof w:val="0"/>
          <w:sz w:val="6"/>
          <w:lang w:val="en-CA"/>
        </w:rPr>
      </w:pPr>
      <w:r w:rsidRPr="00813208">
        <w:rPr>
          <w:lang w:val="en-CA"/>
        </w:rPr>
        <w:t xml:space="preserve"> </w:t>
      </w:r>
      <w:r>
        <w:rPr>
          <w:lang w:val="en-CA"/>
        </w:rPr>
        <w:drawing>
          <wp:inline distT="0" distB="0" distL="0" distR="0" wp14:anchorId="50CD5BD9" wp14:editId="737B6D89">
            <wp:extent cx="5715000" cy="7456805"/>
            <wp:effectExtent l="0" t="0" r="0" b="0"/>
            <wp:docPr id="4" name="Picture 4" descr="Diagram of the Work flow for Preliminary Settlement Statements" title="Diagram of the Work flow for Preliminary Settlement 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15000" cy="7456805"/>
                    </a:xfrm>
                    <a:prstGeom prst="rect">
                      <a:avLst/>
                    </a:prstGeom>
                  </pic:spPr>
                </pic:pic>
              </a:graphicData>
            </a:graphic>
          </wp:inline>
        </w:drawing>
      </w:r>
    </w:p>
    <w:p w14:paraId="15A93DE2" w14:textId="77777777" w:rsidR="00855CB7" w:rsidRDefault="00855CB7">
      <w:pPr>
        <w:pStyle w:val="FigureCaption"/>
        <w:rPr>
          <w:lang w:val="en-CA"/>
        </w:rPr>
      </w:pPr>
      <w:bookmarkStart w:id="1317" w:name="_Toc175639712"/>
      <w:bookmarkStart w:id="1318" w:name="_Toc400369570"/>
      <w:bookmarkStart w:id="1319" w:name="_Toc400371931"/>
      <w:bookmarkStart w:id="1320" w:name="_Toc35796403"/>
      <w:bookmarkStart w:id="1321" w:name="_Toc79657876"/>
      <w:r>
        <w:rPr>
          <w:lang w:val="en-CA"/>
        </w:rPr>
        <w:t xml:space="preserve">Figure 2–1: </w:t>
      </w:r>
      <w:r w:rsidR="00240F34">
        <w:rPr>
          <w:lang w:val="en-CA"/>
        </w:rPr>
        <w:t xml:space="preserve"> </w:t>
      </w:r>
      <w:r>
        <w:rPr>
          <w:lang w:val="en-CA"/>
        </w:rPr>
        <w:t xml:space="preserve">Work </w:t>
      </w:r>
      <w:r w:rsidR="00914133">
        <w:rPr>
          <w:lang w:val="en-CA"/>
        </w:rPr>
        <w:t>f</w:t>
      </w:r>
      <w:r>
        <w:rPr>
          <w:lang w:val="en-CA"/>
        </w:rPr>
        <w:t>low for Preliminary Settlement Statements</w:t>
      </w:r>
      <w:bookmarkEnd w:id="1317"/>
      <w:bookmarkEnd w:id="1318"/>
      <w:bookmarkEnd w:id="1319"/>
      <w:bookmarkEnd w:id="1320"/>
      <w:bookmarkEnd w:id="1321"/>
    </w:p>
    <w:p w14:paraId="18B7C179" w14:textId="5C3DFF67" w:rsidR="00855CB7" w:rsidRDefault="00B5101B">
      <w:pPr>
        <w:pStyle w:val="Figure"/>
        <w:rPr>
          <w:noProof w:val="0"/>
          <w:lang w:val="en-CA"/>
        </w:rPr>
      </w:pPr>
      <w:r w:rsidRPr="00B5101B">
        <w:rPr>
          <w:lang w:val="en-CA"/>
        </w:rPr>
        <w:t xml:space="preserve"> </w:t>
      </w:r>
      <w:r>
        <w:rPr>
          <w:lang w:val="en-CA"/>
        </w:rPr>
        <w:drawing>
          <wp:inline distT="0" distB="0" distL="0" distR="0" wp14:anchorId="5C802FAC" wp14:editId="17C1E48D">
            <wp:extent cx="5715000" cy="7201535"/>
            <wp:effectExtent l="0" t="0" r="0" b="0"/>
            <wp:docPr id="5" name="Picture 5" descr="Continued Diagram of the Work flow for Preliminary Settlement Stateme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715000" cy="7201535"/>
                    </a:xfrm>
                    <a:prstGeom prst="rect">
                      <a:avLst/>
                    </a:prstGeom>
                  </pic:spPr>
                </pic:pic>
              </a:graphicData>
            </a:graphic>
          </wp:inline>
        </w:drawing>
      </w:r>
    </w:p>
    <w:p w14:paraId="5C86058A" w14:textId="77777777" w:rsidR="00855CB7" w:rsidRDefault="00855CB7">
      <w:pPr>
        <w:pStyle w:val="FigureCaption"/>
        <w:rPr>
          <w:b w:val="0"/>
          <w:lang w:val="en-CA"/>
        </w:rPr>
      </w:pPr>
      <w:bookmarkStart w:id="1322" w:name="_Toc175639713"/>
      <w:bookmarkStart w:id="1323" w:name="_Toc400369571"/>
      <w:bookmarkStart w:id="1324" w:name="_Toc400371932"/>
      <w:bookmarkStart w:id="1325" w:name="_Toc35796404"/>
      <w:bookmarkStart w:id="1326" w:name="_Toc79657877"/>
      <w:r>
        <w:rPr>
          <w:lang w:val="en-CA"/>
        </w:rPr>
        <w:t xml:space="preserve">Figure 2–1: </w:t>
      </w:r>
      <w:r w:rsidR="001D0D3D">
        <w:rPr>
          <w:lang w:val="en-CA"/>
        </w:rPr>
        <w:t xml:space="preserve"> </w:t>
      </w:r>
      <w:r>
        <w:rPr>
          <w:lang w:val="en-CA"/>
        </w:rPr>
        <w:t xml:space="preserve">Work </w:t>
      </w:r>
      <w:r w:rsidR="00914133">
        <w:rPr>
          <w:lang w:val="en-CA"/>
        </w:rPr>
        <w:t>f</w:t>
      </w:r>
      <w:r>
        <w:rPr>
          <w:lang w:val="en-CA"/>
        </w:rPr>
        <w:t>low for Preliminary Settlement Statements</w:t>
      </w:r>
      <w:r>
        <w:rPr>
          <w:b w:val="0"/>
          <w:lang w:val="en-CA"/>
        </w:rPr>
        <w:t xml:space="preserve"> (continued)</w:t>
      </w:r>
      <w:bookmarkEnd w:id="1322"/>
      <w:bookmarkEnd w:id="1323"/>
      <w:bookmarkEnd w:id="1324"/>
      <w:bookmarkEnd w:id="1325"/>
      <w:bookmarkEnd w:id="1326"/>
    </w:p>
    <w:p w14:paraId="1C8F5D05" w14:textId="77777777" w:rsidR="00855CB7" w:rsidRDefault="00855CB7" w:rsidP="0054169E">
      <w:pPr>
        <w:pStyle w:val="Heading2"/>
        <w:spacing w:before="240"/>
        <w:rPr>
          <w:lang w:val="en-CA"/>
        </w:rPr>
      </w:pPr>
      <w:bookmarkStart w:id="1327" w:name="_Toc32038444"/>
      <w:r>
        <w:rPr>
          <w:rFonts w:ascii="Times New Roman" w:hAnsi="Times New Roman"/>
          <w:b w:val="0"/>
          <w:sz w:val="22"/>
          <w:lang w:val="en-CA"/>
        </w:rPr>
        <w:br w:type="page"/>
      </w:r>
      <w:bookmarkStart w:id="1328" w:name="_Toc175383905"/>
      <w:bookmarkStart w:id="1329" w:name="_Toc400369531"/>
      <w:bookmarkStart w:id="1330" w:name="_Toc35796369"/>
      <w:bookmarkStart w:id="1331" w:name="_Toc79657972"/>
      <w:r>
        <w:rPr>
          <w:lang w:val="en-CA"/>
        </w:rPr>
        <w:t>Retrieving Final Settlement Statements</w:t>
      </w:r>
      <w:bookmarkEnd w:id="1327"/>
      <w:bookmarkEnd w:id="1328"/>
      <w:bookmarkEnd w:id="1329"/>
      <w:bookmarkEnd w:id="1330"/>
      <w:bookmarkEnd w:id="1331"/>
    </w:p>
    <w:p w14:paraId="42F05325" w14:textId="77777777" w:rsidR="00855CB7" w:rsidRDefault="00855CB7">
      <w:pPr>
        <w:pStyle w:val="BodyText"/>
        <w:rPr>
          <w:lang w:val="en-CA"/>
        </w:rPr>
      </w:pPr>
      <w:r>
        <w:rPr>
          <w:lang w:val="en-CA"/>
        </w:rPr>
        <w:t xml:space="preserve">Each </w:t>
      </w:r>
      <w:r>
        <w:rPr>
          <w:i/>
          <w:lang w:val="en-CA"/>
        </w:rPr>
        <w:t>business day</w:t>
      </w:r>
      <w:r>
        <w:rPr>
          <w:lang w:val="en-CA"/>
        </w:rPr>
        <w:t xml:space="preserve">, in accordance with the </w:t>
      </w:r>
      <w:r>
        <w:rPr>
          <w:i/>
          <w:lang w:val="en-CA"/>
        </w:rPr>
        <w:t>SSPC</w:t>
      </w:r>
      <w:r>
        <w:rPr>
          <w:lang w:val="en-CA"/>
        </w:rPr>
        <w:t xml:space="preserve">, </w:t>
      </w:r>
      <w:r w:rsidR="004B048E">
        <w:rPr>
          <w:lang w:val="en-CA"/>
        </w:rPr>
        <w:t>our</w:t>
      </w:r>
      <w:r>
        <w:rPr>
          <w:i/>
          <w:lang w:val="en-CA"/>
        </w:rPr>
        <w:t xml:space="preserve"> </w:t>
      </w:r>
      <w:r>
        <w:rPr>
          <w:lang w:val="en-CA"/>
        </w:rPr>
        <w:t xml:space="preserve">Commercial Reconciliation System generates a </w:t>
      </w:r>
      <w:r>
        <w:rPr>
          <w:i/>
          <w:lang w:val="en-CA"/>
        </w:rPr>
        <w:t>final settlement statement</w:t>
      </w:r>
      <w:r>
        <w:rPr>
          <w:lang w:val="en-CA"/>
        </w:rPr>
        <w:t xml:space="preserve"> for a </w:t>
      </w:r>
      <w:r>
        <w:rPr>
          <w:i/>
          <w:lang w:val="en-CA"/>
        </w:rPr>
        <w:t>trading day</w:t>
      </w:r>
      <w:r>
        <w:rPr>
          <w:lang w:val="en-CA"/>
        </w:rPr>
        <w:t xml:space="preserve"> in the </w:t>
      </w:r>
      <w:r>
        <w:rPr>
          <w:i/>
          <w:lang w:val="en-CA"/>
        </w:rPr>
        <w:t>physical markets</w:t>
      </w:r>
      <w:r>
        <w:rPr>
          <w:lang w:val="en-CA"/>
        </w:rPr>
        <w:t xml:space="preserve">.  The </w:t>
      </w:r>
      <w:r>
        <w:rPr>
          <w:i/>
          <w:lang w:val="en-CA"/>
        </w:rPr>
        <w:t>final settlement statement</w:t>
      </w:r>
      <w:r>
        <w:rPr>
          <w:lang w:val="en-CA"/>
        </w:rPr>
        <w:t xml:space="preserve"> contains all of the</w:t>
      </w:r>
      <w:r w:rsidRPr="00E93F81">
        <w:rPr>
          <w:lang w:val="en-CA"/>
        </w:rPr>
        <w:t xml:space="preserve"> </w:t>
      </w:r>
      <w:r w:rsidR="00DC0E09" w:rsidRPr="00DC0E09">
        <w:rPr>
          <w:i/>
          <w:lang w:val="en-CA"/>
        </w:rPr>
        <w:t>settlement</w:t>
      </w:r>
      <w:r>
        <w:rPr>
          <w:lang w:val="en-CA"/>
        </w:rPr>
        <w:t xml:space="preserve"> line items provided in the </w:t>
      </w:r>
      <w:r>
        <w:rPr>
          <w:i/>
          <w:lang w:val="en-CA"/>
        </w:rPr>
        <w:t>preliminary settlement statement</w:t>
      </w:r>
      <w:r>
        <w:rPr>
          <w:lang w:val="en-CA"/>
        </w:rPr>
        <w:t xml:space="preserve"> plus any adjustment line items to the </w:t>
      </w:r>
      <w:r w:rsidRPr="00E93F81">
        <w:rPr>
          <w:i/>
          <w:lang w:val="en-CA"/>
        </w:rPr>
        <w:t xml:space="preserve">preliminary </w:t>
      </w:r>
      <w:r w:rsidR="00E93F81" w:rsidRPr="00E93F81">
        <w:rPr>
          <w:i/>
          <w:lang w:val="en-CA"/>
        </w:rPr>
        <w:t xml:space="preserve">settlement </w:t>
      </w:r>
      <w:r w:rsidRPr="00E93F81">
        <w:rPr>
          <w:i/>
          <w:lang w:val="en-CA"/>
        </w:rPr>
        <w:t>statement</w:t>
      </w:r>
      <w:r>
        <w:rPr>
          <w:lang w:val="en-CA"/>
        </w:rPr>
        <w:t xml:space="preserve">.  The steps in Figure 2-2 illustrate the process involving issuing and receiving the </w:t>
      </w:r>
      <w:r>
        <w:rPr>
          <w:i/>
          <w:lang w:val="en-CA"/>
        </w:rPr>
        <w:t>final settlement statement</w:t>
      </w:r>
      <w:r>
        <w:rPr>
          <w:lang w:val="en-CA"/>
        </w:rPr>
        <w:t>, and are described in detail in Section 3.2, Table 3-2.</w:t>
      </w:r>
    </w:p>
    <w:p w14:paraId="18B2937A" w14:textId="517BECDB" w:rsidR="00855CB7" w:rsidRDefault="00B5101B">
      <w:pPr>
        <w:pStyle w:val="Figure"/>
        <w:rPr>
          <w:noProof w:val="0"/>
          <w:lang w:val="en-CA"/>
        </w:rPr>
      </w:pPr>
      <w:r w:rsidRPr="00B5101B">
        <w:rPr>
          <w:lang w:val="en-CA"/>
        </w:rPr>
        <w:t xml:space="preserve"> </w:t>
      </w:r>
      <w:r>
        <w:rPr>
          <w:lang w:val="en-CA"/>
        </w:rPr>
        <w:drawing>
          <wp:inline distT="0" distB="0" distL="0" distR="0" wp14:anchorId="3FD314AC" wp14:editId="1B8B61B6">
            <wp:extent cx="5715000" cy="5994400"/>
            <wp:effectExtent l="0" t="0" r="0" b="6350"/>
            <wp:docPr id="17" name="Picture 17" descr="Diagram of the Work flow for Retrieving Final Settlement 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715000" cy="5994400"/>
                    </a:xfrm>
                    <a:prstGeom prst="rect">
                      <a:avLst/>
                    </a:prstGeom>
                  </pic:spPr>
                </pic:pic>
              </a:graphicData>
            </a:graphic>
          </wp:inline>
        </w:drawing>
      </w:r>
    </w:p>
    <w:p w14:paraId="15D06B6A" w14:textId="77777777" w:rsidR="00855CB7" w:rsidRDefault="00855CB7">
      <w:pPr>
        <w:pStyle w:val="FigureCaption"/>
        <w:rPr>
          <w:lang w:val="en-CA"/>
        </w:rPr>
      </w:pPr>
      <w:bookmarkStart w:id="1332" w:name="_Toc175639714"/>
      <w:bookmarkStart w:id="1333" w:name="_Toc400369572"/>
      <w:bookmarkStart w:id="1334" w:name="_Toc400371933"/>
      <w:bookmarkStart w:id="1335" w:name="_Toc35796405"/>
      <w:bookmarkStart w:id="1336" w:name="_Toc79657878"/>
      <w:r>
        <w:rPr>
          <w:lang w:val="en-CA"/>
        </w:rPr>
        <w:t xml:space="preserve">Figure 2–2: </w:t>
      </w:r>
      <w:r w:rsidR="00240F34">
        <w:rPr>
          <w:lang w:val="en-CA"/>
        </w:rPr>
        <w:t xml:space="preserve"> </w:t>
      </w:r>
      <w:r>
        <w:rPr>
          <w:lang w:val="en-CA"/>
        </w:rPr>
        <w:t>Work flow for Retrieving Final Settlement Statements</w:t>
      </w:r>
      <w:bookmarkEnd w:id="1332"/>
      <w:bookmarkEnd w:id="1333"/>
      <w:bookmarkEnd w:id="1334"/>
      <w:bookmarkEnd w:id="1335"/>
      <w:bookmarkEnd w:id="1336"/>
    </w:p>
    <w:p w14:paraId="77B58EE8" w14:textId="0F1BC4C2" w:rsidR="00855CB7" w:rsidRDefault="00855CB7" w:rsidP="007B06D7">
      <w:pPr>
        <w:rPr>
          <w:lang w:val="en-CA"/>
        </w:rPr>
      </w:pPr>
      <w:bookmarkStart w:id="1337" w:name="_Toc32038445"/>
      <w:r>
        <w:rPr>
          <w:lang w:val="en-CA"/>
        </w:rPr>
        <w:br w:type="page"/>
      </w:r>
      <w:bookmarkStart w:id="1338" w:name="_Toc175383906"/>
      <w:bookmarkStart w:id="1339" w:name="_Toc400369532"/>
      <w:bookmarkStart w:id="1340" w:name="_Toc35796370"/>
      <w:r w:rsidR="00B95714">
        <w:rPr>
          <w:lang w:val="en-CA"/>
        </w:rPr>
        <w:t xml:space="preserve">Designating </w:t>
      </w:r>
      <w:r>
        <w:rPr>
          <w:lang w:val="en-CA"/>
        </w:rPr>
        <w:t xml:space="preserve">Facility for Generation Station Service </w:t>
      </w:r>
      <w:r w:rsidR="00CB6F67">
        <w:rPr>
          <w:lang w:val="en-CA"/>
        </w:rPr>
        <w:t xml:space="preserve">or Electricity Storage Station Service </w:t>
      </w:r>
      <w:r>
        <w:rPr>
          <w:lang w:val="en-CA"/>
        </w:rPr>
        <w:t>Rebate</w:t>
      </w:r>
      <w:bookmarkEnd w:id="1337"/>
      <w:bookmarkEnd w:id="1338"/>
      <w:bookmarkEnd w:id="1339"/>
      <w:bookmarkEnd w:id="1340"/>
    </w:p>
    <w:p w14:paraId="0B384C7A" w14:textId="6497088F" w:rsidR="00855CB7" w:rsidRDefault="00855CB7">
      <w:pPr>
        <w:pStyle w:val="BodyText"/>
        <w:rPr>
          <w:lang w:val="en-CA"/>
        </w:rPr>
      </w:pPr>
      <w:r>
        <w:rPr>
          <w:i/>
          <w:lang w:val="en-CA"/>
        </w:rPr>
        <w:t>Metered market participants</w:t>
      </w:r>
      <w:r>
        <w:rPr>
          <w:lang w:val="en-CA"/>
        </w:rPr>
        <w:t xml:space="preserve"> must apply for the designation of </w:t>
      </w:r>
      <w:r>
        <w:rPr>
          <w:i/>
          <w:lang w:val="en-CA"/>
        </w:rPr>
        <w:t>generation facility</w:t>
      </w:r>
      <w:r>
        <w:rPr>
          <w:lang w:val="en-CA"/>
        </w:rPr>
        <w:t xml:space="preserve"> </w:t>
      </w:r>
      <w:r w:rsidR="00610869" w:rsidRPr="004F258B">
        <w:rPr>
          <w:lang w:val="en-CA"/>
        </w:rPr>
        <w:t xml:space="preserve">or </w:t>
      </w:r>
      <w:r w:rsidR="00610869" w:rsidRPr="00A7405B">
        <w:rPr>
          <w:i/>
          <w:lang w:val="en-CA"/>
        </w:rPr>
        <w:t xml:space="preserve">electricity storage facility </w:t>
      </w:r>
      <w:r w:rsidR="00610869">
        <w:rPr>
          <w:lang w:val="en-CA"/>
        </w:rPr>
        <w:t xml:space="preserve">as eligible for the </w:t>
      </w:r>
      <w:r w:rsidR="00610869" w:rsidRPr="00C76927">
        <w:rPr>
          <w:lang w:val="en-CA"/>
        </w:rPr>
        <w:t>Generation Station Service</w:t>
      </w:r>
      <w:r w:rsidR="00610869">
        <w:rPr>
          <w:lang w:val="en-CA"/>
        </w:rPr>
        <w:t xml:space="preserve"> </w:t>
      </w:r>
      <w:r w:rsidR="00610869" w:rsidRPr="004F258B">
        <w:rPr>
          <w:lang w:val="en-CA"/>
        </w:rPr>
        <w:t xml:space="preserve">and </w:t>
      </w:r>
      <w:r w:rsidR="00610869" w:rsidRPr="00C76927">
        <w:rPr>
          <w:lang w:val="en-CA"/>
        </w:rPr>
        <w:t>Electricity Storage Station Service Rebate</w:t>
      </w:r>
      <w:r>
        <w:rPr>
          <w:lang w:val="en-CA"/>
        </w:rPr>
        <w:t xml:space="preserve">.  The steps in Figure 2-3 illustrate the process for designating a </w:t>
      </w:r>
      <w:r>
        <w:rPr>
          <w:i/>
          <w:lang w:val="en-CA"/>
        </w:rPr>
        <w:t>generation facility</w:t>
      </w:r>
      <w:r>
        <w:rPr>
          <w:lang w:val="en-CA"/>
        </w:rPr>
        <w:t xml:space="preserve"> </w:t>
      </w:r>
      <w:r w:rsidR="00610869">
        <w:rPr>
          <w:lang w:val="en-CA"/>
        </w:rPr>
        <w:t xml:space="preserve">or </w:t>
      </w:r>
      <w:r w:rsidR="00610869">
        <w:rPr>
          <w:i/>
          <w:lang w:val="en-CA"/>
        </w:rPr>
        <w:t xml:space="preserve">electricity storage facility </w:t>
      </w:r>
      <w:r w:rsidR="00610869">
        <w:rPr>
          <w:lang w:val="en-CA"/>
        </w:rPr>
        <w:t xml:space="preserve">as </w:t>
      </w:r>
      <w:r>
        <w:rPr>
          <w:lang w:val="en-CA"/>
        </w:rPr>
        <w:t xml:space="preserve">eligible for </w:t>
      </w:r>
      <w:r w:rsidRPr="00C76927">
        <w:rPr>
          <w:lang w:val="en-CA"/>
        </w:rPr>
        <w:t>Generation Station Service</w:t>
      </w:r>
      <w:r>
        <w:rPr>
          <w:i/>
          <w:lang w:val="en-CA"/>
        </w:rPr>
        <w:t xml:space="preserve"> </w:t>
      </w:r>
      <w:r>
        <w:rPr>
          <w:lang w:val="en-CA"/>
        </w:rPr>
        <w:t>Rebate</w:t>
      </w:r>
      <w:r w:rsidR="00610869" w:rsidRPr="00610869">
        <w:rPr>
          <w:lang w:val="en-CA"/>
        </w:rPr>
        <w:t xml:space="preserve"> </w:t>
      </w:r>
      <w:r w:rsidR="00610869">
        <w:rPr>
          <w:lang w:val="en-CA"/>
        </w:rPr>
        <w:t xml:space="preserve">or </w:t>
      </w:r>
      <w:r w:rsidR="00610869" w:rsidRPr="00C76927">
        <w:rPr>
          <w:lang w:val="en-CA"/>
        </w:rPr>
        <w:t>Electricity Storage Station Service Rebate</w:t>
      </w:r>
      <w:r>
        <w:rPr>
          <w:lang w:val="en-CA"/>
        </w:rPr>
        <w:t>, and are described in deta</w:t>
      </w:r>
      <w:r w:rsidR="00F14C8C">
        <w:rPr>
          <w:lang w:val="en-CA"/>
        </w:rPr>
        <w:t>il in Section </w:t>
      </w:r>
      <w:r>
        <w:rPr>
          <w:lang w:val="en-CA"/>
        </w:rPr>
        <w:t>3.3, Table 3-3.</w:t>
      </w:r>
    </w:p>
    <w:p w14:paraId="09DA90E8" w14:textId="1A3A709E" w:rsidR="005F0170" w:rsidRDefault="00B5101B" w:rsidP="0056454A">
      <w:pPr>
        <w:pStyle w:val="Figure"/>
        <w:rPr>
          <w:lang w:val="en-CA"/>
        </w:rPr>
      </w:pPr>
      <w:bookmarkStart w:id="1341" w:name="_Toc175639715"/>
      <w:r>
        <w:rPr>
          <w:lang w:val="en-CA"/>
        </w:rPr>
        <w:drawing>
          <wp:inline distT="0" distB="0" distL="0" distR="0" wp14:anchorId="36E71591" wp14:editId="575F77C8">
            <wp:extent cx="5715000" cy="5804535"/>
            <wp:effectExtent l="0" t="0" r="0" b="5715"/>
            <wp:docPr id="18" name="Picture 18" descr="Diagram of the Work flow for Designating Facility for Generation Station Service Reb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715000" cy="5804535"/>
                    </a:xfrm>
                    <a:prstGeom prst="rect">
                      <a:avLst/>
                    </a:prstGeom>
                  </pic:spPr>
                </pic:pic>
              </a:graphicData>
            </a:graphic>
          </wp:inline>
        </w:drawing>
      </w:r>
    </w:p>
    <w:p w14:paraId="20F5CAAE" w14:textId="77777777" w:rsidR="00397AEE" w:rsidRDefault="00BC35C1" w:rsidP="00397AEE">
      <w:pPr>
        <w:pStyle w:val="FigureCaption"/>
        <w:rPr>
          <w:lang w:val="en-CA"/>
        </w:rPr>
      </w:pPr>
      <w:bookmarkStart w:id="1342" w:name="_Toc400369573"/>
      <w:bookmarkStart w:id="1343" w:name="_Toc400371934"/>
      <w:bookmarkStart w:id="1344" w:name="_Toc35796406"/>
      <w:bookmarkStart w:id="1345" w:name="_Toc79657879"/>
      <w:r w:rsidRPr="00BC35C1">
        <w:rPr>
          <w:lang w:val="en-CA"/>
        </w:rPr>
        <w:t>Figure 2–3:  Work flow for Designating Facility for Generation Station Service Rebate</w:t>
      </w:r>
      <w:bookmarkEnd w:id="1341"/>
      <w:bookmarkEnd w:id="1342"/>
      <w:bookmarkEnd w:id="1343"/>
      <w:bookmarkEnd w:id="1344"/>
      <w:bookmarkEnd w:id="1345"/>
    </w:p>
    <w:p w14:paraId="106D4A1C" w14:textId="77777777" w:rsidR="00855CB7" w:rsidRDefault="00473A55" w:rsidP="000719EF">
      <w:pPr>
        <w:pStyle w:val="Heading2"/>
        <w:pageBreakBefore/>
        <w:rPr>
          <w:lang w:val="en-CA"/>
        </w:rPr>
      </w:pPr>
      <w:bookmarkStart w:id="1346" w:name="_Toc400369533"/>
      <w:bookmarkStart w:id="1347" w:name="_Toc35796371"/>
      <w:bookmarkStart w:id="1348" w:name="_Toc79657973"/>
      <w:r>
        <w:rPr>
          <w:lang w:val="en-CA"/>
        </w:rPr>
        <w:t>Intentionally Left Blank</w:t>
      </w:r>
      <w:bookmarkEnd w:id="1346"/>
      <w:bookmarkEnd w:id="1347"/>
      <w:bookmarkEnd w:id="1348"/>
    </w:p>
    <w:p w14:paraId="4BC0BFEE" w14:textId="77777777" w:rsidR="00855CB7" w:rsidRDefault="00855CB7">
      <w:pPr>
        <w:pStyle w:val="Figure"/>
        <w:rPr>
          <w:noProof w:val="0"/>
          <w:lang w:val="en-CA"/>
        </w:rPr>
      </w:pPr>
    </w:p>
    <w:p w14:paraId="781C4178" w14:textId="77777777" w:rsidR="001466C5" w:rsidRDefault="00855CB7">
      <w:pPr>
        <w:pStyle w:val="FigureCaption"/>
        <w:rPr>
          <w:lang w:val="en-CA"/>
        </w:rPr>
      </w:pPr>
      <w:bookmarkStart w:id="1349" w:name="_Toc175639716"/>
      <w:bookmarkStart w:id="1350" w:name="_Toc400369574"/>
      <w:bookmarkStart w:id="1351" w:name="_Toc400371935"/>
      <w:bookmarkStart w:id="1352" w:name="_Toc35796407"/>
      <w:bookmarkStart w:id="1353" w:name="_Toc79657880"/>
      <w:r>
        <w:rPr>
          <w:lang w:val="en-CA"/>
        </w:rPr>
        <w:t xml:space="preserve">Figure 2–4: </w:t>
      </w:r>
      <w:r w:rsidR="00240F34">
        <w:rPr>
          <w:lang w:val="en-CA"/>
        </w:rPr>
        <w:t xml:space="preserve"> </w:t>
      </w:r>
      <w:bookmarkEnd w:id="1349"/>
      <w:r w:rsidR="00386F46">
        <w:rPr>
          <w:lang w:val="en-CA"/>
        </w:rPr>
        <w:t>Intentionally Left Blank</w:t>
      </w:r>
      <w:bookmarkEnd w:id="1350"/>
      <w:bookmarkEnd w:id="1351"/>
      <w:bookmarkEnd w:id="1352"/>
      <w:bookmarkEnd w:id="1353"/>
    </w:p>
    <w:p w14:paraId="6F088CF4" w14:textId="77777777" w:rsidR="001466C5" w:rsidRDefault="001466C5">
      <w:pPr>
        <w:spacing w:after="0"/>
        <w:rPr>
          <w:b/>
          <w:snapToGrid w:val="0"/>
          <w:color w:val="000000"/>
          <w:lang w:val="en-CA" w:eastAsia="en-US"/>
        </w:rPr>
      </w:pPr>
      <w:r>
        <w:rPr>
          <w:lang w:val="en-CA"/>
        </w:rPr>
        <w:br w:type="page"/>
      </w:r>
    </w:p>
    <w:p w14:paraId="3614704A" w14:textId="399F0224" w:rsidR="00855CB7" w:rsidRDefault="00850222">
      <w:pPr>
        <w:pStyle w:val="Heading2"/>
        <w:rPr>
          <w:lang w:val="en-CA"/>
        </w:rPr>
      </w:pPr>
      <w:bookmarkStart w:id="1354" w:name="_Toc279760890"/>
      <w:bookmarkStart w:id="1355" w:name="_Toc282178300"/>
      <w:bookmarkStart w:id="1356" w:name="_Toc282493083"/>
      <w:bookmarkStart w:id="1357" w:name="_Toc282591446"/>
      <w:bookmarkStart w:id="1358" w:name="_Toc282592556"/>
      <w:bookmarkStart w:id="1359" w:name="_Toc282601370"/>
      <w:bookmarkStart w:id="1360" w:name="_Toc282684815"/>
      <w:bookmarkStart w:id="1361" w:name="_Toc282684983"/>
      <w:bookmarkStart w:id="1362" w:name="_Toc79657974"/>
      <w:bookmarkEnd w:id="1354"/>
      <w:bookmarkEnd w:id="1355"/>
      <w:bookmarkEnd w:id="1356"/>
      <w:bookmarkEnd w:id="1357"/>
      <w:bookmarkEnd w:id="1358"/>
      <w:bookmarkEnd w:id="1359"/>
      <w:bookmarkEnd w:id="1360"/>
      <w:bookmarkEnd w:id="1361"/>
      <w:r>
        <w:rPr>
          <w:lang w:val="en-CA"/>
        </w:rPr>
        <w:t>Intentionally Left Blank</w:t>
      </w:r>
      <w:bookmarkEnd w:id="1362"/>
    </w:p>
    <w:p w14:paraId="1E0B6150" w14:textId="12EF4C17" w:rsidR="00855CB7" w:rsidRDefault="00855CB7">
      <w:pPr>
        <w:pStyle w:val="Figure"/>
        <w:rPr>
          <w:noProof w:val="0"/>
          <w:lang w:val="en-CA"/>
        </w:rPr>
      </w:pPr>
    </w:p>
    <w:p w14:paraId="35A0EF0A" w14:textId="7CE448F7" w:rsidR="00855CB7" w:rsidRDefault="00855CB7">
      <w:pPr>
        <w:pStyle w:val="FigureCaption"/>
        <w:rPr>
          <w:lang w:val="en-CA"/>
        </w:rPr>
      </w:pPr>
      <w:bookmarkStart w:id="1363" w:name="_Toc175639717"/>
      <w:bookmarkStart w:id="1364" w:name="_Toc400369575"/>
      <w:bookmarkStart w:id="1365" w:name="_Toc400371936"/>
      <w:bookmarkStart w:id="1366" w:name="_Toc35796408"/>
      <w:bookmarkStart w:id="1367" w:name="_Toc79657881"/>
      <w:r>
        <w:rPr>
          <w:lang w:val="en-CA"/>
        </w:rPr>
        <w:t xml:space="preserve">Figure 2–5: </w:t>
      </w:r>
      <w:r w:rsidR="00240F34">
        <w:rPr>
          <w:lang w:val="en-CA"/>
        </w:rPr>
        <w:t xml:space="preserve"> </w:t>
      </w:r>
      <w:bookmarkEnd w:id="1363"/>
      <w:bookmarkEnd w:id="1364"/>
      <w:bookmarkEnd w:id="1365"/>
      <w:bookmarkEnd w:id="1366"/>
      <w:r w:rsidR="00850222">
        <w:rPr>
          <w:lang w:val="en-CA"/>
        </w:rPr>
        <w:t>Intentionally Left Blank</w:t>
      </w:r>
      <w:bookmarkEnd w:id="1367"/>
    </w:p>
    <w:p w14:paraId="79FF1637" w14:textId="3625D4A5" w:rsidR="00274BEB" w:rsidRDefault="00855CB7">
      <w:pPr>
        <w:pStyle w:val="Heading2"/>
        <w:spacing w:before="360"/>
        <w:rPr>
          <w:lang w:val="en-CA"/>
        </w:rPr>
      </w:pPr>
      <w:r>
        <w:rPr>
          <w:lang w:val="en-CA"/>
        </w:rPr>
        <w:br w:type="page"/>
      </w:r>
      <w:bookmarkStart w:id="1368" w:name="_Toc79657975"/>
      <w:r w:rsidR="00850222">
        <w:rPr>
          <w:lang w:val="en-CA"/>
        </w:rPr>
        <w:t>Intentionally Left Blank</w:t>
      </w:r>
      <w:bookmarkEnd w:id="1368"/>
    </w:p>
    <w:p w14:paraId="1E99F36E" w14:textId="1007BB5D" w:rsidR="00855CB7" w:rsidRDefault="00855CB7">
      <w:pPr>
        <w:pStyle w:val="Figure"/>
        <w:rPr>
          <w:noProof w:val="0"/>
          <w:lang w:val="en-CA"/>
        </w:rPr>
      </w:pPr>
    </w:p>
    <w:p w14:paraId="131C759E" w14:textId="1A7D64F0" w:rsidR="00855CB7" w:rsidRDefault="00855CB7">
      <w:pPr>
        <w:pStyle w:val="FigureCaption"/>
        <w:rPr>
          <w:lang w:val="en-CA"/>
        </w:rPr>
      </w:pPr>
      <w:bookmarkStart w:id="1369" w:name="_Toc175639718"/>
      <w:bookmarkStart w:id="1370" w:name="_Toc400369576"/>
      <w:bookmarkStart w:id="1371" w:name="_Toc400371937"/>
      <w:bookmarkStart w:id="1372" w:name="_Toc35796409"/>
      <w:bookmarkStart w:id="1373" w:name="_Toc79657882"/>
      <w:r>
        <w:rPr>
          <w:lang w:val="en-CA"/>
        </w:rPr>
        <w:t>Figure 2–</w:t>
      </w:r>
      <w:r w:rsidR="001466C5">
        <w:rPr>
          <w:lang w:val="en-CA"/>
        </w:rPr>
        <w:t>6</w:t>
      </w:r>
      <w:r>
        <w:rPr>
          <w:lang w:val="en-CA"/>
        </w:rPr>
        <w:t xml:space="preserve">: </w:t>
      </w:r>
      <w:r w:rsidR="00240F34">
        <w:rPr>
          <w:lang w:val="en-CA"/>
        </w:rPr>
        <w:t xml:space="preserve"> </w:t>
      </w:r>
      <w:bookmarkEnd w:id="1369"/>
      <w:bookmarkEnd w:id="1370"/>
      <w:bookmarkEnd w:id="1371"/>
      <w:bookmarkEnd w:id="1372"/>
      <w:r w:rsidR="00850222">
        <w:rPr>
          <w:lang w:val="en-CA"/>
        </w:rPr>
        <w:t>Intentionally Left Blank</w:t>
      </w:r>
      <w:bookmarkEnd w:id="1373"/>
    </w:p>
    <w:p w14:paraId="45D8D9C8" w14:textId="77777777" w:rsidR="007303F3" w:rsidRDefault="00855CB7">
      <w:pPr>
        <w:pStyle w:val="Heading2"/>
        <w:spacing w:before="360"/>
        <w:rPr>
          <w:lang w:val="en-CA"/>
        </w:rPr>
      </w:pPr>
      <w:r>
        <w:rPr>
          <w:lang w:val="en-CA"/>
        </w:rPr>
        <w:br w:type="page"/>
      </w:r>
      <w:bookmarkStart w:id="1374" w:name="_Toc35796374"/>
      <w:bookmarkStart w:id="1375" w:name="_Toc79657976"/>
      <w:bookmarkStart w:id="1376" w:name="_Toc32038449"/>
      <w:bookmarkStart w:id="1377" w:name="_Toc175383910"/>
      <w:bookmarkStart w:id="1378" w:name="_Toc400369536"/>
      <w:r w:rsidR="008650B9">
        <w:rPr>
          <w:lang w:val="en-CA"/>
        </w:rPr>
        <w:t>Intentionally Left Blank</w:t>
      </w:r>
      <w:bookmarkEnd w:id="1374"/>
      <w:bookmarkEnd w:id="1375"/>
    </w:p>
    <w:bookmarkEnd w:id="1376"/>
    <w:bookmarkEnd w:id="1377"/>
    <w:bookmarkEnd w:id="1378"/>
    <w:p w14:paraId="2C4B998F" w14:textId="77777777" w:rsidR="007303F3" w:rsidRDefault="007303F3" w:rsidP="007303F3">
      <w:pPr>
        <w:pStyle w:val="BodyText"/>
        <w:rPr>
          <w:lang w:val="en-CA"/>
        </w:rPr>
      </w:pPr>
    </w:p>
    <w:p w14:paraId="571B381A" w14:textId="017F9D28" w:rsidR="00E97313" w:rsidRDefault="00E97313" w:rsidP="00E97313">
      <w:pPr>
        <w:pStyle w:val="FigureCaption"/>
        <w:rPr>
          <w:snapToGrid/>
          <w:lang w:val="en-CA"/>
        </w:rPr>
      </w:pPr>
      <w:bookmarkStart w:id="1379" w:name="_Toc79657883"/>
      <w:r>
        <w:rPr>
          <w:snapToGrid/>
          <w:lang w:val="en-CA"/>
        </w:rPr>
        <w:t>Figure 2–7:  Intentionally Left Blank</w:t>
      </w:r>
      <w:bookmarkEnd w:id="1379"/>
    </w:p>
    <w:p w14:paraId="6B4ECF13" w14:textId="77777777" w:rsidR="007303F3" w:rsidRDefault="007303F3" w:rsidP="00F53E89">
      <w:pPr>
        <w:rPr>
          <w:lang w:val="en-CA"/>
        </w:rPr>
      </w:pPr>
    </w:p>
    <w:p w14:paraId="496AFAB9" w14:textId="77777777" w:rsidR="00F53E89" w:rsidRDefault="00F53E89" w:rsidP="007303F3">
      <w:pPr>
        <w:pStyle w:val="BodyText"/>
        <w:rPr>
          <w:lang w:val="en-CA"/>
        </w:rPr>
      </w:pPr>
    </w:p>
    <w:p w14:paraId="28215790" w14:textId="77777777" w:rsidR="007303F3" w:rsidRDefault="00855CB7" w:rsidP="007303F3">
      <w:pPr>
        <w:pStyle w:val="BodyText"/>
        <w:rPr>
          <w:b/>
          <w:lang w:val="en-CA"/>
        </w:rPr>
      </w:pPr>
      <w:bookmarkStart w:id="1380" w:name="_Toc32038450"/>
      <w:r>
        <w:rPr>
          <w:b/>
          <w:lang w:val="en-CA"/>
        </w:rPr>
        <w:br w:type="page"/>
      </w:r>
      <w:bookmarkStart w:id="1381" w:name="_Toc175383911"/>
      <w:bookmarkStart w:id="1382" w:name="_Toc400369537"/>
      <w:bookmarkEnd w:id="1380"/>
    </w:p>
    <w:p w14:paraId="2228E650" w14:textId="77777777" w:rsidR="00274BEB" w:rsidRDefault="009E472A" w:rsidP="007303F3">
      <w:pPr>
        <w:pStyle w:val="Heading2"/>
        <w:rPr>
          <w:lang w:val="en-CA"/>
        </w:rPr>
      </w:pPr>
      <w:bookmarkStart w:id="1383" w:name="_Toc35796375"/>
      <w:bookmarkStart w:id="1384" w:name="_Toc79657977"/>
      <w:r>
        <w:rPr>
          <w:lang w:val="en-CA"/>
        </w:rPr>
        <w:t>Intentionally Left Blank</w:t>
      </w:r>
      <w:bookmarkEnd w:id="1381"/>
      <w:bookmarkEnd w:id="1382"/>
      <w:bookmarkEnd w:id="1383"/>
      <w:bookmarkEnd w:id="1384"/>
    </w:p>
    <w:p w14:paraId="16184AFB" w14:textId="77777777" w:rsidR="000C09B4" w:rsidRDefault="000C09B4" w:rsidP="00353923">
      <w:pPr>
        <w:pStyle w:val="Figure"/>
        <w:jc w:val="left"/>
        <w:rPr>
          <w:noProof w:val="0"/>
          <w:lang w:val="en-CA"/>
        </w:rPr>
      </w:pPr>
    </w:p>
    <w:p w14:paraId="71A83313" w14:textId="77777777" w:rsidR="00855CB7" w:rsidRDefault="00855CB7">
      <w:pPr>
        <w:pStyle w:val="FigureCaption"/>
        <w:rPr>
          <w:snapToGrid/>
          <w:lang w:val="en-CA"/>
        </w:rPr>
      </w:pPr>
      <w:bookmarkStart w:id="1385" w:name="_Toc175639720"/>
      <w:bookmarkStart w:id="1386" w:name="_Toc400369578"/>
      <w:bookmarkStart w:id="1387" w:name="_Toc400371939"/>
      <w:bookmarkStart w:id="1388" w:name="_Toc35796410"/>
      <w:bookmarkStart w:id="1389" w:name="_Toc79657884"/>
      <w:r>
        <w:rPr>
          <w:snapToGrid/>
          <w:lang w:val="en-CA"/>
        </w:rPr>
        <w:t xml:space="preserve">Figure 2–8: </w:t>
      </w:r>
      <w:r w:rsidR="001A01BE">
        <w:rPr>
          <w:snapToGrid/>
          <w:lang w:val="en-CA"/>
        </w:rPr>
        <w:t xml:space="preserve"> </w:t>
      </w:r>
      <w:r w:rsidR="009E472A">
        <w:rPr>
          <w:snapToGrid/>
          <w:lang w:val="en-CA"/>
        </w:rPr>
        <w:t>Intentionally Left Blank</w:t>
      </w:r>
      <w:bookmarkEnd w:id="1385"/>
      <w:bookmarkEnd w:id="1386"/>
      <w:bookmarkEnd w:id="1387"/>
      <w:bookmarkEnd w:id="1388"/>
      <w:bookmarkEnd w:id="1389"/>
    </w:p>
    <w:p w14:paraId="5CBC45F4" w14:textId="77777777" w:rsidR="00274BEB" w:rsidRDefault="009E472A">
      <w:pPr>
        <w:pStyle w:val="Heading2"/>
        <w:spacing w:before="360"/>
        <w:rPr>
          <w:lang w:val="en-CA"/>
        </w:rPr>
      </w:pPr>
      <w:r>
        <w:rPr>
          <w:lang w:val="en-CA"/>
        </w:rPr>
        <w:br w:type="page"/>
      </w:r>
      <w:bookmarkStart w:id="1390" w:name="_Toc32038451"/>
      <w:bookmarkStart w:id="1391" w:name="_Toc175383912"/>
      <w:bookmarkStart w:id="1392" w:name="_Toc400369538"/>
      <w:bookmarkStart w:id="1393" w:name="_Toc35796376"/>
      <w:bookmarkStart w:id="1394" w:name="_Toc79657978"/>
      <w:r w:rsidR="00855CB7">
        <w:rPr>
          <w:lang w:val="en-CA"/>
        </w:rPr>
        <w:t>Declaration of Designated Consumer</w:t>
      </w:r>
      <w:bookmarkEnd w:id="1390"/>
      <w:bookmarkEnd w:id="1391"/>
      <w:bookmarkEnd w:id="1392"/>
      <w:bookmarkEnd w:id="1393"/>
      <w:bookmarkEnd w:id="1394"/>
    </w:p>
    <w:p w14:paraId="3DD48AC4" w14:textId="77777777" w:rsidR="00855CB7" w:rsidRDefault="00B95714">
      <w:pPr>
        <w:pStyle w:val="BodyText"/>
        <w:rPr>
          <w:lang w:val="en-CA"/>
        </w:rPr>
      </w:pPr>
      <w:r>
        <w:rPr>
          <w:lang w:val="en-CA"/>
        </w:rPr>
        <w:t>If you</w:t>
      </w:r>
      <w:r w:rsidR="00855CB7">
        <w:rPr>
          <w:lang w:val="en-CA"/>
        </w:rPr>
        <w:t xml:space="preserve"> meet the criteria for a ‘designated </w:t>
      </w:r>
      <w:r w:rsidR="00855CB7" w:rsidRPr="00323413">
        <w:rPr>
          <w:lang w:val="en-CA"/>
        </w:rPr>
        <w:t>consumer</w:t>
      </w:r>
      <w:r w:rsidR="00855CB7">
        <w:rPr>
          <w:lang w:val="en-CA"/>
        </w:rPr>
        <w:t>’, as defined in “Bill 4</w:t>
      </w:r>
      <w:r w:rsidR="0043469D">
        <w:rPr>
          <w:lang w:val="en-CA"/>
        </w:rPr>
        <w:t xml:space="preserve"> </w:t>
      </w:r>
      <w:r w:rsidR="00DA3379" w:rsidRPr="00DA3379">
        <w:rPr>
          <w:i/>
          <w:lang w:val="en-CA"/>
        </w:rPr>
        <w:t xml:space="preserve">An Act to amend the Ontario Energy Board Act 1998 with respect to </w:t>
      </w:r>
      <w:r w:rsidR="00C2447D" w:rsidRPr="0099695B">
        <w:rPr>
          <w:i/>
          <w:lang w:val="en-CA"/>
        </w:rPr>
        <w:t>energy</w:t>
      </w:r>
      <w:r w:rsidR="00DA3379" w:rsidRPr="00DA3379">
        <w:rPr>
          <w:i/>
          <w:lang w:val="en-CA"/>
        </w:rPr>
        <w:t xml:space="preserve"> pricing</w:t>
      </w:r>
      <w:r w:rsidR="001C5CFA">
        <w:rPr>
          <w:lang w:val="en-CA"/>
        </w:rPr>
        <w:t xml:space="preserve">” </w:t>
      </w:r>
      <w:r w:rsidR="00855CB7">
        <w:rPr>
          <w:lang w:val="en-CA"/>
        </w:rPr>
        <w:t xml:space="preserve">and </w:t>
      </w:r>
      <w:r w:rsidR="00855CB7" w:rsidRPr="007136F0">
        <w:rPr>
          <w:lang w:val="en-CA"/>
        </w:rPr>
        <w:t>regulations</w:t>
      </w:r>
      <w:r w:rsidR="00855CB7">
        <w:rPr>
          <w:lang w:val="en-CA"/>
        </w:rPr>
        <w:t xml:space="preserve">, </w:t>
      </w:r>
      <w:r>
        <w:rPr>
          <w:lang w:val="en-CA"/>
        </w:rPr>
        <w:t xml:space="preserve">you </w:t>
      </w:r>
      <w:r w:rsidR="00855CB7">
        <w:rPr>
          <w:lang w:val="en-CA"/>
        </w:rPr>
        <w:t xml:space="preserve">must make a declaration to </w:t>
      </w:r>
      <w:r>
        <w:rPr>
          <w:lang w:val="en-CA"/>
        </w:rPr>
        <w:t>us</w:t>
      </w:r>
      <w:r w:rsidR="00855CB7">
        <w:rPr>
          <w:i/>
          <w:lang w:val="en-CA"/>
        </w:rPr>
        <w:t>.</w:t>
      </w:r>
      <w:r w:rsidR="00855CB7">
        <w:rPr>
          <w:lang w:val="en-CA"/>
        </w:rPr>
        <w:t xml:space="preserve"> </w:t>
      </w:r>
      <w:r w:rsidR="007A20F5">
        <w:rPr>
          <w:lang w:val="en-CA"/>
        </w:rPr>
        <w:t xml:space="preserve"> </w:t>
      </w:r>
      <w:r w:rsidR="00855CB7">
        <w:rPr>
          <w:lang w:val="en-CA"/>
        </w:rPr>
        <w:t>The steps in Figure 2-</w:t>
      </w:r>
      <w:r w:rsidR="004F4D2C">
        <w:rPr>
          <w:lang w:val="en-CA"/>
        </w:rPr>
        <w:t>9</w:t>
      </w:r>
      <w:r w:rsidR="00473A55">
        <w:rPr>
          <w:lang w:val="en-CA"/>
        </w:rPr>
        <w:t xml:space="preserve"> </w:t>
      </w:r>
      <w:r w:rsidR="00855CB7">
        <w:rPr>
          <w:lang w:val="en-CA"/>
        </w:rPr>
        <w:t xml:space="preserve">illustrate the process for notifying </w:t>
      </w:r>
      <w:r>
        <w:rPr>
          <w:lang w:val="en-CA"/>
        </w:rPr>
        <w:t>us</w:t>
      </w:r>
      <w:r w:rsidR="00855CB7">
        <w:rPr>
          <w:lang w:val="en-CA"/>
        </w:rPr>
        <w:t xml:space="preserve"> of such an assignment(s) and are described in detail in Section 3.</w:t>
      </w:r>
      <w:r w:rsidR="004F4D2C">
        <w:rPr>
          <w:lang w:val="en-CA"/>
        </w:rPr>
        <w:t>9</w:t>
      </w:r>
      <w:r w:rsidR="00855CB7">
        <w:rPr>
          <w:lang w:val="en-CA"/>
        </w:rPr>
        <w:t>, Table 3-</w:t>
      </w:r>
      <w:r w:rsidR="004F4D2C">
        <w:rPr>
          <w:lang w:val="en-CA"/>
        </w:rPr>
        <w:t>9</w:t>
      </w:r>
      <w:r w:rsidR="00855CB7">
        <w:rPr>
          <w:lang w:val="en-CA"/>
        </w:rPr>
        <w:t>.</w:t>
      </w:r>
    </w:p>
    <w:p w14:paraId="1DDC54FA" w14:textId="10D57989" w:rsidR="00274BEB" w:rsidRDefault="00C96FA6" w:rsidP="0056454A">
      <w:pPr>
        <w:pStyle w:val="Figure"/>
        <w:rPr>
          <w:lang w:val="en-CA"/>
        </w:rPr>
      </w:pPr>
      <w:r w:rsidRPr="00C96FA6">
        <w:rPr>
          <w:lang w:val="en-CA"/>
        </w:rPr>
        <w:t xml:space="preserve"> </w:t>
      </w:r>
      <w:r>
        <w:rPr>
          <w:lang w:val="en-CA"/>
        </w:rPr>
        <w:drawing>
          <wp:inline distT="0" distB="0" distL="0" distR="0" wp14:anchorId="4C61F34E" wp14:editId="2BFB7CB1">
            <wp:extent cx="5703719" cy="6078416"/>
            <wp:effectExtent l="0" t="0" r="0" b="0"/>
            <wp:docPr id="20" name="Picture 20" descr="Diagram of the Work flow for Declaration of Designated Consu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730529" cy="6106987"/>
                    </a:xfrm>
                    <a:prstGeom prst="rect">
                      <a:avLst/>
                    </a:prstGeom>
                  </pic:spPr>
                </pic:pic>
              </a:graphicData>
            </a:graphic>
          </wp:inline>
        </w:drawing>
      </w:r>
    </w:p>
    <w:p w14:paraId="28B4B125" w14:textId="77777777" w:rsidR="0089505C" w:rsidRDefault="00855CB7">
      <w:pPr>
        <w:pStyle w:val="FigureCaption"/>
        <w:rPr>
          <w:lang w:val="en-CA"/>
        </w:rPr>
      </w:pPr>
      <w:bookmarkStart w:id="1395" w:name="_Toc175639721"/>
      <w:bookmarkStart w:id="1396" w:name="_Toc400369579"/>
      <w:bookmarkStart w:id="1397" w:name="_Toc400371940"/>
      <w:bookmarkStart w:id="1398" w:name="_Toc35796411"/>
      <w:bookmarkStart w:id="1399" w:name="_Toc79657885"/>
      <w:r>
        <w:rPr>
          <w:lang w:val="en-CA"/>
        </w:rPr>
        <w:t>Figure 2–</w:t>
      </w:r>
      <w:r w:rsidR="004F4D2C">
        <w:rPr>
          <w:lang w:val="en-CA"/>
        </w:rPr>
        <w:t>9</w:t>
      </w:r>
      <w:r>
        <w:rPr>
          <w:lang w:val="en-CA"/>
        </w:rPr>
        <w:t xml:space="preserve">: </w:t>
      </w:r>
      <w:r w:rsidR="001A01BE">
        <w:rPr>
          <w:lang w:val="en-CA"/>
        </w:rPr>
        <w:t xml:space="preserve"> </w:t>
      </w:r>
      <w:r>
        <w:rPr>
          <w:lang w:val="en-CA"/>
        </w:rPr>
        <w:t>Work flow for Declaration of Designated Consumer</w:t>
      </w:r>
      <w:bookmarkEnd w:id="1395"/>
      <w:bookmarkEnd w:id="1396"/>
      <w:bookmarkEnd w:id="1397"/>
      <w:bookmarkEnd w:id="1398"/>
      <w:bookmarkEnd w:id="1399"/>
    </w:p>
    <w:p w14:paraId="36FCA65E" w14:textId="77777777" w:rsidR="00855CB7" w:rsidRDefault="001C5CFA">
      <w:pPr>
        <w:pStyle w:val="Heading2"/>
        <w:rPr>
          <w:lang w:val="en-CA"/>
        </w:rPr>
      </w:pPr>
      <w:bookmarkStart w:id="1400" w:name="_Toc32038452"/>
      <w:bookmarkStart w:id="1401" w:name="_Toc175383913"/>
      <w:bookmarkStart w:id="1402" w:name="_Toc400369539"/>
      <w:bookmarkStart w:id="1403" w:name="_Toc35796377"/>
      <w:bookmarkStart w:id="1404" w:name="_Toc79657979"/>
      <w:r>
        <w:rPr>
          <w:lang w:val="en-CA"/>
        </w:rPr>
        <w:t>Intentionally Left Blank</w:t>
      </w:r>
      <w:bookmarkEnd w:id="1400"/>
      <w:bookmarkEnd w:id="1401"/>
      <w:bookmarkEnd w:id="1402"/>
      <w:bookmarkEnd w:id="1403"/>
      <w:bookmarkEnd w:id="1404"/>
    </w:p>
    <w:p w14:paraId="15873A65" w14:textId="77777777" w:rsidR="001C5CFA" w:rsidRDefault="001C5CFA" w:rsidP="001C5CFA">
      <w:pPr>
        <w:pStyle w:val="Figure"/>
        <w:jc w:val="left"/>
        <w:rPr>
          <w:snapToGrid w:val="0"/>
          <w:lang w:val="en-CA" w:eastAsia="en-US"/>
        </w:rPr>
      </w:pPr>
    </w:p>
    <w:p w14:paraId="7FD7EAC9" w14:textId="77777777" w:rsidR="001C5CFA" w:rsidRPr="001C5CFA" w:rsidRDefault="001C5CFA" w:rsidP="001C5CFA">
      <w:pPr>
        <w:pStyle w:val="FigureCaption"/>
        <w:jc w:val="left"/>
        <w:rPr>
          <w:lang w:val="en-CA"/>
        </w:rPr>
      </w:pPr>
    </w:p>
    <w:p w14:paraId="195726C5" w14:textId="77777777" w:rsidR="00D26199" w:rsidRDefault="00855CB7" w:rsidP="001C5CFA">
      <w:pPr>
        <w:pStyle w:val="FigureCaption"/>
        <w:rPr>
          <w:snapToGrid/>
          <w:lang w:val="en-CA"/>
        </w:rPr>
      </w:pPr>
      <w:bookmarkStart w:id="1405" w:name="_Toc400369580"/>
      <w:bookmarkStart w:id="1406" w:name="_Toc400371941"/>
      <w:bookmarkStart w:id="1407" w:name="_Toc35796412"/>
      <w:bookmarkStart w:id="1408" w:name="_Toc79657886"/>
      <w:bookmarkStart w:id="1409" w:name="_Toc175639722"/>
      <w:r>
        <w:rPr>
          <w:lang w:val="en-CA"/>
        </w:rPr>
        <w:t>Figure 2–10</w:t>
      </w:r>
      <w:r>
        <w:rPr>
          <w:snapToGrid/>
          <w:lang w:val="en-CA"/>
        </w:rPr>
        <w:t xml:space="preserve">: </w:t>
      </w:r>
      <w:r w:rsidR="001C5CFA">
        <w:rPr>
          <w:snapToGrid/>
          <w:lang w:val="en-CA"/>
        </w:rPr>
        <w:t>Intentionally Left Blank</w:t>
      </w:r>
      <w:bookmarkEnd w:id="1405"/>
      <w:bookmarkEnd w:id="1406"/>
      <w:bookmarkEnd w:id="1407"/>
      <w:bookmarkEnd w:id="1408"/>
    </w:p>
    <w:p w14:paraId="3F770FE2" w14:textId="77777777" w:rsidR="00D26199" w:rsidRPr="00D26199" w:rsidRDefault="00D26199" w:rsidP="00D26199"/>
    <w:p w14:paraId="55A93368" w14:textId="77777777" w:rsidR="00274BEB" w:rsidRDefault="001C5CFA">
      <w:pPr>
        <w:pStyle w:val="Heading2"/>
        <w:spacing w:before="360"/>
        <w:rPr>
          <w:lang w:val="en-CA"/>
        </w:rPr>
      </w:pPr>
      <w:r w:rsidRPr="00D26199">
        <w:br w:type="page"/>
      </w:r>
      <w:bookmarkStart w:id="1410" w:name="_Toc222103306"/>
      <w:bookmarkStart w:id="1411" w:name="_Toc222106037"/>
      <w:bookmarkStart w:id="1412" w:name="_Toc222123228"/>
      <w:bookmarkStart w:id="1413" w:name="_Toc195431396"/>
      <w:bookmarkStart w:id="1414" w:name="_Toc199045447"/>
      <w:bookmarkStart w:id="1415" w:name="_Toc199046317"/>
      <w:bookmarkStart w:id="1416" w:name="_Toc199047085"/>
      <w:bookmarkStart w:id="1417" w:name="_Toc175383914"/>
      <w:bookmarkStart w:id="1418" w:name="_Toc400369540"/>
      <w:bookmarkStart w:id="1419" w:name="_Toc35796378"/>
      <w:bookmarkStart w:id="1420" w:name="_Toc79657980"/>
      <w:bookmarkEnd w:id="1409"/>
      <w:bookmarkEnd w:id="1410"/>
      <w:bookmarkEnd w:id="1411"/>
      <w:bookmarkEnd w:id="1412"/>
      <w:bookmarkEnd w:id="1413"/>
      <w:bookmarkEnd w:id="1414"/>
      <w:bookmarkEnd w:id="1415"/>
      <w:bookmarkEnd w:id="1416"/>
      <w:r w:rsidR="00B95714">
        <w:rPr>
          <w:lang w:val="en-CA"/>
        </w:rPr>
        <w:t xml:space="preserve">Submitting </w:t>
      </w:r>
      <w:r w:rsidR="00855CB7">
        <w:rPr>
          <w:lang w:val="en-CA"/>
        </w:rPr>
        <w:t>Transmission Service Charges for Embedded Generation</w:t>
      </w:r>
      <w:bookmarkEnd w:id="1417"/>
      <w:bookmarkEnd w:id="1418"/>
      <w:bookmarkEnd w:id="1419"/>
      <w:bookmarkEnd w:id="1420"/>
    </w:p>
    <w:p w14:paraId="5726029C" w14:textId="77777777" w:rsidR="00855CB7" w:rsidRDefault="00B95714">
      <w:pPr>
        <w:pStyle w:val="BodyText"/>
        <w:rPr>
          <w:snapToGrid w:val="0"/>
          <w:lang w:val="en-CA" w:eastAsia="en-US"/>
        </w:rPr>
      </w:pPr>
      <w:r>
        <w:rPr>
          <w:snapToGrid w:val="0"/>
          <w:lang w:val="en-CA" w:eastAsia="en-US"/>
        </w:rPr>
        <w:t>Annually</w:t>
      </w:r>
      <w:r w:rsidR="00855CB7">
        <w:rPr>
          <w:snapToGrid w:val="0"/>
          <w:lang w:val="en-CA" w:eastAsia="en-US"/>
        </w:rPr>
        <w:t xml:space="preserve">, </w:t>
      </w:r>
      <w:r w:rsidR="00855CB7">
        <w:rPr>
          <w:i/>
          <w:snapToGrid w:val="0"/>
          <w:lang w:val="en-CA" w:eastAsia="en-US"/>
        </w:rPr>
        <w:t>transmission customers</w:t>
      </w:r>
      <w:r w:rsidR="00855CB7">
        <w:rPr>
          <w:snapToGrid w:val="0"/>
          <w:lang w:val="en-CA" w:eastAsia="en-US"/>
        </w:rPr>
        <w:t xml:space="preserve"> </w:t>
      </w:r>
      <w:r>
        <w:rPr>
          <w:snapToGrid w:val="0"/>
          <w:lang w:val="en-CA" w:eastAsia="en-US"/>
        </w:rPr>
        <w:t>must</w:t>
      </w:r>
      <w:r w:rsidR="00855CB7">
        <w:rPr>
          <w:snapToGrid w:val="0"/>
          <w:lang w:val="en-CA" w:eastAsia="en-US"/>
        </w:rPr>
        <w:t xml:space="preserve">, for each </w:t>
      </w:r>
      <w:r w:rsidR="00855CB7">
        <w:rPr>
          <w:i/>
          <w:snapToGrid w:val="0"/>
          <w:lang w:val="en-CA" w:eastAsia="en-US"/>
        </w:rPr>
        <w:t>embedded generation facility</w:t>
      </w:r>
      <w:r w:rsidR="00855CB7">
        <w:rPr>
          <w:snapToGrid w:val="0"/>
          <w:lang w:val="en-CA" w:eastAsia="en-US"/>
        </w:rPr>
        <w:t xml:space="preserve"> for which a </w:t>
      </w:r>
      <w:r w:rsidR="00855CB7">
        <w:rPr>
          <w:i/>
          <w:snapToGrid w:val="0"/>
          <w:lang w:val="en-CA" w:eastAsia="en-US"/>
        </w:rPr>
        <w:t>metering point</w:t>
      </w:r>
      <w:r w:rsidR="00855CB7">
        <w:rPr>
          <w:snapToGrid w:val="0"/>
          <w:lang w:val="en-CA" w:eastAsia="en-US"/>
        </w:rPr>
        <w:t xml:space="preserve"> has been registered under the Alternative Metering Installation Standards for Embedded Gen</w:t>
      </w:r>
      <w:r w:rsidR="001C02E3">
        <w:rPr>
          <w:snapToGrid w:val="0"/>
          <w:lang w:val="en-CA" w:eastAsia="en-US"/>
        </w:rPr>
        <w:t>eration Facilities (Chapter 6, S</w:t>
      </w:r>
      <w:r w:rsidR="00855CB7">
        <w:rPr>
          <w:snapToGrid w:val="0"/>
          <w:lang w:val="en-CA" w:eastAsia="en-US"/>
        </w:rPr>
        <w:t>ection 4.5</w:t>
      </w:r>
      <w:r w:rsidR="0091432D" w:rsidRPr="0091432D">
        <w:rPr>
          <w:lang w:val="en-CA"/>
        </w:rPr>
        <w:t xml:space="preserve"> </w:t>
      </w:r>
      <w:r w:rsidR="0091432D">
        <w:rPr>
          <w:lang w:val="en-CA"/>
        </w:rPr>
        <w:t xml:space="preserve">of the </w:t>
      </w:r>
      <w:r w:rsidR="00752CC8" w:rsidRPr="00752CC8">
        <w:rPr>
          <w:i/>
          <w:lang w:val="en-CA"/>
        </w:rPr>
        <w:t>market rules</w:t>
      </w:r>
      <w:r w:rsidR="00855CB7">
        <w:rPr>
          <w:snapToGrid w:val="0"/>
          <w:lang w:val="en-CA" w:eastAsia="en-US"/>
        </w:rPr>
        <w:t xml:space="preserve">), submit annual adjustment dollar values for the applicable </w:t>
      </w:r>
      <w:r w:rsidR="00855CB7">
        <w:rPr>
          <w:i/>
          <w:snapToGrid w:val="0"/>
          <w:lang w:val="en-CA" w:eastAsia="en-US"/>
        </w:rPr>
        <w:t>transmission service charges</w:t>
      </w:r>
      <w:r w:rsidR="00855CB7">
        <w:rPr>
          <w:snapToGrid w:val="0"/>
          <w:lang w:val="en-CA" w:eastAsia="en-US"/>
        </w:rPr>
        <w:t xml:space="preserve">. </w:t>
      </w:r>
      <w:r w:rsidR="007A20F5">
        <w:rPr>
          <w:snapToGrid w:val="0"/>
          <w:lang w:val="en-CA" w:eastAsia="en-US"/>
        </w:rPr>
        <w:t xml:space="preserve"> </w:t>
      </w:r>
      <w:r>
        <w:rPr>
          <w:snapToGrid w:val="0"/>
          <w:lang w:val="en-CA" w:eastAsia="en-US"/>
        </w:rPr>
        <w:t xml:space="preserve">Submit </w:t>
      </w:r>
      <w:r w:rsidR="00E96993">
        <w:rPr>
          <w:snapToGrid w:val="0"/>
          <w:lang w:val="en-CA" w:eastAsia="en-US"/>
        </w:rPr>
        <w:t xml:space="preserve">via </w:t>
      </w:r>
      <w:r w:rsidR="005C6516">
        <w:rPr>
          <w:snapToGrid w:val="0"/>
          <w:lang w:val="en-CA" w:eastAsia="en-US"/>
        </w:rPr>
        <w:t>Online IESO</w:t>
      </w:r>
      <w:r w:rsidR="00E96993">
        <w:rPr>
          <w:snapToGrid w:val="0"/>
          <w:lang w:val="en-CA" w:eastAsia="en-US"/>
        </w:rPr>
        <w:t xml:space="preserve"> </w:t>
      </w:r>
      <w:r w:rsidR="00855CB7">
        <w:rPr>
          <w:snapToGrid w:val="0"/>
          <w:lang w:val="en-CA" w:eastAsia="en-US"/>
        </w:rPr>
        <w:t xml:space="preserve">within three months of the calendar year end. </w:t>
      </w:r>
      <w:r w:rsidR="007A20F5">
        <w:rPr>
          <w:snapToGrid w:val="0"/>
          <w:lang w:val="en-CA" w:eastAsia="en-US"/>
        </w:rPr>
        <w:t xml:space="preserve"> </w:t>
      </w:r>
      <w:r>
        <w:rPr>
          <w:snapToGrid w:val="0"/>
          <w:lang w:val="en-CA" w:eastAsia="en-US"/>
        </w:rPr>
        <w:t>If we</w:t>
      </w:r>
      <w:r w:rsidR="00855CB7">
        <w:rPr>
          <w:snapToGrid w:val="0"/>
          <w:lang w:val="en-CA" w:eastAsia="en-US"/>
        </w:rPr>
        <w:t xml:space="preserve"> do not receive this information in a timely manner, </w:t>
      </w:r>
      <w:r>
        <w:rPr>
          <w:snapToGrid w:val="0"/>
          <w:lang w:val="en-CA" w:eastAsia="en-US"/>
        </w:rPr>
        <w:t>we</w:t>
      </w:r>
      <w:r w:rsidR="00855CB7">
        <w:rPr>
          <w:snapToGrid w:val="0"/>
          <w:lang w:val="en-CA" w:eastAsia="en-US"/>
        </w:rPr>
        <w:t xml:space="preserve"> will use the installed </w:t>
      </w:r>
      <w:r w:rsidR="00855CB7">
        <w:rPr>
          <w:i/>
          <w:snapToGrid w:val="0"/>
          <w:lang w:val="en-CA" w:eastAsia="en-US"/>
        </w:rPr>
        <w:t>maximum continuous rating</w:t>
      </w:r>
      <w:r w:rsidR="00855CB7">
        <w:rPr>
          <w:snapToGrid w:val="0"/>
          <w:lang w:val="en-CA" w:eastAsia="en-US"/>
        </w:rPr>
        <w:t xml:space="preserve"> (as registered) for the </w:t>
      </w:r>
      <w:r w:rsidR="00855CB7">
        <w:rPr>
          <w:i/>
          <w:snapToGrid w:val="0"/>
          <w:lang w:val="en-CA" w:eastAsia="en-US"/>
        </w:rPr>
        <w:t>embedded generation facilities</w:t>
      </w:r>
      <w:r w:rsidR="00855CB7">
        <w:rPr>
          <w:snapToGrid w:val="0"/>
          <w:lang w:val="en-CA" w:eastAsia="en-US"/>
        </w:rPr>
        <w:t xml:space="preserve"> to determine an adjustment amount.  The steps in Figure 2-11 illustrate the process for notifying </w:t>
      </w:r>
      <w:r>
        <w:rPr>
          <w:snapToGrid w:val="0"/>
          <w:lang w:val="en-CA" w:eastAsia="en-US"/>
        </w:rPr>
        <w:t>us</w:t>
      </w:r>
      <w:r w:rsidR="00855CB7">
        <w:rPr>
          <w:snapToGrid w:val="0"/>
          <w:lang w:val="en-CA" w:eastAsia="en-US"/>
        </w:rPr>
        <w:t xml:space="preserve"> of such an assignment(s) and are described in detail in Section 3.11, Table 3</w:t>
      </w:r>
      <w:r w:rsidR="00855CB7">
        <w:rPr>
          <w:snapToGrid w:val="0"/>
          <w:lang w:val="en-CA" w:eastAsia="en-US"/>
        </w:rPr>
        <w:noBreakHyphen/>
        <w:t>11.</w:t>
      </w:r>
    </w:p>
    <w:p w14:paraId="683EEEBD" w14:textId="68A43D5B" w:rsidR="00855CB7" w:rsidRDefault="00480343" w:rsidP="0056454A">
      <w:pPr>
        <w:pStyle w:val="Figure"/>
        <w:rPr>
          <w:lang w:val="en-CA"/>
        </w:rPr>
      </w:pPr>
      <w:r w:rsidRPr="00480343">
        <w:rPr>
          <w:lang w:val="en-CA"/>
        </w:rPr>
        <w:t xml:space="preserve"> </w:t>
      </w:r>
      <w:r>
        <w:rPr>
          <w:lang w:val="en-CA"/>
        </w:rPr>
        <w:drawing>
          <wp:inline distT="0" distB="0" distL="0" distR="0" wp14:anchorId="36DCBFF6" wp14:editId="144C0D7D">
            <wp:extent cx="5357324" cy="6325148"/>
            <wp:effectExtent l="0" t="0" r="0" b="0"/>
            <wp:docPr id="21" name="Picture 21" descr="Diagram of the Work flow for Submitting of Transmission Service Charges for Embedded Gene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357324" cy="6325148"/>
                    </a:xfrm>
                    <a:prstGeom prst="rect">
                      <a:avLst/>
                    </a:prstGeom>
                  </pic:spPr>
                </pic:pic>
              </a:graphicData>
            </a:graphic>
          </wp:inline>
        </w:drawing>
      </w:r>
    </w:p>
    <w:p w14:paraId="5159C138" w14:textId="77777777" w:rsidR="003500FF" w:rsidRDefault="003500FF" w:rsidP="003500FF">
      <w:pPr>
        <w:pStyle w:val="FigureCaption"/>
        <w:rPr>
          <w:lang w:val="en-CA"/>
        </w:rPr>
      </w:pPr>
      <w:bookmarkStart w:id="1421" w:name="_Toc35796413"/>
      <w:bookmarkStart w:id="1422" w:name="_Toc79657887"/>
      <w:r>
        <w:rPr>
          <w:lang w:val="en-CA"/>
        </w:rPr>
        <w:t xml:space="preserve">Figure 2–11:  Work flow for </w:t>
      </w:r>
      <w:r>
        <w:t>Submitting</w:t>
      </w:r>
      <w:r>
        <w:rPr>
          <w:lang w:val="en-CA"/>
        </w:rPr>
        <w:t xml:space="preserve"> of Transmission Service Charges for Embedded Generation</w:t>
      </w:r>
      <w:bookmarkEnd w:id="1421"/>
      <w:bookmarkEnd w:id="1422"/>
    </w:p>
    <w:p w14:paraId="7B566525" w14:textId="77777777" w:rsidR="00855CB7" w:rsidRDefault="00855CB7">
      <w:pPr>
        <w:pStyle w:val="Heading2"/>
        <w:rPr>
          <w:lang w:val="en-CA"/>
        </w:rPr>
      </w:pPr>
      <w:bookmarkStart w:id="1423" w:name="_Toc536627054"/>
      <w:bookmarkStart w:id="1424" w:name="_Toc175383915"/>
      <w:bookmarkStart w:id="1425" w:name="_Toc400369541"/>
      <w:bookmarkStart w:id="1426" w:name="_Toc35796379"/>
      <w:bookmarkStart w:id="1427" w:name="_Toc79657981"/>
      <w:bookmarkEnd w:id="1423"/>
      <w:r>
        <w:rPr>
          <w:lang w:val="en-CA"/>
        </w:rPr>
        <w:t xml:space="preserve">Workflow for </w:t>
      </w:r>
      <w:r w:rsidR="00B95714">
        <w:rPr>
          <w:lang w:val="en-CA"/>
        </w:rPr>
        <w:t>Submitting</w:t>
      </w:r>
      <w:r>
        <w:rPr>
          <w:lang w:val="en-CA"/>
        </w:rPr>
        <w:t xml:space="preserve"> NUG Adjustment Amount Information</w:t>
      </w:r>
      <w:bookmarkEnd w:id="1424"/>
      <w:bookmarkEnd w:id="1425"/>
      <w:bookmarkEnd w:id="1426"/>
      <w:bookmarkEnd w:id="1427"/>
    </w:p>
    <w:p w14:paraId="3C733A8C" w14:textId="7FD2BBEC" w:rsidR="0058387B" w:rsidRDefault="004032E6" w:rsidP="0061777D">
      <w:pPr>
        <w:pStyle w:val="BodyText"/>
        <w:jc w:val="center"/>
      </w:pPr>
      <w:r w:rsidRPr="004032E6">
        <w:rPr>
          <w:noProof/>
          <w:lang w:val="en-CA"/>
        </w:rPr>
        <w:t xml:space="preserve"> </w:t>
      </w:r>
      <w:r>
        <w:rPr>
          <w:noProof/>
          <w:lang w:val="en-CA"/>
        </w:rPr>
        <w:drawing>
          <wp:inline distT="0" distB="0" distL="0" distR="0" wp14:anchorId="3B971AB4" wp14:editId="09B97095">
            <wp:extent cx="5532599" cy="5593565"/>
            <wp:effectExtent l="0" t="0" r="0" b="7620"/>
            <wp:docPr id="22" name="Picture 22" descr="Diagram of the Workflow for Submitting NUG Adjustment Amount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532599" cy="5593565"/>
                    </a:xfrm>
                    <a:prstGeom prst="rect">
                      <a:avLst/>
                    </a:prstGeom>
                  </pic:spPr>
                </pic:pic>
              </a:graphicData>
            </a:graphic>
          </wp:inline>
        </w:drawing>
      </w:r>
    </w:p>
    <w:p w14:paraId="2B99DB50" w14:textId="77777777" w:rsidR="0089505C" w:rsidRDefault="00855CB7">
      <w:pPr>
        <w:pStyle w:val="FigureCaption"/>
      </w:pPr>
      <w:bookmarkStart w:id="1428" w:name="_Toc175639724"/>
      <w:bookmarkStart w:id="1429" w:name="_Toc400369582"/>
      <w:bookmarkStart w:id="1430" w:name="_Toc400371943"/>
      <w:bookmarkStart w:id="1431" w:name="_Toc35796414"/>
      <w:bookmarkStart w:id="1432" w:name="_Toc79657888"/>
      <w:r>
        <w:t>Figure 2</w:t>
      </w:r>
      <w:r w:rsidR="00AC2C05">
        <w:rPr>
          <w:lang w:val="en-CA"/>
        </w:rPr>
        <w:t>–</w:t>
      </w:r>
      <w:r>
        <w:t xml:space="preserve">12: </w:t>
      </w:r>
      <w:r w:rsidR="001A01BE">
        <w:t xml:space="preserve"> </w:t>
      </w:r>
      <w:r>
        <w:t xml:space="preserve">Workflow for </w:t>
      </w:r>
      <w:r w:rsidR="00B95714">
        <w:t>Submitting</w:t>
      </w:r>
      <w:r>
        <w:t xml:space="preserve"> NUG Adjustment Amount Information</w:t>
      </w:r>
      <w:bookmarkEnd w:id="1428"/>
      <w:bookmarkEnd w:id="1429"/>
      <w:bookmarkEnd w:id="1430"/>
      <w:bookmarkEnd w:id="1431"/>
      <w:bookmarkEnd w:id="1432"/>
    </w:p>
    <w:p w14:paraId="487F465B" w14:textId="77777777" w:rsidR="00855CB7" w:rsidRDefault="00855CB7" w:rsidP="00866179">
      <w:pPr>
        <w:pStyle w:val="Heading2"/>
        <w:spacing w:before="240"/>
      </w:pPr>
      <w:r>
        <w:rPr>
          <w:lang w:val="en-CA" w:eastAsia="en-US"/>
        </w:rPr>
        <w:br w:type="page"/>
      </w:r>
      <w:bookmarkStart w:id="1433" w:name="_Toc175383916"/>
      <w:bookmarkStart w:id="1434" w:name="_Toc400369542"/>
      <w:bookmarkStart w:id="1435" w:name="_Toc35796380"/>
      <w:bookmarkStart w:id="1436" w:name="_Toc79657982"/>
      <w:r>
        <w:t xml:space="preserve">Workflow for </w:t>
      </w:r>
      <w:r w:rsidR="00B95714">
        <w:t>Submitting</w:t>
      </w:r>
      <w:r>
        <w:t xml:space="preserve"> Embedded Generation and Regulated Price Information</w:t>
      </w:r>
      <w:bookmarkEnd w:id="1433"/>
      <w:bookmarkEnd w:id="1434"/>
      <w:bookmarkEnd w:id="1435"/>
      <w:bookmarkEnd w:id="1436"/>
    </w:p>
    <w:p w14:paraId="55BAF709" w14:textId="52805434" w:rsidR="00156C07" w:rsidRDefault="004032E6" w:rsidP="00163F53">
      <w:pPr>
        <w:jc w:val="center"/>
      </w:pPr>
      <w:r w:rsidRPr="004032E6">
        <w:rPr>
          <w:noProof/>
          <w:lang w:val="en-CA"/>
        </w:rPr>
        <w:t xml:space="preserve"> </w:t>
      </w:r>
      <w:r>
        <w:rPr>
          <w:noProof/>
          <w:lang w:val="en-CA"/>
        </w:rPr>
        <w:drawing>
          <wp:inline distT="0" distB="0" distL="0" distR="0" wp14:anchorId="0EB1AAEC" wp14:editId="5400BFAA">
            <wp:extent cx="5372566" cy="6729043"/>
            <wp:effectExtent l="0" t="0" r="0" b="0"/>
            <wp:docPr id="23" name="Picture 23" descr="Diagram of the Workflow for Submitting Embedded Generation and Regulated Pric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372566" cy="6729043"/>
                    </a:xfrm>
                    <a:prstGeom prst="rect">
                      <a:avLst/>
                    </a:prstGeom>
                  </pic:spPr>
                </pic:pic>
              </a:graphicData>
            </a:graphic>
          </wp:inline>
        </w:drawing>
      </w:r>
    </w:p>
    <w:p w14:paraId="00A3F648" w14:textId="77777777" w:rsidR="00476DB0" w:rsidRDefault="00476DB0" w:rsidP="00F75113"/>
    <w:p w14:paraId="2D2BCBC0" w14:textId="77777777" w:rsidR="00855CB7" w:rsidRDefault="00855CB7" w:rsidP="00E91F6C">
      <w:pPr>
        <w:pStyle w:val="FigureCaption"/>
        <w:rPr>
          <w:lang w:val="en-CA"/>
        </w:rPr>
      </w:pPr>
      <w:bookmarkStart w:id="1437" w:name="_Toc175639725"/>
      <w:bookmarkStart w:id="1438" w:name="_Toc400369583"/>
      <w:bookmarkStart w:id="1439" w:name="_Toc400371944"/>
      <w:bookmarkStart w:id="1440" w:name="_Toc35796415"/>
      <w:bookmarkStart w:id="1441" w:name="_Toc79657889"/>
      <w:r>
        <w:t>Figure 2</w:t>
      </w:r>
      <w:r w:rsidR="00AC2C05">
        <w:rPr>
          <w:lang w:val="en-CA"/>
        </w:rPr>
        <w:t>–</w:t>
      </w:r>
      <w:r>
        <w:t xml:space="preserve">13: </w:t>
      </w:r>
      <w:r w:rsidR="001A01BE">
        <w:t xml:space="preserve"> </w:t>
      </w:r>
      <w:r>
        <w:t>Workflow for Submi</w:t>
      </w:r>
      <w:r w:rsidR="00B95714">
        <w:t>tting</w:t>
      </w:r>
      <w:r>
        <w:t xml:space="preserve"> Embedded Generation and Regulated Price Information</w:t>
      </w:r>
      <w:bookmarkEnd w:id="1437"/>
      <w:bookmarkEnd w:id="1438"/>
      <w:bookmarkEnd w:id="1439"/>
      <w:bookmarkEnd w:id="1440"/>
      <w:bookmarkEnd w:id="1441"/>
    </w:p>
    <w:p w14:paraId="043442F2" w14:textId="77777777" w:rsidR="00855CB7" w:rsidRDefault="00855CB7">
      <w:pPr>
        <w:pStyle w:val="BodyText"/>
      </w:pPr>
    </w:p>
    <w:p w14:paraId="63F8F3C0" w14:textId="77777777" w:rsidR="00D26199" w:rsidRDefault="00855CB7" w:rsidP="005107FB">
      <w:pPr>
        <w:pStyle w:val="EndofText"/>
      </w:pPr>
      <w:r>
        <w:t>– End of Section –</w:t>
      </w:r>
    </w:p>
    <w:p w14:paraId="60ABE6ED" w14:textId="77777777" w:rsidR="00855CB7" w:rsidRDefault="00855CB7">
      <w:pPr>
        <w:pStyle w:val="BodyText"/>
        <w:rPr>
          <w:b/>
          <w:lang w:val="en-CA"/>
        </w:rPr>
        <w:sectPr w:rsidR="00855CB7" w:rsidSect="00804F9B">
          <w:headerReference w:type="even" r:id="rId61"/>
          <w:headerReference w:type="default" r:id="rId62"/>
          <w:footerReference w:type="even" r:id="rId63"/>
          <w:footerReference w:type="default" r:id="rId64"/>
          <w:pgSz w:w="12240" w:h="15840" w:code="1"/>
          <w:pgMar w:top="1440" w:right="1440" w:bottom="1440" w:left="1800" w:header="720" w:footer="720" w:gutter="0"/>
          <w:pgNumType w:chapSep="enDash"/>
          <w:cols w:space="720"/>
          <w:docGrid w:linePitch="299"/>
        </w:sectPr>
      </w:pPr>
    </w:p>
    <w:p w14:paraId="3DC6EFE9" w14:textId="77777777" w:rsidR="00274BEB" w:rsidRDefault="00855CB7">
      <w:pPr>
        <w:pStyle w:val="Heading1"/>
        <w:spacing w:before="480"/>
        <w:rPr>
          <w:lang w:val="en-CA"/>
        </w:rPr>
      </w:pPr>
      <w:bookmarkStart w:id="1442" w:name="_Toc479138124"/>
      <w:bookmarkStart w:id="1443" w:name="_Toc483275416"/>
      <w:bookmarkStart w:id="1444" w:name="_Toc32038453"/>
      <w:bookmarkStart w:id="1445" w:name="_Toc175383917"/>
      <w:bookmarkStart w:id="1446" w:name="_Toc400369543"/>
      <w:bookmarkStart w:id="1447" w:name="_Toc35796381"/>
      <w:bookmarkStart w:id="1448" w:name="_Toc79657983"/>
      <w:r>
        <w:rPr>
          <w:lang w:val="en-CA"/>
        </w:rPr>
        <w:t>Procedural Steps</w:t>
      </w:r>
      <w:bookmarkEnd w:id="1442"/>
      <w:bookmarkEnd w:id="1443"/>
      <w:bookmarkEnd w:id="1444"/>
      <w:bookmarkEnd w:id="1445"/>
      <w:bookmarkEnd w:id="1446"/>
      <w:bookmarkEnd w:id="1447"/>
      <w:bookmarkEnd w:id="1448"/>
    </w:p>
    <w:p w14:paraId="13EE8102" w14:textId="77777777" w:rsidR="00855CB7" w:rsidRDefault="00855CB7">
      <w:pPr>
        <w:pStyle w:val="BodyText"/>
        <w:rPr>
          <w:lang w:val="en-CA"/>
        </w:rPr>
      </w:pPr>
      <w:r>
        <w:rPr>
          <w:lang w:val="en-CA"/>
        </w:rPr>
        <w:t xml:space="preserve">This section contains detail on the tasks (steps) that comprise the </w:t>
      </w:r>
      <w:r>
        <w:rPr>
          <w:i/>
          <w:lang w:val="en-CA"/>
        </w:rPr>
        <w:t>settlement statements</w:t>
      </w:r>
      <w:r>
        <w:rPr>
          <w:lang w:val="en-CA"/>
        </w:rPr>
        <w:t xml:space="preserve"> procedure. The steps in the following tables are illustrated in Section 2.</w:t>
      </w:r>
    </w:p>
    <w:p w14:paraId="3FD7E884" w14:textId="77777777" w:rsidR="00855CB7" w:rsidRDefault="00855CB7">
      <w:pPr>
        <w:pStyle w:val="BodyText"/>
        <w:rPr>
          <w:lang w:val="en-CA"/>
        </w:rPr>
      </w:pPr>
      <w:r>
        <w:rPr>
          <w:lang w:val="en-CA"/>
        </w:rPr>
        <w:t>The tables contain seven columns, as follows:</w:t>
      </w:r>
    </w:p>
    <w:p w14:paraId="58FFF208" w14:textId="77777777" w:rsidR="00855CB7" w:rsidRDefault="00855CB7">
      <w:pPr>
        <w:pStyle w:val="Head4NoNum"/>
        <w:rPr>
          <w:lang w:val="en-CA"/>
        </w:rPr>
      </w:pPr>
      <w:r>
        <w:rPr>
          <w:lang w:val="en-CA"/>
        </w:rPr>
        <w:t>Ref</w:t>
      </w:r>
    </w:p>
    <w:p w14:paraId="6DF51431" w14:textId="77777777" w:rsidR="00855CB7" w:rsidRDefault="00855CB7">
      <w:pPr>
        <w:pStyle w:val="BodyText"/>
        <w:rPr>
          <w:lang w:val="en-CA"/>
        </w:rPr>
      </w:pPr>
      <w:r>
        <w:rPr>
          <w:lang w:val="en-CA"/>
        </w:rPr>
        <w:t>The numerical reference to the task.</w:t>
      </w:r>
    </w:p>
    <w:p w14:paraId="6E147C3B" w14:textId="77777777" w:rsidR="00855CB7" w:rsidRDefault="00855CB7">
      <w:pPr>
        <w:pStyle w:val="Head4NoNum"/>
        <w:rPr>
          <w:lang w:val="en-CA"/>
        </w:rPr>
      </w:pPr>
      <w:r>
        <w:rPr>
          <w:lang w:val="en-CA"/>
        </w:rPr>
        <w:t>Task Name</w:t>
      </w:r>
    </w:p>
    <w:p w14:paraId="22EEDAF2" w14:textId="77777777" w:rsidR="00855CB7" w:rsidRDefault="00855CB7">
      <w:pPr>
        <w:pStyle w:val="BodyText"/>
        <w:rPr>
          <w:lang w:val="en-CA"/>
        </w:rPr>
      </w:pPr>
      <w:r>
        <w:rPr>
          <w:lang w:val="en-CA"/>
        </w:rPr>
        <w:t>The task name as identified in Section 2.</w:t>
      </w:r>
    </w:p>
    <w:p w14:paraId="405244F7" w14:textId="77777777" w:rsidR="00855CB7" w:rsidRDefault="00855CB7">
      <w:pPr>
        <w:pStyle w:val="Head4NoNum"/>
        <w:rPr>
          <w:lang w:val="en-CA"/>
        </w:rPr>
      </w:pPr>
      <w:r>
        <w:rPr>
          <w:lang w:val="en-CA"/>
        </w:rPr>
        <w:t>Task Detail</w:t>
      </w:r>
    </w:p>
    <w:p w14:paraId="2F2C8369" w14:textId="77777777" w:rsidR="00855CB7" w:rsidRDefault="00855CB7">
      <w:pPr>
        <w:pStyle w:val="BodyText"/>
        <w:rPr>
          <w:lang w:val="en-CA"/>
        </w:rPr>
      </w:pPr>
      <w:r>
        <w:rPr>
          <w:lang w:val="en-CA"/>
        </w:rPr>
        <w:t>Detail about the task.</w:t>
      </w:r>
    </w:p>
    <w:p w14:paraId="59BA1827" w14:textId="77777777" w:rsidR="00855CB7" w:rsidRDefault="00855CB7">
      <w:pPr>
        <w:pStyle w:val="Head4NoNum"/>
        <w:rPr>
          <w:lang w:val="en-CA"/>
        </w:rPr>
      </w:pPr>
      <w:r>
        <w:rPr>
          <w:lang w:val="en-CA"/>
        </w:rPr>
        <w:t>When</w:t>
      </w:r>
    </w:p>
    <w:p w14:paraId="533D752C" w14:textId="77777777" w:rsidR="00855CB7" w:rsidRDefault="00855CB7">
      <w:pPr>
        <w:pStyle w:val="BodyText"/>
        <w:rPr>
          <w:lang w:val="en-CA"/>
        </w:rPr>
      </w:pPr>
      <w:r>
        <w:rPr>
          <w:lang w:val="en-CA"/>
        </w:rPr>
        <w:t>A list of all the events that can trigger the task</w:t>
      </w:r>
      <w:r w:rsidR="007A6E66">
        <w:rPr>
          <w:lang w:val="en-CA"/>
        </w:rPr>
        <w:t xml:space="preserve"> to begin</w:t>
      </w:r>
      <w:r>
        <w:rPr>
          <w:lang w:val="en-CA"/>
        </w:rPr>
        <w:t>.</w:t>
      </w:r>
    </w:p>
    <w:p w14:paraId="77C4ED20" w14:textId="77777777" w:rsidR="00855CB7" w:rsidRDefault="00855CB7">
      <w:pPr>
        <w:pStyle w:val="Head4NoNum"/>
        <w:rPr>
          <w:lang w:val="en-CA"/>
        </w:rPr>
      </w:pPr>
      <w:r>
        <w:rPr>
          <w:lang w:val="en-CA"/>
        </w:rPr>
        <w:t>Resulting Information</w:t>
      </w:r>
    </w:p>
    <w:p w14:paraId="58C9E427" w14:textId="77777777" w:rsidR="00855CB7" w:rsidRDefault="00855CB7">
      <w:pPr>
        <w:pStyle w:val="BodyText"/>
        <w:rPr>
          <w:lang w:val="en-CA"/>
        </w:rPr>
      </w:pPr>
      <w:r>
        <w:rPr>
          <w:lang w:val="en-CA"/>
        </w:rPr>
        <w:t>A list of the information flows that may or must result from the task.</w:t>
      </w:r>
    </w:p>
    <w:p w14:paraId="54428C00" w14:textId="77777777" w:rsidR="00855CB7" w:rsidRDefault="00855CB7">
      <w:pPr>
        <w:pStyle w:val="Head4NoNum"/>
        <w:rPr>
          <w:lang w:val="en-CA"/>
        </w:rPr>
      </w:pPr>
      <w:r>
        <w:rPr>
          <w:lang w:val="en-CA"/>
        </w:rPr>
        <w:t>Method</w:t>
      </w:r>
    </w:p>
    <w:p w14:paraId="1801C20E" w14:textId="77777777" w:rsidR="00855CB7" w:rsidRDefault="00855CB7">
      <w:pPr>
        <w:pStyle w:val="BodyText"/>
        <w:rPr>
          <w:lang w:val="en-CA"/>
        </w:rPr>
      </w:pPr>
      <w:r>
        <w:rPr>
          <w:lang w:val="en-CA"/>
        </w:rPr>
        <w:t>The format and method for each information flow.</w:t>
      </w:r>
    </w:p>
    <w:p w14:paraId="167E55B3" w14:textId="77777777" w:rsidR="00855CB7" w:rsidRDefault="00855CB7">
      <w:pPr>
        <w:pStyle w:val="Head4NoNum"/>
        <w:rPr>
          <w:lang w:val="en-CA"/>
        </w:rPr>
      </w:pPr>
      <w:r>
        <w:rPr>
          <w:lang w:val="en-CA"/>
        </w:rPr>
        <w:t>Completion Events</w:t>
      </w:r>
    </w:p>
    <w:p w14:paraId="07AA79DD" w14:textId="77777777" w:rsidR="00855CB7" w:rsidRDefault="00855CB7">
      <w:pPr>
        <w:pStyle w:val="BodyText"/>
        <w:rPr>
          <w:lang w:val="en-CA"/>
        </w:rPr>
      </w:pPr>
      <w:r>
        <w:rPr>
          <w:lang w:val="en-CA"/>
        </w:rPr>
        <w:t xml:space="preserve">A list of all the circumstances in which the task </w:t>
      </w:r>
      <w:r w:rsidR="007A6E66">
        <w:rPr>
          <w:lang w:val="en-CA"/>
        </w:rPr>
        <w:t>is considered complete</w:t>
      </w:r>
      <w:r>
        <w:rPr>
          <w:lang w:val="en-CA"/>
        </w:rPr>
        <w:t>.</w:t>
      </w:r>
    </w:p>
    <w:p w14:paraId="3211D1DA" w14:textId="77777777" w:rsidR="00855CB7" w:rsidRDefault="00855CB7">
      <w:pPr>
        <w:pStyle w:val="BodyText"/>
        <w:rPr>
          <w:lang w:val="en-CA"/>
        </w:rPr>
      </w:pPr>
    </w:p>
    <w:p w14:paraId="70AC655E" w14:textId="77777777" w:rsidR="00855CB7" w:rsidRDefault="00855CB7">
      <w:pPr>
        <w:pStyle w:val="BodyText"/>
        <w:rPr>
          <w:lang w:val="en-CA"/>
        </w:rPr>
        <w:sectPr w:rsidR="00855CB7" w:rsidSect="00F74C0A">
          <w:headerReference w:type="even" r:id="rId65"/>
          <w:headerReference w:type="default" r:id="rId66"/>
          <w:footerReference w:type="even" r:id="rId67"/>
          <w:footerReference w:type="default" r:id="rId68"/>
          <w:pgSz w:w="12240" w:h="15840" w:code="1"/>
          <w:pgMar w:top="1440" w:right="1440" w:bottom="1440" w:left="1800" w:header="720" w:footer="720" w:gutter="0"/>
          <w:pgNumType w:chapSep="enDash"/>
          <w:cols w:space="720"/>
        </w:sectPr>
      </w:pPr>
    </w:p>
    <w:p w14:paraId="20B9CACD" w14:textId="77777777" w:rsidR="00274BEB" w:rsidRDefault="00855CB7">
      <w:pPr>
        <w:pStyle w:val="Heading2"/>
        <w:spacing w:before="360"/>
        <w:rPr>
          <w:lang w:val="en-CA"/>
        </w:rPr>
      </w:pPr>
      <w:bookmarkStart w:id="1449" w:name="_Toc479138125"/>
      <w:bookmarkStart w:id="1450" w:name="_Toc483275417"/>
      <w:bookmarkStart w:id="1451" w:name="_Toc32038454"/>
      <w:bookmarkStart w:id="1452" w:name="_Toc175383918"/>
      <w:bookmarkStart w:id="1453" w:name="_Toc400369544"/>
      <w:bookmarkStart w:id="1454" w:name="_Toc35796382"/>
      <w:bookmarkStart w:id="1455" w:name="_Toc79657984"/>
      <w:r>
        <w:rPr>
          <w:lang w:val="en-CA"/>
        </w:rPr>
        <w:t>Retrieving Preliminary Settlement Statement</w:t>
      </w:r>
      <w:bookmarkEnd w:id="1449"/>
      <w:r>
        <w:rPr>
          <w:lang w:val="en-CA"/>
        </w:rPr>
        <w:t>s</w:t>
      </w:r>
      <w:bookmarkEnd w:id="1450"/>
      <w:bookmarkEnd w:id="1451"/>
      <w:bookmarkEnd w:id="1452"/>
      <w:bookmarkEnd w:id="1453"/>
      <w:bookmarkEnd w:id="1454"/>
      <w:bookmarkEnd w:id="1455"/>
    </w:p>
    <w:p w14:paraId="12A5D37F" w14:textId="77777777" w:rsidR="00855CB7" w:rsidRDefault="00855CB7">
      <w:pPr>
        <w:pStyle w:val="BodyText"/>
        <w:rPr>
          <w:lang w:val="en-CA"/>
        </w:rPr>
      </w:pPr>
      <w:r>
        <w:rPr>
          <w:snapToGrid w:val="0"/>
          <w:lang w:val="en-CA"/>
        </w:rPr>
        <w:t xml:space="preserve">Each </w:t>
      </w:r>
      <w:r>
        <w:rPr>
          <w:i/>
          <w:snapToGrid w:val="0"/>
          <w:lang w:val="en-CA"/>
        </w:rPr>
        <w:t>business day</w:t>
      </w:r>
      <w:r>
        <w:rPr>
          <w:snapToGrid w:val="0"/>
          <w:lang w:val="en-CA"/>
        </w:rPr>
        <w:t xml:space="preserve">, </w:t>
      </w:r>
      <w:r>
        <w:rPr>
          <w:i/>
          <w:snapToGrid w:val="0"/>
          <w:lang w:val="en-CA"/>
        </w:rPr>
        <w:t>market participants</w:t>
      </w:r>
      <w:r>
        <w:rPr>
          <w:snapToGrid w:val="0"/>
          <w:lang w:val="en-CA"/>
        </w:rPr>
        <w:t xml:space="preserve"> should retrieve the </w:t>
      </w:r>
      <w:r>
        <w:rPr>
          <w:i/>
          <w:snapToGrid w:val="0"/>
          <w:lang w:val="en-CA"/>
        </w:rPr>
        <w:t>preliminary settlement statement</w:t>
      </w:r>
      <w:r>
        <w:rPr>
          <w:snapToGrid w:val="0"/>
          <w:lang w:val="en-CA"/>
        </w:rPr>
        <w:t xml:space="preserve"> </w:t>
      </w:r>
      <w:r>
        <w:rPr>
          <w:lang w:val="en-CA"/>
        </w:rPr>
        <w:t>and data files and review them to determine whether possible errors exist.</w:t>
      </w:r>
    </w:p>
    <w:p w14:paraId="7EAF6B60" w14:textId="77777777" w:rsidR="00855CB7" w:rsidRDefault="00855CB7">
      <w:pPr>
        <w:pStyle w:val="BodyText"/>
        <w:rPr>
          <w:lang w:val="en-CA"/>
        </w:rPr>
      </w:pPr>
      <w:r>
        <w:rPr>
          <w:lang w:val="en-CA"/>
        </w:rPr>
        <w:t>Steps shown in the following table are illustrated in Section 2.1, Figure 2-1.</w:t>
      </w:r>
    </w:p>
    <w:p w14:paraId="2AB74394" w14:textId="77777777" w:rsidR="00F70997" w:rsidRDefault="007578A1">
      <w:pPr>
        <w:pStyle w:val="TableCaption"/>
        <w:rPr>
          <w:lang w:val="en-CA"/>
        </w:rPr>
      </w:pPr>
      <w:bookmarkStart w:id="1456" w:name="_Toc400369597"/>
      <w:bookmarkStart w:id="1457" w:name="_Toc35796430"/>
      <w:bookmarkStart w:id="1458" w:name="_Toc79657837"/>
      <w:r>
        <w:rPr>
          <w:lang w:val="en-CA"/>
        </w:rPr>
        <w:t>Table 3–1:  Procedural Steps for Retrieving Preliminary Settlement Statements</w:t>
      </w:r>
      <w:bookmarkEnd w:id="1456"/>
      <w:bookmarkEnd w:id="1457"/>
      <w:bookmarkEnd w:id="1458"/>
    </w:p>
    <w:tbl>
      <w:tblPr>
        <w:tblW w:w="14904"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Description w:val=" Procedural Steps for Retrieving Preliminary Settlement Statements"/>
      </w:tblPr>
      <w:tblGrid>
        <w:gridCol w:w="864"/>
        <w:gridCol w:w="2160"/>
        <w:gridCol w:w="2790"/>
        <w:gridCol w:w="1980"/>
        <w:gridCol w:w="2070"/>
        <w:gridCol w:w="2700"/>
        <w:gridCol w:w="2340"/>
      </w:tblGrid>
      <w:tr w:rsidR="00855CB7" w14:paraId="7A856557" w14:textId="77777777" w:rsidTr="00D9320F">
        <w:trPr>
          <w:tblHeader/>
        </w:trPr>
        <w:tc>
          <w:tcPr>
            <w:tcW w:w="864" w:type="dxa"/>
            <w:shd w:val="clear" w:color="auto" w:fill="D9D9D9" w:themeFill="background1" w:themeFillShade="D9"/>
            <w:vAlign w:val="center"/>
          </w:tcPr>
          <w:p w14:paraId="53A8486D" w14:textId="77777777" w:rsidR="00855CB7" w:rsidRDefault="00855CB7" w:rsidP="009E6D86">
            <w:pPr>
              <w:pStyle w:val="TableHead"/>
              <w:keepNext/>
              <w:keepLines/>
              <w:rPr>
                <w:lang w:val="en-CA"/>
              </w:rPr>
            </w:pPr>
            <w:r>
              <w:rPr>
                <w:lang w:val="en-CA"/>
              </w:rPr>
              <w:t>Ref.</w:t>
            </w:r>
          </w:p>
        </w:tc>
        <w:tc>
          <w:tcPr>
            <w:tcW w:w="2160" w:type="dxa"/>
            <w:shd w:val="clear" w:color="auto" w:fill="D9D9D9" w:themeFill="background1" w:themeFillShade="D9"/>
            <w:vAlign w:val="center"/>
          </w:tcPr>
          <w:p w14:paraId="79EF5842" w14:textId="77777777" w:rsidR="00855CB7" w:rsidRDefault="00855CB7" w:rsidP="009E6D86">
            <w:pPr>
              <w:pStyle w:val="TableHead"/>
              <w:keepNext/>
              <w:keepLines/>
              <w:rPr>
                <w:lang w:val="en-CA"/>
              </w:rPr>
            </w:pPr>
            <w:r>
              <w:rPr>
                <w:lang w:val="en-CA"/>
              </w:rPr>
              <w:t>Task Name</w:t>
            </w:r>
          </w:p>
        </w:tc>
        <w:tc>
          <w:tcPr>
            <w:tcW w:w="2790" w:type="dxa"/>
            <w:shd w:val="clear" w:color="auto" w:fill="D9D9D9" w:themeFill="background1" w:themeFillShade="D9"/>
            <w:vAlign w:val="center"/>
          </w:tcPr>
          <w:p w14:paraId="6E19D3EF" w14:textId="77777777" w:rsidR="00855CB7" w:rsidRDefault="00855CB7" w:rsidP="009E6D86">
            <w:pPr>
              <w:pStyle w:val="TableHead"/>
              <w:keepNext/>
              <w:keepLines/>
              <w:rPr>
                <w:lang w:val="en-CA"/>
              </w:rPr>
            </w:pPr>
            <w:r>
              <w:rPr>
                <w:lang w:val="en-CA"/>
              </w:rPr>
              <w:t>Task Detail</w:t>
            </w:r>
          </w:p>
        </w:tc>
        <w:tc>
          <w:tcPr>
            <w:tcW w:w="1980" w:type="dxa"/>
            <w:shd w:val="clear" w:color="auto" w:fill="D9D9D9" w:themeFill="background1" w:themeFillShade="D9"/>
            <w:vAlign w:val="center"/>
          </w:tcPr>
          <w:p w14:paraId="6FE470AE" w14:textId="77777777" w:rsidR="00855CB7" w:rsidRDefault="00855CB7" w:rsidP="009E6D86">
            <w:pPr>
              <w:pStyle w:val="TableHead"/>
              <w:keepNext/>
              <w:keepLines/>
              <w:rPr>
                <w:lang w:val="en-CA"/>
              </w:rPr>
            </w:pPr>
            <w:r>
              <w:rPr>
                <w:lang w:val="en-CA"/>
              </w:rPr>
              <w:t>When</w:t>
            </w:r>
          </w:p>
        </w:tc>
        <w:tc>
          <w:tcPr>
            <w:tcW w:w="2070" w:type="dxa"/>
            <w:shd w:val="clear" w:color="auto" w:fill="D9D9D9" w:themeFill="background1" w:themeFillShade="D9"/>
            <w:vAlign w:val="center"/>
          </w:tcPr>
          <w:p w14:paraId="29C3C2F7" w14:textId="77777777" w:rsidR="00855CB7" w:rsidRDefault="00855CB7" w:rsidP="009E6D86">
            <w:pPr>
              <w:pStyle w:val="TableHead"/>
              <w:keepNext/>
              <w:keepLines/>
              <w:rPr>
                <w:lang w:val="en-CA"/>
              </w:rPr>
            </w:pPr>
            <w:r>
              <w:rPr>
                <w:lang w:val="en-CA"/>
              </w:rPr>
              <w:t>Resulting Information</w:t>
            </w:r>
          </w:p>
        </w:tc>
        <w:tc>
          <w:tcPr>
            <w:tcW w:w="2700" w:type="dxa"/>
            <w:shd w:val="clear" w:color="auto" w:fill="D9D9D9" w:themeFill="background1" w:themeFillShade="D9"/>
            <w:vAlign w:val="center"/>
          </w:tcPr>
          <w:p w14:paraId="561B4C08" w14:textId="77777777" w:rsidR="00855CB7" w:rsidRDefault="00855CB7" w:rsidP="009E6D86">
            <w:pPr>
              <w:pStyle w:val="TableHead"/>
              <w:keepNext/>
              <w:keepLines/>
              <w:rPr>
                <w:lang w:val="en-CA"/>
              </w:rPr>
            </w:pPr>
            <w:r>
              <w:rPr>
                <w:lang w:val="en-CA"/>
              </w:rPr>
              <w:t>Method</w:t>
            </w:r>
          </w:p>
        </w:tc>
        <w:tc>
          <w:tcPr>
            <w:tcW w:w="2340" w:type="dxa"/>
            <w:shd w:val="clear" w:color="auto" w:fill="D9D9D9" w:themeFill="background1" w:themeFillShade="D9"/>
            <w:vAlign w:val="center"/>
          </w:tcPr>
          <w:p w14:paraId="7040A1A0" w14:textId="77777777" w:rsidR="00855CB7" w:rsidRDefault="00855CB7" w:rsidP="009E6D86">
            <w:pPr>
              <w:pStyle w:val="TableHead"/>
              <w:keepNext/>
              <w:keepLines/>
              <w:rPr>
                <w:lang w:val="en-CA"/>
              </w:rPr>
            </w:pPr>
            <w:r>
              <w:rPr>
                <w:lang w:val="en-CA"/>
              </w:rPr>
              <w:t>Completion Events</w:t>
            </w:r>
          </w:p>
        </w:tc>
      </w:tr>
      <w:tr w:rsidR="00855CB7" w14:paraId="5922190E" w14:textId="77777777" w:rsidTr="00D9320F">
        <w:tc>
          <w:tcPr>
            <w:tcW w:w="864" w:type="dxa"/>
          </w:tcPr>
          <w:p w14:paraId="6A8DC24C" w14:textId="77777777" w:rsidR="00855CB7" w:rsidRDefault="00855CB7">
            <w:pPr>
              <w:pStyle w:val="TableText"/>
              <w:rPr>
                <w:lang w:val="en-CA"/>
              </w:rPr>
            </w:pPr>
            <w:r>
              <w:rPr>
                <w:lang w:val="en-CA"/>
              </w:rPr>
              <w:t>5A.01</w:t>
            </w:r>
          </w:p>
        </w:tc>
        <w:tc>
          <w:tcPr>
            <w:tcW w:w="2160" w:type="dxa"/>
          </w:tcPr>
          <w:p w14:paraId="5B63DC03" w14:textId="77777777" w:rsidR="00855CB7" w:rsidRDefault="00855CB7">
            <w:pPr>
              <w:pStyle w:val="TableText"/>
              <w:rPr>
                <w:lang w:val="en-CA"/>
              </w:rPr>
            </w:pPr>
            <w:r>
              <w:rPr>
                <w:lang w:val="en-CA"/>
              </w:rPr>
              <w:t xml:space="preserve">Generate </w:t>
            </w:r>
            <w:r>
              <w:rPr>
                <w:i/>
                <w:lang w:val="en-CA"/>
              </w:rPr>
              <w:t>preliminary settlement statement(s)</w:t>
            </w:r>
            <w:r>
              <w:rPr>
                <w:lang w:val="en-CA"/>
              </w:rPr>
              <w:t xml:space="preserve"> for </w:t>
            </w:r>
            <w:r>
              <w:rPr>
                <w:i/>
                <w:lang w:val="en-CA"/>
              </w:rPr>
              <w:t>trading day(s)</w:t>
            </w:r>
            <w:r>
              <w:rPr>
                <w:lang w:val="en-CA"/>
              </w:rPr>
              <w:t>.</w:t>
            </w:r>
          </w:p>
        </w:tc>
        <w:tc>
          <w:tcPr>
            <w:tcW w:w="2790" w:type="dxa"/>
          </w:tcPr>
          <w:p w14:paraId="20FC4957" w14:textId="77777777" w:rsidR="00855CB7" w:rsidRDefault="007A6E66">
            <w:pPr>
              <w:pStyle w:val="TableText"/>
              <w:rPr>
                <w:lang w:val="en-CA"/>
              </w:rPr>
            </w:pPr>
            <w:r>
              <w:rPr>
                <w:lang w:val="en-CA"/>
              </w:rPr>
              <w:t>W</w:t>
            </w:r>
            <w:r w:rsidRPr="007A6E66">
              <w:rPr>
                <w:lang w:val="en-CA"/>
              </w:rPr>
              <w:t>e</w:t>
            </w:r>
            <w:r>
              <w:rPr>
                <w:lang w:val="en-CA"/>
              </w:rPr>
              <w:t xml:space="preserve"> </w:t>
            </w:r>
            <w:r w:rsidR="00855CB7">
              <w:rPr>
                <w:lang w:val="en-CA"/>
              </w:rPr>
              <w:t xml:space="preserve">generate the </w:t>
            </w:r>
            <w:r w:rsidR="00855CB7">
              <w:rPr>
                <w:i/>
                <w:lang w:val="en-CA"/>
              </w:rPr>
              <w:t>preliminary settlement statement</w:t>
            </w:r>
            <w:r w:rsidR="00855CB7">
              <w:rPr>
                <w:lang w:val="en-CA"/>
              </w:rPr>
              <w:t xml:space="preserve"> file(s) and companion data files for each </w:t>
            </w:r>
            <w:r w:rsidR="00855CB7">
              <w:rPr>
                <w:i/>
                <w:lang w:val="en-CA"/>
              </w:rPr>
              <w:t>trading day</w:t>
            </w:r>
            <w:r w:rsidR="00855CB7">
              <w:rPr>
                <w:lang w:val="en-CA"/>
              </w:rPr>
              <w:t xml:space="preserve"> for each </w:t>
            </w:r>
            <w:r w:rsidR="00855CB7">
              <w:rPr>
                <w:i/>
                <w:lang w:val="en-CA"/>
              </w:rPr>
              <w:t>market participant</w:t>
            </w:r>
            <w:r w:rsidR="00855CB7">
              <w:rPr>
                <w:lang w:val="en-CA"/>
              </w:rPr>
              <w:t>.</w:t>
            </w:r>
          </w:p>
          <w:p w14:paraId="099657D0" w14:textId="77777777" w:rsidR="00855CB7" w:rsidRDefault="00855CB7">
            <w:pPr>
              <w:pStyle w:val="TableText"/>
              <w:rPr>
                <w:lang w:val="en-CA"/>
              </w:rPr>
            </w:pPr>
            <w:r>
              <w:rPr>
                <w:i/>
                <w:lang w:val="en-CA"/>
              </w:rPr>
              <w:t>Preliminary settlement statements</w:t>
            </w:r>
            <w:r>
              <w:rPr>
                <w:lang w:val="en-CA"/>
              </w:rPr>
              <w:t xml:space="preserve"> may be issued for more than one </w:t>
            </w:r>
            <w:r>
              <w:rPr>
                <w:i/>
                <w:lang w:val="en-CA"/>
              </w:rPr>
              <w:t>trading day</w:t>
            </w:r>
            <w:r>
              <w:rPr>
                <w:lang w:val="en-CA"/>
              </w:rPr>
              <w:t xml:space="preserve"> on a given </w:t>
            </w:r>
            <w:r>
              <w:rPr>
                <w:i/>
                <w:lang w:val="en-CA"/>
              </w:rPr>
              <w:t>business day</w:t>
            </w:r>
            <w:r>
              <w:rPr>
                <w:lang w:val="en-CA"/>
              </w:rPr>
              <w:t>.</w:t>
            </w:r>
          </w:p>
        </w:tc>
        <w:tc>
          <w:tcPr>
            <w:tcW w:w="1980" w:type="dxa"/>
          </w:tcPr>
          <w:p w14:paraId="67B38BCB" w14:textId="77777777" w:rsidR="00855CB7" w:rsidRDefault="00855CB7">
            <w:pPr>
              <w:pStyle w:val="TableText"/>
              <w:rPr>
                <w:b/>
                <w:lang w:val="en-CA"/>
              </w:rPr>
            </w:pPr>
            <w:r>
              <w:rPr>
                <w:lang w:val="en-CA"/>
              </w:rPr>
              <w:t xml:space="preserve">Every </w:t>
            </w:r>
            <w:r>
              <w:rPr>
                <w:i/>
                <w:lang w:val="en-CA"/>
              </w:rPr>
              <w:t>business day</w:t>
            </w:r>
            <w:r>
              <w:rPr>
                <w:lang w:val="en-CA"/>
              </w:rPr>
              <w:t>.</w:t>
            </w:r>
          </w:p>
        </w:tc>
        <w:tc>
          <w:tcPr>
            <w:tcW w:w="2070" w:type="dxa"/>
          </w:tcPr>
          <w:p w14:paraId="6E06E4A7" w14:textId="77777777" w:rsidR="00855CB7" w:rsidRDefault="00855CB7">
            <w:pPr>
              <w:pStyle w:val="TableText"/>
              <w:rPr>
                <w:lang w:val="en-CA"/>
              </w:rPr>
            </w:pPr>
            <w:r>
              <w:rPr>
                <w:lang w:val="en-CA"/>
              </w:rPr>
              <w:t>None.</w:t>
            </w:r>
          </w:p>
        </w:tc>
        <w:tc>
          <w:tcPr>
            <w:tcW w:w="2700" w:type="dxa"/>
          </w:tcPr>
          <w:p w14:paraId="197EC8D1" w14:textId="77777777" w:rsidR="00855CB7" w:rsidRDefault="00F14C8C">
            <w:pPr>
              <w:pStyle w:val="TableText"/>
              <w:rPr>
                <w:lang w:val="en-CA"/>
              </w:rPr>
            </w:pPr>
            <w:r>
              <w:rPr>
                <w:lang w:val="en-CA"/>
              </w:rPr>
              <w:t>None.</w:t>
            </w:r>
          </w:p>
        </w:tc>
        <w:tc>
          <w:tcPr>
            <w:tcW w:w="2340" w:type="dxa"/>
          </w:tcPr>
          <w:p w14:paraId="2FEAAE01" w14:textId="77777777" w:rsidR="00855CB7" w:rsidRDefault="00855CB7">
            <w:pPr>
              <w:pStyle w:val="TableText"/>
              <w:rPr>
                <w:lang w:val="en-CA"/>
              </w:rPr>
            </w:pPr>
            <w:r>
              <w:rPr>
                <w:i/>
                <w:lang w:val="en-CA"/>
              </w:rPr>
              <w:t>Preliminary settlement statement</w:t>
            </w:r>
            <w:r>
              <w:rPr>
                <w:lang w:val="en-CA"/>
              </w:rPr>
              <w:t xml:space="preserve"> generated.</w:t>
            </w:r>
          </w:p>
        </w:tc>
      </w:tr>
      <w:tr w:rsidR="00855CB7" w14:paraId="7FD66323" w14:textId="77777777" w:rsidTr="00D9320F">
        <w:tc>
          <w:tcPr>
            <w:tcW w:w="864" w:type="dxa"/>
          </w:tcPr>
          <w:p w14:paraId="0C280CE0" w14:textId="77777777" w:rsidR="00855CB7" w:rsidRDefault="00855CB7">
            <w:pPr>
              <w:pStyle w:val="TableText"/>
              <w:rPr>
                <w:lang w:val="en-CA"/>
              </w:rPr>
            </w:pPr>
            <w:r>
              <w:rPr>
                <w:lang w:val="en-CA"/>
              </w:rPr>
              <w:t>5A.02</w:t>
            </w:r>
          </w:p>
        </w:tc>
        <w:tc>
          <w:tcPr>
            <w:tcW w:w="2160" w:type="dxa"/>
          </w:tcPr>
          <w:p w14:paraId="7782983B" w14:textId="77777777" w:rsidR="00855CB7" w:rsidRDefault="00855CB7">
            <w:pPr>
              <w:pStyle w:val="TableText"/>
              <w:rPr>
                <w:lang w:val="en-CA"/>
              </w:rPr>
            </w:pPr>
            <w:r>
              <w:rPr>
                <w:lang w:val="en-CA"/>
              </w:rPr>
              <w:t xml:space="preserve">Issue </w:t>
            </w:r>
            <w:r>
              <w:rPr>
                <w:i/>
                <w:lang w:val="en-CA"/>
              </w:rPr>
              <w:t>preliminary settlement statement(s)</w:t>
            </w:r>
            <w:r>
              <w:rPr>
                <w:lang w:val="en-CA"/>
              </w:rPr>
              <w:t xml:space="preserve"> and companion data files(s).</w:t>
            </w:r>
          </w:p>
        </w:tc>
        <w:tc>
          <w:tcPr>
            <w:tcW w:w="2790" w:type="dxa"/>
          </w:tcPr>
          <w:p w14:paraId="68170BBD" w14:textId="77777777" w:rsidR="00855CB7" w:rsidRDefault="007A6E66" w:rsidP="007A6E66">
            <w:pPr>
              <w:pStyle w:val="TableText"/>
              <w:rPr>
                <w:lang w:val="en-CA"/>
              </w:rPr>
            </w:pPr>
            <w:r>
              <w:rPr>
                <w:lang w:val="en-CA"/>
              </w:rPr>
              <w:t>W</w:t>
            </w:r>
            <w:r w:rsidRPr="007A6E66">
              <w:rPr>
                <w:lang w:val="en-CA"/>
              </w:rPr>
              <w:t>e</w:t>
            </w:r>
            <w:r w:rsidDel="007A6E66">
              <w:rPr>
                <w:lang w:val="en-CA"/>
              </w:rPr>
              <w:t xml:space="preserve"> </w:t>
            </w:r>
            <w:r w:rsidR="00855CB7">
              <w:rPr>
                <w:lang w:val="en-CA"/>
              </w:rPr>
              <w:t xml:space="preserve">issue the </w:t>
            </w:r>
            <w:r w:rsidR="00855CB7">
              <w:rPr>
                <w:i/>
                <w:lang w:val="en-CA"/>
              </w:rPr>
              <w:t>preliminary settlement statement</w:t>
            </w:r>
            <w:r w:rsidR="00855CB7">
              <w:rPr>
                <w:lang w:val="en-CA"/>
              </w:rPr>
              <w:t xml:space="preserve"> file(s) and companion files which have a non-zero </w:t>
            </w:r>
            <w:r w:rsidR="00855CB7">
              <w:rPr>
                <w:i/>
                <w:lang w:val="en-CA"/>
              </w:rPr>
              <w:t>settlement amount</w:t>
            </w:r>
            <w:r w:rsidR="00855CB7">
              <w:rPr>
                <w:lang w:val="en-CA"/>
              </w:rPr>
              <w:t xml:space="preserve"> for that </w:t>
            </w:r>
            <w:r w:rsidR="00855CB7">
              <w:rPr>
                <w:i/>
                <w:lang w:val="en-CA"/>
              </w:rPr>
              <w:t>trading day(s)</w:t>
            </w:r>
            <w:r w:rsidR="00855CB7">
              <w:rPr>
                <w:lang w:val="en-CA"/>
              </w:rPr>
              <w:t>.</w:t>
            </w:r>
          </w:p>
        </w:tc>
        <w:tc>
          <w:tcPr>
            <w:tcW w:w="1980" w:type="dxa"/>
          </w:tcPr>
          <w:p w14:paraId="572A38AF" w14:textId="77777777" w:rsidR="00855CB7" w:rsidRDefault="00855CB7">
            <w:pPr>
              <w:pStyle w:val="TableText"/>
              <w:rPr>
                <w:lang w:val="en-CA"/>
              </w:rPr>
            </w:pPr>
            <w:r>
              <w:rPr>
                <w:lang w:val="en-CA"/>
              </w:rPr>
              <w:t xml:space="preserve">By 17:00 EST on the date specified in the </w:t>
            </w:r>
            <w:r>
              <w:rPr>
                <w:i/>
                <w:lang w:val="en-CA"/>
              </w:rPr>
              <w:t>SSPC</w:t>
            </w:r>
            <w:r>
              <w:rPr>
                <w:lang w:val="en-CA"/>
              </w:rPr>
              <w:t>.</w:t>
            </w:r>
          </w:p>
        </w:tc>
        <w:tc>
          <w:tcPr>
            <w:tcW w:w="2070" w:type="dxa"/>
          </w:tcPr>
          <w:p w14:paraId="09CD886A" w14:textId="77777777" w:rsidR="00855CB7" w:rsidRDefault="00855CB7">
            <w:pPr>
              <w:pStyle w:val="TableText"/>
              <w:rPr>
                <w:lang w:val="en-CA"/>
              </w:rPr>
            </w:pPr>
            <w:r>
              <w:rPr>
                <w:i/>
                <w:lang w:val="en-CA"/>
              </w:rPr>
              <w:t>Preliminary settlement statement</w:t>
            </w:r>
            <w:r>
              <w:rPr>
                <w:lang w:val="en-CA"/>
              </w:rPr>
              <w:t xml:space="preserve"> file and companion data files.</w:t>
            </w:r>
          </w:p>
        </w:tc>
        <w:tc>
          <w:tcPr>
            <w:tcW w:w="2700" w:type="dxa"/>
          </w:tcPr>
          <w:p w14:paraId="2CF70122" w14:textId="77777777" w:rsidR="00855CB7" w:rsidRDefault="00C43F27">
            <w:pPr>
              <w:pStyle w:val="TableText"/>
              <w:rPr>
                <w:b/>
                <w:lang w:val="en-CA"/>
              </w:rPr>
            </w:pPr>
            <w:r>
              <w:rPr>
                <w:lang w:val="en-CA"/>
              </w:rPr>
              <w:t xml:space="preserve">Via the </w:t>
            </w:r>
            <w:r w:rsidRPr="001217EC">
              <w:rPr>
                <w:i/>
                <w:lang w:val="en-CA"/>
              </w:rPr>
              <w:t>IESO</w:t>
            </w:r>
            <w:r>
              <w:rPr>
                <w:lang w:val="en-CA"/>
              </w:rPr>
              <w:t xml:space="preserve"> Report Site</w:t>
            </w:r>
            <w:r w:rsidR="00855CB7">
              <w:rPr>
                <w:lang w:val="en-CA"/>
              </w:rPr>
              <w:t xml:space="preserve"> </w:t>
            </w:r>
            <w:r w:rsidR="00855CB7">
              <w:rPr>
                <w:rStyle w:val="FootnoteReference"/>
                <w:lang w:val="en-CA"/>
              </w:rPr>
              <w:footnoteReference w:id="42"/>
            </w:r>
            <w:r>
              <w:rPr>
                <w:lang w:val="en-CA"/>
              </w:rPr>
              <w:t xml:space="preserve"> </w:t>
            </w:r>
          </w:p>
        </w:tc>
        <w:tc>
          <w:tcPr>
            <w:tcW w:w="2340" w:type="dxa"/>
          </w:tcPr>
          <w:p w14:paraId="1AF338CA" w14:textId="77777777" w:rsidR="00855CB7" w:rsidRDefault="00855CB7">
            <w:pPr>
              <w:pStyle w:val="TableText"/>
              <w:rPr>
                <w:lang w:val="en-CA"/>
              </w:rPr>
            </w:pPr>
            <w:r>
              <w:rPr>
                <w:i/>
                <w:lang w:val="en-CA"/>
              </w:rPr>
              <w:t>Preliminary settlement statement</w:t>
            </w:r>
            <w:r>
              <w:rPr>
                <w:lang w:val="en-CA"/>
              </w:rPr>
              <w:t xml:space="preserve"> issued.</w:t>
            </w:r>
          </w:p>
        </w:tc>
      </w:tr>
      <w:tr w:rsidR="00855CB7" w14:paraId="1740A5B6" w14:textId="77777777" w:rsidTr="007578A1">
        <w:trPr>
          <w:cantSplit/>
        </w:trPr>
        <w:tc>
          <w:tcPr>
            <w:tcW w:w="864" w:type="dxa"/>
          </w:tcPr>
          <w:p w14:paraId="5EA63A09" w14:textId="77777777" w:rsidR="00855CB7" w:rsidRDefault="00855CB7">
            <w:pPr>
              <w:pStyle w:val="TableText"/>
              <w:rPr>
                <w:lang w:val="en-CA"/>
              </w:rPr>
            </w:pPr>
            <w:r>
              <w:rPr>
                <w:lang w:val="en-CA"/>
              </w:rPr>
              <w:t>5A.03</w:t>
            </w:r>
          </w:p>
        </w:tc>
        <w:tc>
          <w:tcPr>
            <w:tcW w:w="2160" w:type="dxa"/>
          </w:tcPr>
          <w:p w14:paraId="2A0D6315" w14:textId="77777777" w:rsidR="00855CB7" w:rsidRDefault="00855CB7">
            <w:pPr>
              <w:pStyle w:val="TableText"/>
              <w:rPr>
                <w:lang w:val="en-CA"/>
              </w:rPr>
            </w:pPr>
            <w:r>
              <w:rPr>
                <w:lang w:val="en-CA"/>
              </w:rPr>
              <w:t xml:space="preserve">Download and review </w:t>
            </w:r>
            <w:r>
              <w:rPr>
                <w:i/>
                <w:lang w:val="en-CA"/>
              </w:rPr>
              <w:t>preliminary settlement statement(s)</w:t>
            </w:r>
            <w:r>
              <w:rPr>
                <w:lang w:val="en-CA"/>
              </w:rPr>
              <w:t xml:space="preserve"> and companion data files.</w:t>
            </w:r>
          </w:p>
        </w:tc>
        <w:tc>
          <w:tcPr>
            <w:tcW w:w="2790" w:type="dxa"/>
          </w:tcPr>
          <w:p w14:paraId="5E9EE11D" w14:textId="77777777" w:rsidR="00855CB7" w:rsidRDefault="00855CB7" w:rsidP="007A6E66">
            <w:pPr>
              <w:pStyle w:val="TableText"/>
              <w:rPr>
                <w:lang w:val="en-CA"/>
              </w:rPr>
            </w:pPr>
            <w:r>
              <w:rPr>
                <w:lang w:val="en-CA"/>
              </w:rPr>
              <w:t xml:space="preserve">The </w:t>
            </w:r>
            <w:r>
              <w:rPr>
                <w:i/>
                <w:lang w:val="en-CA"/>
              </w:rPr>
              <w:t>market participant</w:t>
            </w:r>
            <w:r>
              <w:rPr>
                <w:lang w:val="en-CA"/>
              </w:rPr>
              <w:t xml:space="preserve"> downloads the </w:t>
            </w:r>
            <w:r>
              <w:rPr>
                <w:i/>
                <w:lang w:val="en-CA"/>
              </w:rPr>
              <w:t>preliminary settlement statement</w:t>
            </w:r>
            <w:r>
              <w:rPr>
                <w:lang w:val="en-CA"/>
              </w:rPr>
              <w:t xml:space="preserve"> file(s) and companion data files from the</w:t>
            </w:r>
            <w:r w:rsidR="003C458E">
              <w:rPr>
                <w:lang w:val="en-CA"/>
              </w:rPr>
              <w:t xml:space="preserve"> IESO Report site </w:t>
            </w:r>
            <w:r>
              <w:rPr>
                <w:lang w:val="en-CA"/>
              </w:rPr>
              <w:t>and reviews the data.</w:t>
            </w:r>
          </w:p>
        </w:tc>
        <w:tc>
          <w:tcPr>
            <w:tcW w:w="1980" w:type="dxa"/>
          </w:tcPr>
          <w:p w14:paraId="102EF020" w14:textId="77777777" w:rsidR="00855CB7" w:rsidRDefault="00855CB7">
            <w:pPr>
              <w:pStyle w:val="TableText"/>
              <w:rPr>
                <w:lang w:val="en-CA"/>
              </w:rPr>
            </w:pPr>
            <w:r>
              <w:rPr>
                <w:lang w:val="en-CA"/>
              </w:rPr>
              <w:t>After Step 5A.02.</w:t>
            </w:r>
          </w:p>
        </w:tc>
        <w:tc>
          <w:tcPr>
            <w:tcW w:w="2070" w:type="dxa"/>
          </w:tcPr>
          <w:p w14:paraId="73BEC640" w14:textId="77777777" w:rsidR="00855CB7" w:rsidRDefault="00855CB7">
            <w:pPr>
              <w:pStyle w:val="TableText"/>
              <w:rPr>
                <w:lang w:val="en-CA"/>
              </w:rPr>
            </w:pPr>
            <w:r>
              <w:rPr>
                <w:lang w:val="en-CA"/>
              </w:rPr>
              <w:t>None.</w:t>
            </w:r>
          </w:p>
        </w:tc>
        <w:tc>
          <w:tcPr>
            <w:tcW w:w="2700" w:type="dxa"/>
          </w:tcPr>
          <w:p w14:paraId="78C88227" w14:textId="77777777" w:rsidR="00855CB7" w:rsidRDefault="00855CB7">
            <w:pPr>
              <w:pStyle w:val="TableText"/>
              <w:rPr>
                <w:lang w:val="en-CA"/>
              </w:rPr>
            </w:pPr>
            <w:r>
              <w:rPr>
                <w:lang w:val="en-CA"/>
              </w:rPr>
              <w:t>None.</w:t>
            </w:r>
          </w:p>
        </w:tc>
        <w:tc>
          <w:tcPr>
            <w:tcW w:w="2340" w:type="dxa"/>
          </w:tcPr>
          <w:p w14:paraId="3F360A94" w14:textId="77777777" w:rsidR="00855CB7" w:rsidRDefault="00855CB7">
            <w:pPr>
              <w:pStyle w:val="TableText"/>
              <w:rPr>
                <w:lang w:val="en-CA"/>
              </w:rPr>
            </w:pPr>
            <w:r>
              <w:rPr>
                <w:i/>
                <w:lang w:val="en-CA"/>
              </w:rPr>
              <w:t>Preliminary settlement statement</w:t>
            </w:r>
            <w:r>
              <w:rPr>
                <w:lang w:val="en-CA"/>
              </w:rPr>
              <w:t xml:space="preserve"> file(s) and companion data files downloaded to the </w:t>
            </w:r>
            <w:r>
              <w:rPr>
                <w:i/>
                <w:lang w:val="en-CA"/>
              </w:rPr>
              <w:t>market participant’s</w:t>
            </w:r>
            <w:r>
              <w:rPr>
                <w:lang w:val="en-CA"/>
              </w:rPr>
              <w:t xml:space="preserve"> system.</w:t>
            </w:r>
          </w:p>
        </w:tc>
      </w:tr>
      <w:tr w:rsidR="00855CB7" w14:paraId="5F10B059" w14:textId="77777777" w:rsidTr="007578A1">
        <w:trPr>
          <w:cantSplit/>
        </w:trPr>
        <w:tc>
          <w:tcPr>
            <w:tcW w:w="864" w:type="dxa"/>
          </w:tcPr>
          <w:p w14:paraId="2621F7B5" w14:textId="77777777" w:rsidR="00855CB7" w:rsidRDefault="00855CB7">
            <w:pPr>
              <w:pStyle w:val="TableText"/>
              <w:rPr>
                <w:lang w:val="en-CA"/>
              </w:rPr>
            </w:pPr>
            <w:r>
              <w:rPr>
                <w:lang w:val="en-CA"/>
              </w:rPr>
              <w:t>5A.04</w:t>
            </w:r>
          </w:p>
        </w:tc>
        <w:tc>
          <w:tcPr>
            <w:tcW w:w="2160" w:type="dxa"/>
          </w:tcPr>
          <w:p w14:paraId="0028A443" w14:textId="77777777" w:rsidR="00855CB7" w:rsidRDefault="00855CB7" w:rsidP="007A6E66">
            <w:pPr>
              <w:pStyle w:val="TableText"/>
              <w:rPr>
                <w:lang w:val="en-CA"/>
              </w:rPr>
            </w:pPr>
            <w:r w:rsidRPr="007A6E66">
              <w:rPr>
                <w:lang w:val="en-CA"/>
              </w:rPr>
              <w:t xml:space="preserve">Notify </w:t>
            </w:r>
            <w:r w:rsidR="007A6E66" w:rsidRPr="007A6E66">
              <w:rPr>
                <w:lang w:val="en-CA"/>
              </w:rPr>
              <w:t xml:space="preserve">us </w:t>
            </w:r>
            <w:r w:rsidRPr="007A6E66">
              <w:rPr>
                <w:lang w:val="en-CA"/>
              </w:rPr>
              <w:t>that</w:t>
            </w:r>
            <w:r>
              <w:rPr>
                <w:lang w:val="en-CA"/>
              </w:rPr>
              <w:t xml:space="preserve"> </w:t>
            </w:r>
            <w:r>
              <w:rPr>
                <w:i/>
                <w:lang w:val="en-CA"/>
              </w:rPr>
              <w:t>preliminary settlement statement(s)</w:t>
            </w:r>
            <w:r>
              <w:rPr>
                <w:lang w:val="en-CA"/>
              </w:rPr>
              <w:t xml:space="preserve"> was not accessible by date specified in </w:t>
            </w:r>
            <w:r>
              <w:rPr>
                <w:i/>
                <w:lang w:val="en-CA"/>
              </w:rPr>
              <w:t>SSPC</w:t>
            </w:r>
            <w:r>
              <w:rPr>
                <w:lang w:val="en-CA"/>
              </w:rPr>
              <w:t>.</w:t>
            </w:r>
          </w:p>
        </w:tc>
        <w:tc>
          <w:tcPr>
            <w:tcW w:w="2790" w:type="dxa"/>
          </w:tcPr>
          <w:p w14:paraId="32325916" w14:textId="77777777" w:rsidR="00855CB7" w:rsidRDefault="00855CB7" w:rsidP="007A6E66">
            <w:pPr>
              <w:pStyle w:val="TableText"/>
              <w:rPr>
                <w:lang w:val="en-CA"/>
              </w:rPr>
            </w:pPr>
            <w:r>
              <w:rPr>
                <w:lang w:val="en-CA"/>
              </w:rPr>
              <w:t xml:space="preserve">The </w:t>
            </w:r>
            <w:r>
              <w:rPr>
                <w:i/>
                <w:lang w:val="en-CA"/>
              </w:rPr>
              <w:t>market participant</w:t>
            </w:r>
            <w:r>
              <w:rPr>
                <w:lang w:val="en-CA"/>
              </w:rPr>
              <w:t xml:space="preserve"> notifies </w:t>
            </w:r>
            <w:r w:rsidR="007A6E66" w:rsidRPr="007A6E66">
              <w:rPr>
                <w:lang w:val="en-CA"/>
              </w:rPr>
              <w:t>our</w:t>
            </w:r>
            <w:r w:rsidR="007A6E66">
              <w:rPr>
                <w:i/>
                <w:lang w:val="en-CA"/>
              </w:rPr>
              <w:t xml:space="preserve"> </w:t>
            </w:r>
            <w:r w:rsidR="0053743C">
              <w:rPr>
                <w:i/>
                <w:lang w:val="en-CA"/>
              </w:rPr>
              <w:t>Customer Relations</w:t>
            </w:r>
            <w:r>
              <w:rPr>
                <w:lang w:val="en-CA"/>
              </w:rPr>
              <w:t xml:space="preserve"> that the </w:t>
            </w:r>
            <w:r>
              <w:rPr>
                <w:i/>
                <w:lang w:val="en-CA"/>
              </w:rPr>
              <w:t>preliminary settlement statement</w:t>
            </w:r>
            <w:r>
              <w:rPr>
                <w:lang w:val="en-CA"/>
              </w:rPr>
              <w:t xml:space="preserve"> file(s) and companion data files were not issued, or otherwise accessible, within the established timeframe.</w:t>
            </w:r>
          </w:p>
        </w:tc>
        <w:tc>
          <w:tcPr>
            <w:tcW w:w="1980" w:type="dxa"/>
          </w:tcPr>
          <w:p w14:paraId="5090640E" w14:textId="77777777" w:rsidR="00855CB7" w:rsidRDefault="00855CB7">
            <w:pPr>
              <w:pStyle w:val="TableText"/>
              <w:rPr>
                <w:lang w:val="en-CA"/>
              </w:rPr>
            </w:pPr>
            <w:r>
              <w:rPr>
                <w:i/>
                <w:lang w:val="en-CA"/>
              </w:rPr>
              <w:t>Preliminary settlement statement(s)</w:t>
            </w:r>
            <w:r>
              <w:rPr>
                <w:lang w:val="en-CA"/>
              </w:rPr>
              <w:t xml:space="preserve"> not issued in established timeframe.</w:t>
            </w:r>
          </w:p>
        </w:tc>
        <w:tc>
          <w:tcPr>
            <w:tcW w:w="2070" w:type="dxa"/>
          </w:tcPr>
          <w:p w14:paraId="4E5B44C0" w14:textId="77777777" w:rsidR="00855CB7" w:rsidRDefault="00855CB7">
            <w:pPr>
              <w:pStyle w:val="TableText"/>
              <w:rPr>
                <w:lang w:val="en-CA"/>
              </w:rPr>
            </w:pPr>
            <w:r>
              <w:rPr>
                <w:lang w:val="en-CA"/>
              </w:rPr>
              <w:t xml:space="preserve">Notification that </w:t>
            </w:r>
            <w:r>
              <w:rPr>
                <w:i/>
                <w:lang w:val="en-CA"/>
              </w:rPr>
              <w:t>preliminary settlement statement(s)</w:t>
            </w:r>
            <w:r>
              <w:rPr>
                <w:lang w:val="en-CA"/>
              </w:rPr>
              <w:t xml:space="preserve"> not issued.</w:t>
            </w:r>
          </w:p>
        </w:tc>
        <w:tc>
          <w:tcPr>
            <w:tcW w:w="2700" w:type="dxa"/>
          </w:tcPr>
          <w:p w14:paraId="1E696786" w14:textId="77777777" w:rsidR="00855CB7" w:rsidRDefault="00855CB7">
            <w:pPr>
              <w:pStyle w:val="TableText"/>
              <w:rPr>
                <w:b/>
                <w:i/>
                <w:lang w:val="en-CA"/>
              </w:rPr>
            </w:pPr>
            <w:r>
              <w:rPr>
                <w:lang w:val="en-CA"/>
              </w:rPr>
              <w:t>E-mail or telephone.</w:t>
            </w:r>
          </w:p>
        </w:tc>
        <w:tc>
          <w:tcPr>
            <w:tcW w:w="2340" w:type="dxa"/>
          </w:tcPr>
          <w:p w14:paraId="4CB53720" w14:textId="77777777" w:rsidR="00855CB7" w:rsidRDefault="00855CB7">
            <w:pPr>
              <w:pStyle w:val="TableText"/>
              <w:rPr>
                <w:lang w:val="en-CA"/>
              </w:rPr>
            </w:pPr>
            <w:r>
              <w:rPr>
                <w:lang w:val="en-CA"/>
              </w:rPr>
              <w:t xml:space="preserve">Notification that </w:t>
            </w:r>
            <w:r>
              <w:rPr>
                <w:i/>
                <w:lang w:val="en-CA"/>
              </w:rPr>
              <w:t>preliminary settlement statement(s)</w:t>
            </w:r>
            <w:r>
              <w:rPr>
                <w:lang w:val="en-CA"/>
              </w:rPr>
              <w:t xml:space="preserve"> not issued received by the </w:t>
            </w:r>
            <w:r>
              <w:rPr>
                <w:i/>
                <w:lang w:val="en-CA"/>
              </w:rPr>
              <w:t>IESO</w:t>
            </w:r>
            <w:r>
              <w:rPr>
                <w:lang w:val="en-CA"/>
              </w:rPr>
              <w:t>.</w:t>
            </w:r>
          </w:p>
        </w:tc>
      </w:tr>
      <w:tr w:rsidR="00855CB7" w14:paraId="1E316468" w14:textId="77777777" w:rsidTr="007578A1">
        <w:trPr>
          <w:cantSplit/>
        </w:trPr>
        <w:tc>
          <w:tcPr>
            <w:tcW w:w="864" w:type="dxa"/>
          </w:tcPr>
          <w:p w14:paraId="1E4A2B7D" w14:textId="77777777" w:rsidR="00855CB7" w:rsidRDefault="00855CB7">
            <w:pPr>
              <w:pStyle w:val="TableText"/>
              <w:rPr>
                <w:lang w:val="en-CA"/>
              </w:rPr>
            </w:pPr>
            <w:r>
              <w:rPr>
                <w:lang w:val="en-CA"/>
              </w:rPr>
              <w:t>5A.05</w:t>
            </w:r>
          </w:p>
        </w:tc>
        <w:tc>
          <w:tcPr>
            <w:tcW w:w="2160" w:type="dxa"/>
          </w:tcPr>
          <w:p w14:paraId="1E731621" w14:textId="77777777" w:rsidR="00855CB7" w:rsidRDefault="00855CB7">
            <w:pPr>
              <w:pStyle w:val="TableText"/>
              <w:rPr>
                <w:lang w:val="en-CA"/>
              </w:rPr>
            </w:pPr>
            <w:r>
              <w:rPr>
                <w:lang w:val="en-CA"/>
              </w:rPr>
              <w:t>Investigate and re</w:t>
            </w:r>
            <w:r>
              <w:rPr>
                <w:lang w:val="en-CA"/>
              </w:rPr>
              <w:noBreakHyphen/>
              <w:t xml:space="preserve">issue </w:t>
            </w:r>
            <w:r>
              <w:rPr>
                <w:i/>
                <w:lang w:val="en-CA"/>
              </w:rPr>
              <w:t>preliminary settlement statement(s)</w:t>
            </w:r>
            <w:r>
              <w:rPr>
                <w:lang w:val="en-CA"/>
              </w:rPr>
              <w:t>, if necessary (refer to Step 5A.02).</w:t>
            </w:r>
          </w:p>
        </w:tc>
        <w:tc>
          <w:tcPr>
            <w:tcW w:w="2790" w:type="dxa"/>
          </w:tcPr>
          <w:p w14:paraId="4024C0E9" w14:textId="77777777" w:rsidR="00855CB7" w:rsidRDefault="007A6E66" w:rsidP="007A6E66">
            <w:pPr>
              <w:pStyle w:val="TableText"/>
              <w:rPr>
                <w:lang w:val="en-CA"/>
              </w:rPr>
            </w:pPr>
            <w:r>
              <w:rPr>
                <w:lang w:val="en-CA"/>
              </w:rPr>
              <w:t>W</w:t>
            </w:r>
            <w:r w:rsidRPr="007A6E66">
              <w:rPr>
                <w:lang w:val="en-CA"/>
              </w:rPr>
              <w:t>e</w:t>
            </w:r>
            <w:r w:rsidDel="007A6E66">
              <w:rPr>
                <w:lang w:val="en-CA"/>
              </w:rPr>
              <w:t xml:space="preserve"> </w:t>
            </w:r>
            <w:r w:rsidR="00855CB7">
              <w:rPr>
                <w:lang w:val="en-CA"/>
              </w:rPr>
              <w:t>investigate and re</w:t>
            </w:r>
            <w:r w:rsidR="00855CB7">
              <w:rPr>
                <w:lang w:val="en-CA"/>
              </w:rPr>
              <w:noBreakHyphen/>
              <w:t xml:space="preserve">issue the </w:t>
            </w:r>
            <w:r w:rsidR="00855CB7">
              <w:rPr>
                <w:i/>
                <w:lang w:val="en-CA"/>
              </w:rPr>
              <w:t>preliminary settlement statement</w:t>
            </w:r>
            <w:r w:rsidR="00855CB7">
              <w:rPr>
                <w:lang w:val="en-CA"/>
              </w:rPr>
              <w:t xml:space="preserve"> file(s) and companion data files for a given </w:t>
            </w:r>
            <w:r w:rsidR="00855CB7">
              <w:rPr>
                <w:i/>
                <w:lang w:val="en-CA"/>
              </w:rPr>
              <w:t>trading day</w:t>
            </w:r>
            <w:r w:rsidR="00855CB7">
              <w:rPr>
                <w:lang w:val="en-CA"/>
              </w:rPr>
              <w:t xml:space="preserve"> if the investigation determines that this is necessary.</w:t>
            </w:r>
          </w:p>
        </w:tc>
        <w:tc>
          <w:tcPr>
            <w:tcW w:w="1980" w:type="dxa"/>
          </w:tcPr>
          <w:p w14:paraId="5D098B13" w14:textId="77777777" w:rsidR="00855CB7" w:rsidRDefault="00855CB7">
            <w:pPr>
              <w:pStyle w:val="TableText"/>
              <w:rPr>
                <w:lang w:val="en-CA"/>
              </w:rPr>
            </w:pPr>
            <w:r>
              <w:rPr>
                <w:lang w:val="en-CA"/>
              </w:rPr>
              <w:t>After Step 5A.04.</w:t>
            </w:r>
          </w:p>
        </w:tc>
        <w:tc>
          <w:tcPr>
            <w:tcW w:w="2070" w:type="dxa"/>
          </w:tcPr>
          <w:p w14:paraId="52294F56" w14:textId="77777777" w:rsidR="00855CB7" w:rsidRDefault="00855CB7">
            <w:pPr>
              <w:pStyle w:val="TableText"/>
              <w:rPr>
                <w:lang w:val="en-CA"/>
              </w:rPr>
            </w:pPr>
            <w:r>
              <w:rPr>
                <w:i/>
                <w:lang w:val="en-CA"/>
              </w:rPr>
              <w:t>Preliminary settlement statement</w:t>
            </w:r>
            <w:r>
              <w:rPr>
                <w:lang w:val="en-CA"/>
              </w:rPr>
              <w:t xml:space="preserve"> file(s) and companion data files.</w:t>
            </w:r>
          </w:p>
        </w:tc>
        <w:tc>
          <w:tcPr>
            <w:tcW w:w="2700" w:type="dxa"/>
          </w:tcPr>
          <w:p w14:paraId="15D5849D" w14:textId="77777777" w:rsidR="00855CB7" w:rsidRPr="00D063EB" w:rsidRDefault="00C43F27" w:rsidP="00891E6B">
            <w:pPr>
              <w:pStyle w:val="TableText"/>
              <w:rPr>
                <w:lang w:val="it-IT"/>
              </w:rPr>
            </w:pPr>
            <w:r w:rsidRPr="001217EC">
              <w:rPr>
                <w:i/>
                <w:lang w:val="en-CA"/>
              </w:rPr>
              <w:t>IESO</w:t>
            </w:r>
            <w:r>
              <w:rPr>
                <w:lang w:val="en-CA"/>
              </w:rPr>
              <w:t xml:space="preserve"> Report site</w:t>
            </w:r>
            <w:r>
              <w:rPr>
                <w:rStyle w:val="FootnoteReference"/>
                <w:lang w:val="en-CA"/>
              </w:rPr>
              <w:footnoteReference w:id="43"/>
            </w:r>
            <w:r w:rsidR="00891E6B">
              <w:rPr>
                <w:lang w:val="en-CA"/>
              </w:rPr>
              <w:t xml:space="preserve"> or</w:t>
            </w:r>
            <w:r w:rsidR="00855CB7">
              <w:rPr>
                <w:lang w:val="en-CA"/>
              </w:rPr>
              <w:t xml:space="preserve"> e-mail </w:t>
            </w:r>
          </w:p>
        </w:tc>
        <w:tc>
          <w:tcPr>
            <w:tcW w:w="2340" w:type="dxa"/>
          </w:tcPr>
          <w:p w14:paraId="3B4D43DE" w14:textId="77777777" w:rsidR="00855CB7" w:rsidRDefault="00855CB7">
            <w:pPr>
              <w:pStyle w:val="TableText"/>
              <w:rPr>
                <w:lang w:val="en-CA"/>
              </w:rPr>
            </w:pPr>
            <w:r>
              <w:rPr>
                <w:i/>
                <w:lang w:val="en-CA"/>
              </w:rPr>
              <w:t>Preliminary settlement statement(</w:t>
            </w:r>
            <w:r>
              <w:rPr>
                <w:lang w:val="en-CA"/>
              </w:rPr>
              <w:t xml:space="preserve">s) issued and verified by the </w:t>
            </w:r>
            <w:r>
              <w:rPr>
                <w:i/>
                <w:lang w:val="en-CA"/>
              </w:rPr>
              <w:t>market participant</w:t>
            </w:r>
            <w:r>
              <w:rPr>
                <w:lang w:val="en-CA"/>
              </w:rPr>
              <w:t>.</w:t>
            </w:r>
          </w:p>
        </w:tc>
      </w:tr>
      <w:tr w:rsidR="00855CB7" w14:paraId="4B8C49EA" w14:textId="77777777" w:rsidTr="007578A1">
        <w:trPr>
          <w:cantSplit/>
        </w:trPr>
        <w:tc>
          <w:tcPr>
            <w:tcW w:w="864" w:type="dxa"/>
          </w:tcPr>
          <w:p w14:paraId="67E5AB91" w14:textId="77777777" w:rsidR="00855CB7" w:rsidRDefault="00855CB7">
            <w:pPr>
              <w:pStyle w:val="TableText"/>
              <w:rPr>
                <w:lang w:val="en-CA"/>
              </w:rPr>
            </w:pPr>
            <w:r>
              <w:rPr>
                <w:lang w:val="en-CA"/>
              </w:rPr>
              <w:t>5A.06</w:t>
            </w:r>
          </w:p>
        </w:tc>
        <w:tc>
          <w:tcPr>
            <w:tcW w:w="2160" w:type="dxa"/>
          </w:tcPr>
          <w:p w14:paraId="70F3C5F2" w14:textId="77777777" w:rsidR="00855CB7" w:rsidRDefault="00855CB7">
            <w:pPr>
              <w:pStyle w:val="TableText"/>
              <w:rPr>
                <w:lang w:val="en-CA"/>
              </w:rPr>
            </w:pPr>
            <w:r>
              <w:rPr>
                <w:lang w:val="en-CA"/>
              </w:rPr>
              <w:t xml:space="preserve">Review </w:t>
            </w:r>
            <w:r>
              <w:rPr>
                <w:i/>
                <w:lang w:val="en-CA"/>
              </w:rPr>
              <w:t>preliminary settlement statement(s)</w:t>
            </w:r>
            <w:r>
              <w:rPr>
                <w:lang w:val="en-CA"/>
              </w:rPr>
              <w:t>.</w:t>
            </w:r>
          </w:p>
        </w:tc>
        <w:tc>
          <w:tcPr>
            <w:tcW w:w="2790" w:type="dxa"/>
          </w:tcPr>
          <w:p w14:paraId="52FDC0CF" w14:textId="77777777" w:rsidR="00855CB7" w:rsidRDefault="00855CB7">
            <w:pPr>
              <w:pStyle w:val="TableText"/>
              <w:rPr>
                <w:lang w:val="en-CA"/>
              </w:rPr>
            </w:pPr>
            <w:r>
              <w:rPr>
                <w:lang w:val="en-CA"/>
              </w:rPr>
              <w:t xml:space="preserve">The </w:t>
            </w:r>
            <w:r>
              <w:rPr>
                <w:i/>
                <w:lang w:val="en-CA"/>
              </w:rPr>
              <w:t>market participant</w:t>
            </w:r>
            <w:r>
              <w:rPr>
                <w:lang w:val="en-CA"/>
              </w:rPr>
              <w:t xml:space="preserve"> reviews the </w:t>
            </w:r>
            <w:r>
              <w:rPr>
                <w:i/>
                <w:lang w:val="en-CA"/>
              </w:rPr>
              <w:t>preliminary settlement statement</w:t>
            </w:r>
            <w:r>
              <w:rPr>
                <w:lang w:val="en-CA"/>
              </w:rPr>
              <w:t xml:space="preserve"> file(s) and companion data files to identify possible errors.</w:t>
            </w:r>
          </w:p>
        </w:tc>
        <w:tc>
          <w:tcPr>
            <w:tcW w:w="1980" w:type="dxa"/>
          </w:tcPr>
          <w:p w14:paraId="6BDAB49E" w14:textId="77777777" w:rsidR="00855CB7" w:rsidRDefault="00855CB7">
            <w:pPr>
              <w:pStyle w:val="TableText"/>
              <w:rPr>
                <w:lang w:val="en-CA"/>
              </w:rPr>
            </w:pPr>
            <w:r>
              <w:rPr>
                <w:lang w:val="en-CA"/>
              </w:rPr>
              <w:t>Following Step 5A.03.</w:t>
            </w:r>
          </w:p>
        </w:tc>
        <w:tc>
          <w:tcPr>
            <w:tcW w:w="2070" w:type="dxa"/>
          </w:tcPr>
          <w:p w14:paraId="404FEF0F" w14:textId="77777777" w:rsidR="00855CB7" w:rsidRDefault="00855CB7">
            <w:pPr>
              <w:pStyle w:val="TableText"/>
              <w:rPr>
                <w:lang w:val="en-CA"/>
              </w:rPr>
            </w:pPr>
            <w:r>
              <w:rPr>
                <w:lang w:val="en-CA"/>
              </w:rPr>
              <w:t>None.</w:t>
            </w:r>
          </w:p>
        </w:tc>
        <w:tc>
          <w:tcPr>
            <w:tcW w:w="2700" w:type="dxa"/>
          </w:tcPr>
          <w:p w14:paraId="5592EE63" w14:textId="77777777" w:rsidR="00855CB7" w:rsidRDefault="00855CB7">
            <w:pPr>
              <w:pStyle w:val="TableText"/>
              <w:rPr>
                <w:lang w:val="en-CA"/>
              </w:rPr>
            </w:pPr>
            <w:r>
              <w:rPr>
                <w:lang w:val="en-CA"/>
              </w:rPr>
              <w:t>None.</w:t>
            </w:r>
          </w:p>
        </w:tc>
        <w:tc>
          <w:tcPr>
            <w:tcW w:w="2340" w:type="dxa"/>
          </w:tcPr>
          <w:p w14:paraId="00D020F0" w14:textId="77777777" w:rsidR="00855CB7" w:rsidRDefault="00855CB7">
            <w:pPr>
              <w:pStyle w:val="TableText"/>
              <w:rPr>
                <w:lang w:val="en-CA"/>
              </w:rPr>
            </w:pPr>
            <w:r>
              <w:rPr>
                <w:lang w:val="en-CA"/>
              </w:rPr>
              <w:t xml:space="preserve">Review of </w:t>
            </w:r>
            <w:r>
              <w:rPr>
                <w:i/>
                <w:lang w:val="en-CA"/>
              </w:rPr>
              <w:t>preliminary settlement statement(s)</w:t>
            </w:r>
            <w:r>
              <w:rPr>
                <w:lang w:val="en-CA"/>
              </w:rPr>
              <w:t xml:space="preserve"> completed by the </w:t>
            </w:r>
            <w:r>
              <w:rPr>
                <w:i/>
                <w:lang w:val="en-CA"/>
              </w:rPr>
              <w:t>market participant</w:t>
            </w:r>
            <w:r>
              <w:rPr>
                <w:lang w:val="en-CA"/>
              </w:rPr>
              <w:t xml:space="preserve"> and any errors or queries identified.</w:t>
            </w:r>
          </w:p>
        </w:tc>
      </w:tr>
      <w:tr w:rsidR="00855CB7" w14:paraId="3188F97A" w14:textId="77777777" w:rsidTr="007578A1">
        <w:trPr>
          <w:cantSplit/>
        </w:trPr>
        <w:tc>
          <w:tcPr>
            <w:tcW w:w="864" w:type="dxa"/>
          </w:tcPr>
          <w:p w14:paraId="5FFC6EB9" w14:textId="77777777" w:rsidR="00855CB7" w:rsidRDefault="00855CB7">
            <w:pPr>
              <w:pStyle w:val="TableText"/>
              <w:rPr>
                <w:lang w:val="en-CA"/>
              </w:rPr>
            </w:pPr>
            <w:r>
              <w:rPr>
                <w:lang w:val="en-CA"/>
              </w:rPr>
              <w:t>5A.07</w:t>
            </w:r>
          </w:p>
        </w:tc>
        <w:tc>
          <w:tcPr>
            <w:tcW w:w="2160" w:type="dxa"/>
          </w:tcPr>
          <w:p w14:paraId="723096E8" w14:textId="77777777" w:rsidR="00855CB7" w:rsidRDefault="00855CB7" w:rsidP="007A6E66">
            <w:pPr>
              <w:pStyle w:val="TableText"/>
              <w:rPr>
                <w:lang w:val="en-CA"/>
              </w:rPr>
            </w:pPr>
            <w:r>
              <w:rPr>
                <w:lang w:val="en-CA"/>
              </w:rPr>
              <w:t xml:space="preserve">Contact </w:t>
            </w:r>
            <w:r w:rsidR="007A6E66">
              <w:rPr>
                <w:lang w:val="en-CA"/>
              </w:rPr>
              <w:t>us</w:t>
            </w:r>
            <w:r>
              <w:rPr>
                <w:lang w:val="en-CA"/>
              </w:rPr>
              <w:t xml:space="preserve"> for more information about </w:t>
            </w:r>
            <w:r>
              <w:rPr>
                <w:i/>
                <w:lang w:val="en-CA"/>
              </w:rPr>
              <w:t>settlement statement(s)</w:t>
            </w:r>
            <w:r>
              <w:rPr>
                <w:lang w:val="en-CA"/>
              </w:rPr>
              <w:t>.</w:t>
            </w:r>
          </w:p>
        </w:tc>
        <w:tc>
          <w:tcPr>
            <w:tcW w:w="2790" w:type="dxa"/>
          </w:tcPr>
          <w:p w14:paraId="4D1A2B1B" w14:textId="77777777" w:rsidR="00855CB7" w:rsidRDefault="00855CB7" w:rsidP="007A6E66">
            <w:pPr>
              <w:pStyle w:val="TableText"/>
              <w:rPr>
                <w:lang w:val="en-CA"/>
              </w:rPr>
            </w:pPr>
            <w:r>
              <w:rPr>
                <w:lang w:val="en-CA"/>
              </w:rPr>
              <w:t xml:space="preserve">The </w:t>
            </w:r>
            <w:r>
              <w:rPr>
                <w:i/>
                <w:lang w:val="en-CA"/>
              </w:rPr>
              <w:t>market participant</w:t>
            </w:r>
            <w:r>
              <w:rPr>
                <w:lang w:val="en-CA"/>
              </w:rPr>
              <w:t xml:space="preserve"> submits a query to </w:t>
            </w:r>
            <w:r w:rsidR="007A6E66">
              <w:rPr>
                <w:lang w:val="en-CA"/>
              </w:rPr>
              <w:t>our</w:t>
            </w:r>
            <w:r w:rsidR="0053743C">
              <w:rPr>
                <w:i/>
                <w:lang w:val="en-CA"/>
              </w:rPr>
              <w:t xml:space="preserve"> Customer Relations</w:t>
            </w:r>
            <w:r>
              <w:rPr>
                <w:lang w:val="en-CA"/>
              </w:rPr>
              <w:t xml:space="preserve"> requesting additional information pertaining to the </w:t>
            </w:r>
            <w:r>
              <w:rPr>
                <w:i/>
                <w:lang w:val="en-CA"/>
              </w:rPr>
              <w:t>preliminary settlement statement</w:t>
            </w:r>
            <w:r>
              <w:rPr>
                <w:lang w:val="en-CA"/>
              </w:rPr>
              <w:t xml:space="preserve"> file(s) and companion data files.</w:t>
            </w:r>
          </w:p>
        </w:tc>
        <w:tc>
          <w:tcPr>
            <w:tcW w:w="1980" w:type="dxa"/>
          </w:tcPr>
          <w:p w14:paraId="7FF48924" w14:textId="77777777" w:rsidR="00855CB7" w:rsidRDefault="00855CB7">
            <w:pPr>
              <w:pStyle w:val="TableText"/>
              <w:rPr>
                <w:lang w:val="en-CA"/>
              </w:rPr>
            </w:pPr>
            <w:r>
              <w:rPr>
                <w:lang w:val="en-CA"/>
              </w:rPr>
              <w:t xml:space="preserve">After Step 5A.06 if the </w:t>
            </w:r>
            <w:r>
              <w:rPr>
                <w:i/>
                <w:lang w:val="en-CA"/>
              </w:rPr>
              <w:t>market participant</w:t>
            </w:r>
            <w:r>
              <w:rPr>
                <w:lang w:val="en-CA"/>
              </w:rPr>
              <w:t xml:space="preserve"> has questions.</w:t>
            </w:r>
          </w:p>
        </w:tc>
        <w:tc>
          <w:tcPr>
            <w:tcW w:w="2070" w:type="dxa"/>
          </w:tcPr>
          <w:p w14:paraId="633E1E37" w14:textId="77777777" w:rsidR="00855CB7" w:rsidRDefault="00855CB7">
            <w:pPr>
              <w:pStyle w:val="TableText"/>
              <w:rPr>
                <w:lang w:val="en-CA"/>
              </w:rPr>
            </w:pPr>
            <w:r>
              <w:rPr>
                <w:lang w:val="en-CA"/>
              </w:rPr>
              <w:t>Query.</w:t>
            </w:r>
          </w:p>
        </w:tc>
        <w:tc>
          <w:tcPr>
            <w:tcW w:w="2700" w:type="dxa"/>
          </w:tcPr>
          <w:p w14:paraId="611A12CC" w14:textId="77777777" w:rsidR="00855CB7" w:rsidRDefault="00855CB7">
            <w:pPr>
              <w:pStyle w:val="TableText"/>
              <w:rPr>
                <w:lang w:val="en-CA"/>
              </w:rPr>
            </w:pPr>
            <w:r>
              <w:rPr>
                <w:lang w:val="en-CA"/>
              </w:rPr>
              <w:t xml:space="preserve">Via the </w:t>
            </w:r>
            <w:r w:rsidR="0053743C">
              <w:rPr>
                <w:i/>
                <w:lang w:val="en-CA"/>
              </w:rPr>
              <w:t>IESO Customer Relations</w:t>
            </w:r>
            <w:r>
              <w:rPr>
                <w:lang w:val="en-CA"/>
              </w:rPr>
              <w:t>:</w:t>
            </w:r>
          </w:p>
          <w:p w14:paraId="40500EC0" w14:textId="77777777" w:rsidR="00855CB7" w:rsidRDefault="00855CB7">
            <w:pPr>
              <w:pStyle w:val="TableText"/>
              <w:rPr>
                <w:lang w:val="en-CA"/>
              </w:rPr>
            </w:pPr>
            <w:r>
              <w:rPr>
                <w:lang w:val="en-CA"/>
              </w:rPr>
              <w:t xml:space="preserve">(905) 403-6900; or </w:t>
            </w:r>
            <w:hyperlink r:id="rId69" w:history="1">
              <w:r w:rsidR="00A91AEC">
                <w:rPr>
                  <w:rStyle w:val="Hyperlink"/>
                  <w:snapToGrid w:val="0"/>
                  <w:lang w:val="en-CA" w:eastAsia="en-US"/>
                </w:rPr>
                <w:t>customer.relations@ieso.ca</w:t>
              </w:r>
            </w:hyperlink>
          </w:p>
        </w:tc>
        <w:tc>
          <w:tcPr>
            <w:tcW w:w="2340" w:type="dxa"/>
          </w:tcPr>
          <w:p w14:paraId="5A52B224" w14:textId="77777777" w:rsidR="00855CB7" w:rsidRDefault="00855CB7" w:rsidP="00600B7B">
            <w:pPr>
              <w:pStyle w:val="TableText"/>
              <w:rPr>
                <w:lang w:val="en-CA"/>
              </w:rPr>
            </w:pPr>
            <w:r>
              <w:rPr>
                <w:lang w:val="en-CA"/>
              </w:rPr>
              <w:t xml:space="preserve">Query regarding </w:t>
            </w:r>
            <w:r>
              <w:rPr>
                <w:i/>
                <w:lang w:val="en-CA"/>
              </w:rPr>
              <w:t xml:space="preserve">settlement statement(s) </w:t>
            </w:r>
            <w:r>
              <w:rPr>
                <w:lang w:val="en-CA"/>
              </w:rPr>
              <w:t xml:space="preserve">submitted to </w:t>
            </w:r>
            <w:r w:rsidR="00600B7B">
              <w:rPr>
                <w:lang w:val="en-CA"/>
              </w:rPr>
              <w:t>us</w:t>
            </w:r>
            <w:r>
              <w:rPr>
                <w:lang w:val="en-CA"/>
              </w:rPr>
              <w:t>.</w:t>
            </w:r>
          </w:p>
        </w:tc>
      </w:tr>
      <w:tr w:rsidR="00855CB7" w14:paraId="0FA3D93F" w14:textId="77777777" w:rsidTr="007578A1">
        <w:trPr>
          <w:cantSplit/>
        </w:trPr>
        <w:tc>
          <w:tcPr>
            <w:tcW w:w="864" w:type="dxa"/>
            <w:tcBorders>
              <w:bottom w:val="single" w:sz="4" w:space="0" w:color="auto"/>
            </w:tcBorders>
          </w:tcPr>
          <w:p w14:paraId="6ED79476" w14:textId="77777777" w:rsidR="00855CB7" w:rsidRDefault="00855CB7">
            <w:pPr>
              <w:pStyle w:val="TableText"/>
              <w:rPr>
                <w:lang w:val="en-CA"/>
              </w:rPr>
            </w:pPr>
            <w:r>
              <w:rPr>
                <w:lang w:val="en-CA"/>
              </w:rPr>
              <w:t>5A.08</w:t>
            </w:r>
          </w:p>
        </w:tc>
        <w:tc>
          <w:tcPr>
            <w:tcW w:w="2160" w:type="dxa"/>
            <w:tcBorders>
              <w:bottom w:val="single" w:sz="4" w:space="0" w:color="auto"/>
            </w:tcBorders>
          </w:tcPr>
          <w:p w14:paraId="5F675638" w14:textId="77777777" w:rsidR="00855CB7" w:rsidRDefault="00855CB7">
            <w:pPr>
              <w:pStyle w:val="TableText"/>
              <w:rPr>
                <w:lang w:val="en-CA"/>
              </w:rPr>
            </w:pPr>
            <w:r>
              <w:rPr>
                <w:lang w:val="en-CA"/>
              </w:rPr>
              <w:t>Respond to information request.</w:t>
            </w:r>
          </w:p>
        </w:tc>
        <w:tc>
          <w:tcPr>
            <w:tcW w:w="2790" w:type="dxa"/>
            <w:tcBorders>
              <w:bottom w:val="single" w:sz="4" w:space="0" w:color="auto"/>
            </w:tcBorders>
          </w:tcPr>
          <w:p w14:paraId="1A639D27" w14:textId="77777777" w:rsidR="00855CB7" w:rsidRDefault="007A6E66" w:rsidP="007A6E66">
            <w:pPr>
              <w:pStyle w:val="TableText"/>
              <w:rPr>
                <w:lang w:val="en-CA"/>
              </w:rPr>
            </w:pPr>
            <w:r>
              <w:rPr>
                <w:lang w:val="en-CA"/>
              </w:rPr>
              <w:t>W</w:t>
            </w:r>
            <w:r w:rsidRPr="007A6E66">
              <w:rPr>
                <w:lang w:val="en-CA"/>
              </w:rPr>
              <w:t>e</w:t>
            </w:r>
            <w:r w:rsidDel="007A6E66">
              <w:rPr>
                <w:lang w:val="en-CA"/>
              </w:rPr>
              <w:t xml:space="preserve"> </w:t>
            </w:r>
            <w:r w:rsidR="00855CB7">
              <w:rPr>
                <w:lang w:val="en-CA"/>
              </w:rPr>
              <w:t xml:space="preserve">respond to the query submitted by the </w:t>
            </w:r>
            <w:r w:rsidR="00855CB7">
              <w:rPr>
                <w:i/>
                <w:lang w:val="en-CA"/>
              </w:rPr>
              <w:t>market participant</w:t>
            </w:r>
            <w:r w:rsidR="00855CB7">
              <w:rPr>
                <w:lang w:val="en-CA"/>
              </w:rPr>
              <w:t>.</w:t>
            </w:r>
          </w:p>
        </w:tc>
        <w:tc>
          <w:tcPr>
            <w:tcW w:w="1980" w:type="dxa"/>
            <w:tcBorders>
              <w:bottom w:val="single" w:sz="4" w:space="0" w:color="auto"/>
            </w:tcBorders>
          </w:tcPr>
          <w:p w14:paraId="7A90AFD7" w14:textId="77777777" w:rsidR="00855CB7" w:rsidRDefault="00855CB7">
            <w:pPr>
              <w:pStyle w:val="TableText"/>
              <w:rPr>
                <w:lang w:val="en-CA"/>
              </w:rPr>
            </w:pPr>
            <w:r>
              <w:rPr>
                <w:lang w:val="en-CA"/>
              </w:rPr>
              <w:t xml:space="preserve">After Step 5A.07 and within two </w:t>
            </w:r>
            <w:r>
              <w:rPr>
                <w:i/>
                <w:lang w:val="en-CA"/>
              </w:rPr>
              <w:t xml:space="preserve">business days, </w:t>
            </w:r>
            <w:r>
              <w:rPr>
                <w:lang w:val="en-CA"/>
              </w:rPr>
              <w:t>where possible.</w:t>
            </w:r>
          </w:p>
        </w:tc>
        <w:tc>
          <w:tcPr>
            <w:tcW w:w="2070" w:type="dxa"/>
          </w:tcPr>
          <w:p w14:paraId="1BB6C0AC" w14:textId="77777777" w:rsidR="00855CB7" w:rsidRDefault="00855CB7">
            <w:pPr>
              <w:pStyle w:val="TableText"/>
              <w:rPr>
                <w:lang w:val="en-CA"/>
              </w:rPr>
            </w:pPr>
            <w:r>
              <w:rPr>
                <w:lang w:val="en-CA"/>
              </w:rPr>
              <w:t xml:space="preserve">Query </w:t>
            </w:r>
            <w:r w:rsidRPr="00737E2E">
              <w:rPr>
                <w:lang w:val="en-CA"/>
              </w:rPr>
              <w:t>response</w:t>
            </w:r>
            <w:r>
              <w:rPr>
                <w:lang w:val="en-CA"/>
              </w:rPr>
              <w:t>.</w:t>
            </w:r>
          </w:p>
        </w:tc>
        <w:tc>
          <w:tcPr>
            <w:tcW w:w="2700" w:type="dxa"/>
          </w:tcPr>
          <w:p w14:paraId="4D0A39CF" w14:textId="77777777" w:rsidR="00855CB7" w:rsidRDefault="00855CB7">
            <w:pPr>
              <w:pStyle w:val="TableText"/>
              <w:rPr>
                <w:lang w:val="en-CA"/>
              </w:rPr>
            </w:pPr>
            <w:r>
              <w:rPr>
                <w:lang w:val="en-CA"/>
              </w:rPr>
              <w:t>E-mail or telephone.</w:t>
            </w:r>
          </w:p>
        </w:tc>
        <w:tc>
          <w:tcPr>
            <w:tcW w:w="2340" w:type="dxa"/>
          </w:tcPr>
          <w:p w14:paraId="1C58A44D" w14:textId="77777777" w:rsidR="00855CB7" w:rsidRDefault="00855CB7">
            <w:pPr>
              <w:pStyle w:val="TableText"/>
              <w:rPr>
                <w:lang w:val="en-CA"/>
              </w:rPr>
            </w:pPr>
            <w:r>
              <w:rPr>
                <w:lang w:val="en-CA"/>
              </w:rPr>
              <w:t xml:space="preserve">Query </w:t>
            </w:r>
            <w:r w:rsidRPr="00737E2E">
              <w:rPr>
                <w:lang w:val="en-CA"/>
              </w:rPr>
              <w:t>response</w:t>
            </w:r>
            <w:r>
              <w:rPr>
                <w:lang w:val="en-CA"/>
              </w:rPr>
              <w:t xml:space="preserve"> given to </w:t>
            </w:r>
            <w:r>
              <w:rPr>
                <w:i/>
                <w:lang w:val="en-CA"/>
              </w:rPr>
              <w:t>market participant</w:t>
            </w:r>
            <w:r>
              <w:rPr>
                <w:lang w:val="en-CA"/>
              </w:rPr>
              <w:t>.</w:t>
            </w:r>
          </w:p>
        </w:tc>
      </w:tr>
      <w:tr w:rsidR="00855CB7" w14:paraId="23CF30ED" w14:textId="77777777" w:rsidTr="007578A1">
        <w:trPr>
          <w:cantSplit/>
        </w:trPr>
        <w:tc>
          <w:tcPr>
            <w:tcW w:w="864" w:type="dxa"/>
            <w:tcBorders>
              <w:bottom w:val="single" w:sz="4" w:space="0" w:color="auto"/>
            </w:tcBorders>
          </w:tcPr>
          <w:p w14:paraId="1BD1ED00" w14:textId="77777777" w:rsidR="00855CB7" w:rsidRDefault="00855CB7">
            <w:pPr>
              <w:pStyle w:val="TableText"/>
              <w:rPr>
                <w:lang w:val="en-CA"/>
              </w:rPr>
            </w:pPr>
            <w:r>
              <w:rPr>
                <w:lang w:val="en-CA"/>
              </w:rPr>
              <w:t>5A.09</w:t>
            </w:r>
          </w:p>
        </w:tc>
        <w:tc>
          <w:tcPr>
            <w:tcW w:w="2160" w:type="dxa"/>
            <w:tcBorders>
              <w:bottom w:val="single" w:sz="4" w:space="0" w:color="auto"/>
            </w:tcBorders>
          </w:tcPr>
          <w:p w14:paraId="5F7DEBCB" w14:textId="77777777" w:rsidR="00855CB7" w:rsidRDefault="00855CB7" w:rsidP="00240AE0">
            <w:pPr>
              <w:pStyle w:val="TableText"/>
              <w:rPr>
                <w:lang w:val="en-CA"/>
              </w:rPr>
            </w:pPr>
            <w:r>
              <w:rPr>
                <w:lang w:val="en-CA"/>
              </w:rPr>
              <w:t xml:space="preserve">Submit completed </w:t>
            </w:r>
            <w:r>
              <w:rPr>
                <w:i/>
                <w:lang w:val="en-CA"/>
              </w:rPr>
              <w:t>notice of disagreement</w:t>
            </w:r>
            <w:r>
              <w:rPr>
                <w:lang w:val="en-CA"/>
              </w:rPr>
              <w:t xml:space="preserve"> form </w:t>
            </w:r>
            <w:r w:rsidR="00096F55">
              <w:rPr>
                <w:lang w:val="en-CA"/>
              </w:rPr>
              <w:t xml:space="preserve">through the </w:t>
            </w:r>
            <w:r w:rsidR="004C6115">
              <w:rPr>
                <w:lang w:val="en-CA"/>
              </w:rPr>
              <w:t>Online IESO</w:t>
            </w:r>
            <w:r>
              <w:rPr>
                <w:lang w:val="en-CA"/>
              </w:rPr>
              <w:t xml:space="preserve">. </w:t>
            </w:r>
          </w:p>
        </w:tc>
        <w:tc>
          <w:tcPr>
            <w:tcW w:w="2790" w:type="dxa"/>
            <w:tcBorders>
              <w:bottom w:val="single" w:sz="4" w:space="0" w:color="auto"/>
            </w:tcBorders>
          </w:tcPr>
          <w:p w14:paraId="7CCBBFEE" w14:textId="77777777" w:rsidR="00855CB7" w:rsidRDefault="00855CB7" w:rsidP="002D6101">
            <w:pPr>
              <w:pStyle w:val="TableText"/>
              <w:rPr>
                <w:lang w:val="en-CA"/>
              </w:rPr>
            </w:pPr>
            <w:r>
              <w:rPr>
                <w:lang w:val="en-CA"/>
              </w:rPr>
              <w:t xml:space="preserve">If an error is found in the </w:t>
            </w:r>
            <w:r>
              <w:rPr>
                <w:i/>
                <w:lang w:val="en-CA"/>
              </w:rPr>
              <w:t>preliminary settlement statement</w:t>
            </w:r>
            <w:r>
              <w:rPr>
                <w:lang w:val="en-CA"/>
              </w:rPr>
              <w:t xml:space="preserve">, the </w:t>
            </w:r>
            <w:r>
              <w:rPr>
                <w:i/>
                <w:lang w:val="en-CA"/>
              </w:rPr>
              <w:t xml:space="preserve">market participant </w:t>
            </w:r>
            <w:r>
              <w:rPr>
                <w:lang w:val="en-CA"/>
              </w:rPr>
              <w:t xml:space="preserve">completes and submits the </w:t>
            </w:r>
            <w:r>
              <w:rPr>
                <w:i/>
                <w:lang w:val="en-CA"/>
              </w:rPr>
              <w:t>notice of disagreement</w:t>
            </w:r>
            <w:r w:rsidR="002D6101">
              <w:rPr>
                <w:i/>
                <w:lang w:val="en-CA"/>
              </w:rPr>
              <w:t xml:space="preserve"> form</w:t>
            </w:r>
            <w:r>
              <w:rPr>
                <w:lang w:val="en-CA"/>
              </w:rPr>
              <w:t xml:space="preserve"> </w:t>
            </w:r>
            <w:r w:rsidR="00CA3C47">
              <w:rPr>
                <w:lang w:val="en-CA"/>
              </w:rPr>
              <w:t xml:space="preserve">through </w:t>
            </w:r>
            <w:r w:rsidR="004C6115">
              <w:rPr>
                <w:lang w:val="en-CA"/>
              </w:rPr>
              <w:t>Online IESO</w:t>
            </w:r>
            <w:r w:rsidR="00096F55">
              <w:rPr>
                <w:lang w:val="en-CA"/>
              </w:rPr>
              <w:t>.</w:t>
            </w:r>
            <w:r>
              <w:rPr>
                <w:lang w:val="en-CA"/>
              </w:rPr>
              <w:t xml:space="preserve">  See Appendix B for examples of the interface. The </w:t>
            </w:r>
            <w:r>
              <w:rPr>
                <w:i/>
                <w:lang w:val="en-CA"/>
              </w:rPr>
              <w:t>market participant</w:t>
            </w:r>
            <w:r>
              <w:rPr>
                <w:lang w:val="en-CA"/>
              </w:rPr>
              <w:t xml:space="preserve"> </w:t>
            </w:r>
            <w:r w:rsidR="002D6101">
              <w:rPr>
                <w:lang w:val="en-CA"/>
              </w:rPr>
              <w:t>will receive an e-mail confirmation upon submission.</w:t>
            </w:r>
          </w:p>
        </w:tc>
        <w:tc>
          <w:tcPr>
            <w:tcW w:w="1980" w:type="dxa"/>
            <w:tcBorders>
              <w:bottom w:val="single" w:sz="4" w:space="0" w:color="auto"/>
            </w:tcBorders>
          </w:tcPr>
          <w:p w14:paraId="2F8F10F6" w14:textId="77777777" w:rsidR="00855CB7" w:rsidRDefault="00855CB7" w:rsidP="00600B7B">
            <w:pPr>
              <w:pStyle w:val="TableText"/>
              <w:rPr>
                <w:lang w:val="en-CA"/>
              </w:rPr>
            </w:pPr>
            <w:r>
              <w:rPr>
                <w:lang w:val="en-CA"/>
              </w:rPr>
              <w:t xml:space="preserve">After Step 5A.06 if the </w:t>
            </w:r>
            <w:r>
              <w:rPr>
                <w:i/>
                <w:lang w:val="en-CA"/>
              </w:rPr>
              <w:t>market participant</w:t>
            </w:r>
            <w:r>
              <w:rPr>
                <w:lang w:val="en-CA"/>
              </w:rPr>
              <w:t xml:space="preserve"> has found errors and within four </w:t>
            </w:r>
            <w:r>
              <w:rPr>
                <w:i/>
                <w:lang w:val="en-CA"/>
              </w:rPr>
              <w:t>business days</w:t>
            </w:r>
            <w:r>
              <w:rPr>
                <w:lang w:val="en-CA"/>
              </w:rPr>
              <w:t xml:space="preserve"> of issuing of </w:t>
            </w:r>
            <w:r>
              <w:rPr>
                <w:i/>
                <w:lang w:val="en-CA"/>
              </w:rPr>
              <w:t>preliminary settlement statement</w:t>
            </w:r>
            <w:r>
              <w:rPr>
                <w:lang w:val="en-CA"/>
              </w:rPr>
              <w:t>.</w:t>
            </w:r>
          </w:p>
        </w:tc>
        <w:tc>
          <w:tcPr>
            <w:tcW w:w="2070" w:type="dxa"/>
          </w:tcPr>
          <w:p w14:paraId="1E8A7ED1" w14:textId="77777777" w:rsidR="00855CB7" w:rsidRDefault="00855CB7">
            <w:pPr>
              <w:pStyle w:val="TableText"/>
              <w:rPr>
                <w:lang w:val="en-CA"/>
              </w:rPr>
            </w:pPr>
            <w:r>
              <w:rPr>
                <w:lang w:val="en-CA"/>
              </w:rPr>
              <w:t xml:space="preserve">Completed </w:t>
            </w:r>
            <w:r>
              <w:rPr>
                <w:i/>
                <w:lang w:val="en-CA"/>
              </w:rPr>
              <w:t xml:space="preserve">notice of disagreement </w:t>
            </w:r>
            <w:r>
              <w:rPr>
                <w:lang w:val="en-CA"/>
              </w:rPr>
              <w:t>form.</w:t>
            </w:r>
          </w:p>
        </w:tc>
        <w:tc>
          <w:tcPr>
            <w:tcW w:w="2700" w:type="dxa"/>
          </w:tcPr>
          <w:p w14:paraId="422FDC69" w14:textId="77777777" w:rsidR="00855CB7" w:rsidRDefault="004C6115">
            <w:pPr>
              <w:pStyle w:val="TableText"/>
              <w:rPr>
                <w:lang w:val="en-CA"/>
              </w:rPr>
            </w:pPr>
            <w:r>
              <w:rPr>
                <w:lang w:val="en-CA"/>
              </w:rPr>
              <w:t>Online IESO</w:t>
            </w:r>
          </w:p>
        </w:tc>
        <w:tc>
          <w:tcPr>
            <w:tcW w:w="2340" w:type="dxa"/>
          </w:tcPr>
          <w:p w14:paraId="412782BC" w14:textId="77777777" w:rsidR="00855CB7" w:rsidRDefault="00855CB7" w:rsidP="00600B7B">
            <w:pPr>
              <w:pStyle w:val="TableText"/>
              <w:rPr>
                <w:lang w:val="en-CA"/>
              </w:rPr>
            </w:pPr>
            <w:r>
              <w:rPr>
                <w:i/>
                <w:lang w:val="en-CA"/>
              </w:rPr>
              <w:t>Notice of disagreement</w:t>
            </w:r>
            <w:r>
              <w:rPr>
                <w:lang w:val="en-CA"/>
              </w:rPr>
              <w:t xml:space="preserve"> submitted to </w:t>
            </w:r>
            <w:r w:rsidR="00600B7B">
              <w:rPr>
                <w:lang w:val="en-CA"/>
              </w:rPr>
              <w:t>us</w:t>
            </w:r>
            <w:r>
              <w:rPr>
                <w:lang w:val="en-CA"/>
              </w:rPr>
              <w:t>.</w:t>
            </w:r>
          </w:p>
        </w:tc>
      </w:tr>
      <w:tr w:rsidR="00855CB7" w14:paraId="6FDB4941" w14:textId="77777777" w:rsidTr="007578A1">
        <w:trPr>
          <w:cantSplit/>
        </w:trPr>
        <w:tc>
          <w:tcPr>
            <w:tcW w:w="864" w:type="dxa"/>
            <w:tcBorders>
              <w:top w:val="single" w:sz="4" w:space="0" w:color="auto"/>
              <w:bottom w:val="single" w:sz="4" w:space="0" w:color="auto"/>
            </w:tcBorders>
          </w:tcPr>
          <w:p w14:paraId="5E94CAA3" w14:textId="77777777" w:rsidR="00855CB7" w:rsidRDefault="00855CB7">
            <w:pPr>
              <w:pStyle w:val="TableText"/>
              <w:rPr>
                <w:lang w:val="en-CA"/>
              </w:rPr>
            </w:pPr>
            <w:r>
              <w:rPr>
                <w:lang w:val="en-CA"/>
              </w:rPr>
              <w:t>5A.10</w:t>
            </w:r>
          </w:p>
        </w:tc>
        <w:tc>
          <w:tcPr>
            <w:tcW w:w="2160" w:type="dxa"/>
            <w:tcBorders>
              <w:top w:val="single" w:sz="4" w:space="0" w:color="auto"/>
              <w:bottom w:val="single" w:sz="4" w:space="0" w:color="auto"/>
            </w:tcBorders>
          </w:tcPr>
          <w:p w14:paraId="0D2EC78E" w14:textId="77777777" w:rsidR="00855CB7" w:rsidRDefault="00855CB7">
            <w:pPr>
              <w:pStyle w:val="TableText"/>
              <w:rPr>
                <w:lang w:val="en-CA"/>
              </w:rPr>
            </w:pPr>
            <w:r>
              <w:rPr>
                <w:lang w:val="en-CA"/>
              </w:rPr>
              <w:t xml:space="preserve">Receive &amp; acknowledge </w:t>
            </w:r>
            <w:r>
              <w:rPr>
                <w:i/>
                <w:lang w:val="en-CA"/>
              </w:rPr>
              <w:t>notice of disagreement</w:t>
            </w:r>
            <w:r>
              <w:rPr>
                <w:lang w:val="en-CA"/>
              </w:rPr>
              <w:t>.</w:t>
            </w:r>
          </w:p>
        </w:tc>
        <w:tc>
          <w:tcPr>
            <w:tcW w:w="2790" w:type="dxa"/>
            <w:tcBorders>
              <w:top w:val="single" w:sz="4" w:space="0" w:color="auto"/>
              <w:bottom w:val="single" w:sz="4" w:space="0" w:color="auto"/>
            </w:tcBorders>
          </w:tcPr>
          <w:p w14:paraId="56AA3B1F" w14:textId="77777777" w:rsidR="00855CB7" w:rsidRDefault="007A6E66" w:rsidP="00600B7B">
            <w:pPr>
              <w:pStyle w:val="TableText"/>
              <w:rPr>
                <w:lang w:val="en-CA"/>
              </w:rPr>
            </w:pPr>
            <w:r>
              <w:rPr>
                <w:lang w:val="en-CA"/>
              </w:rPr>
              <w:t>W</w:t>
            </w:r>
            <w:r w:rsidRPr="007A6E66">
              <w:rPr>
                <w:lang w:val="en-CA"/>
              </w:rPr>
              <w:t>e</w:t>
            </w:r>
            <w:r w:rsidDel="007A6E66">
              <w:rPr>
                <w:lang w:val="en-CA"/>
              </w:rPr>
              <w:t xml:space="preserve"> </w:t>
            </w:r>
            <w:r w:rsidR="00855CB7">
              <w:rPr>
                <w:lang w:val="en-CA"/>
              </w:rPr>
              <w:t xml:space="preserve">receive and acknowledge receipt of the </w:t>
            </w:r>
            <w:r w:rsidR="00855CB7">
              <w:rPr>
                <w:i/>
                <w:lang w:val="en-CA"/>
              </w:rPr>
              <w:t>notice of disagreement</w:t>
            </w:r>
            <w:r w:rsidR="00280783">
              <w:rPr>
                <w:lang w:val="en-CA"/>
              </w:rPr>
              <w:t xml:space="preserve"> </w:t>
            </w:r>
            <w:r w:rsidR="00855CB7">
              <w:rPr>
                <w:lang w:val="en-CA"/>
              </w:rPr>
              <w:t xml:space="preserve">submitted by the </w:t>
            </w:r>
            <w:r w:rsidR="00855CB7">
              <w:rPr>
                <w:i/>
                <w:lang w:val="en-CA"/>
              </w:rPr>
              <w:t>market participant</w:t>
            </w:r>
            <w:r w:rsidR="00855CB7">
              <w:rPr>
                <w:lang w:val="en-CA"/>
              </w:rPr>
              <w:t>.</w:t>
            </w:r>
          </w:p>
        </w:tc>
        <w:tc>
          <w:tcPr>
            <w:tcW w:w="1980" w:type="dxa"/>
            <w:tcBorders>
              <w:top w:val="single" w:sz="4" w:space="0" w:color="auto"/>
              <w:bottom w:val="single" w:sz="4" w:space="0" w:color="auto"/>
            </w:tcBorders>
          </w:tcPr>
          <w:p w14:paraId="5BAAF85D" w14:textId="77777777" w:rsidR="00855CB7" w:rsidRDefault="00855CB7">
            <w:pPr>
              <w:pStyle w:val="TableText"/>
              <w:rPr>
                <w:lang w:val="en-CA"/>
              </w:rPr>
            </w:pPr>
            <w:r>
              <w:rPr>
                <w:lang w:val="en-CA"/>
              </w:rPr>
              <w:t>After Step 5A.09.</w:t>
            </w:r>
          </w:p>
        </w:tc>
        <w:tc>
          <w:tcPr>
            <w:tcW w:w="2070" w:type="dxa"/>
          </w:tcPr>
          <w:p w14:paraId="4906FB66" w14:textId="77777777" w:rsidR="00855CB7" w:rsidRDefault="00855CB7">
            <w:pPr>
              <w:pStyle w:val="TableText"/>
              <w:rPr>
                <w:lang w:val="en-CA"/>
              </w:rPr>
            </w:pPr>
            <w:r>
              <w:rPr>
                <w:lang w:val="en-CA"/>
              </w:rPr>
              <w:t>Acknowledgement of</w:t>
            </w:r>
            <w:r>
              <w:rPr>
                <w:i/>
                <w:lang w:val="en-CA"/>
              </w:rPr>
              <w:t xml:space="preserve"> notice of disagreement.</w:t>
            </w:r>
          </w:p>
          <w:p w14:paraId="2BE75C4F" w14:textId="77777777" w:rsidR="001F5C3F" w:rsidRDefault="00855CB7">
            <w:pPr>
              <w:pStyle w:val="TableText"/>
              <w:rPr>
                <w:lang w:val="en-CA"/>
              </w:rPr>
            </w:pPr>
            <w:r>
              <w:rPr>
                <w:lang w:val="en-CA"/>
              </w:rPr>
              <w:t>(N</w:t>
            </w:r>
            <w:r w:rsidR="00CA1718">
              <w:rPr>
                <w:lang w:val="en-CA"/>
              </w:rPr>
              <w:t>O</w:t>
            </w:r>
            <w:r>
              <w:rPr>
                <w:lang w:val="en-CA"/>
              </w:rPr>
              <w:t>D ID number, date and time of receipt stamp.)</w:t>
            </w:r>
          </w:p>
        </w:tc>
        <w:tc>
          <w:tcPr>
            <w:tcW w:w="2700" w:type="dxa"/>
          </w:tcPr>
          <w:p w14:paraId="65CD1DE3" w14:textId="77777777" w:rsidR="00855CB7" w:rsidRDefault="002D6101">
            <w:pPr>
              <w:pStyle w:val="TableText"/>
              <w:rPr>
                <w:lang w:val="en-CA"/>
              </w:rPr>
            </w:pPr>
            <w:r>
              <w:rPr>
                <w:lang w:val="en-CA"/>
              </w:rPr>
              <w:t>Email notification.</w:t>
            </w:r>
          </w:p>
        </w:tc>
        <w:tc>
          <w:tcPr>
            <w:tcW w:w="2340" w:type="dxa"/>
          </w:tcPr>
          <w:p w14:paraId="0900697B" w14:textId="77777777" w:rsidR="00855CB7" w:rsidRDefault="00600B7B" w:rsidP="00695ACA">
            <w:pPr>
              <w:pStyle w:val="TableText"/>
              <w:rPr>
                <w:lang w:val="en-CA"/>
              </w:rPr>
            </w:pPr>
            <w:r>
              <w:rPr>
                <w:lang w:val="en-CA"/>
              </w:rPr>
              <w:t>We acknowledge r</w:t>
            </w:r>
            <w:r w:rsidR="00855CB7">
              <w:rPr>
                <w:lang w:val="en-CA"/>
              </w:rPr>
              <w:t xml:space="preserve">eceipt of </w:t>
            </w:r>
            <w:r w:rsidR="00855CB7">
              <w:rPr>
                <w:i/>
                <w:lang w:val="en-CA"/>
              </w:rPr>
              <w:t>notice of disagreement</w:t>
            </w:r>
            <w:r w:rsidR="000812CE">
              <w:rPr>
                <w:i/>
                <w:lang w:val="en-CA"/>
              </w:rPr>
              <w:t>.</w:t>
            </w:r>
            <w:r w:rsidR="00855CB7">
              <w:rPr>
                <w:i/>
                <w:lang w:val="en-CA"/>
              </w:rPr>
              <w:t xml:space="preserve"> </w:t>
            </w:r>
          </w:p>
        </w:tc>
      </w:tr>
      <w:tr w:rsidR="00855CB7" w14:paraId="3C43FD1F" w14:textId="77777777" w:rsidTr="007578A1">
        <w:tc>
          <w:tcPr>
            <w:tcW w:w="864" w:type="dxa"/>
            <w:tcBorders>
              <w:top w:val="nil"/>
              <w:bottom w:val="single" w:sz="4" w:space="0" w:color="auto"/>
            </w:tcBorders>
          </w:tcPr>
          <w:p w14:paraId="4A963DF2" w14:textId="77777777" w:rsidR="00855CB7" w:rsidRDefault="00855CB7">
            <w:pPr>
              <w:pStyle w:val="TableText"/>
              <w:rPr>
                <w:lang w:val="en-CA"/>
              </w:rPr>
            </w:pPr>
            <w:r>
              <w:rPr>
                <w:lang w:val="en-CA"/>
              </w:rPr>
              <w:t>5A.11</w:t>
            </w:r>
          </w:p>
        </w:tc>
        <w:tc>
          <w:tcPr>
            <w:tcW w:w="2160" w:type="dxa"/>
            <w:tcBorders>
              <w:top w:val="nil"/>
              <w:bottom w:val="single" w:sz="4" w:space="0" w:color="auto"/>
            </w:tcBorders>
          </w:tcPr>
          <w:p w14:paraId="00D34628" w14:textId="77777777" w:rsidR="00855CB7" w:rsidRDefault="00855CB7">
            <w:pPr>
              <w:pStyle w:val="TableText"/>
              <w:rPr>
                <w:lang w:val="en-CA"/>
              </w:rPr>
            </w:pPr>
            <w:r>
              <w:rPr>
                <w:lang w:val="en-CA"/>
              </w:rPr>
              <w:t xml:space="preserve">Validate </w:t>
            </w:r>
            <w:r>
              <w:rPr>
                <w:i/>
                <w:lang w:val="en-CA"/>
              </w:rPr>
              <w:t>notice of disagreement</w:t>
            </w:r>
            <w:r>
              <w:rPr>
                <w:lang w:val="en-CA"/>
              </w:rPr>
              <w:t xml:space="preserve"> and determine if more information </w:t>
            </w:r>
            <w:r w:rsidR="001722A3">
              <w:rPr>
                <w:lang w:val="en-CA"/>
              </w:rPr>
              <w:t xml:space="preserve">is </w:t>
            </w:r>
            <w:r>
              <w:rPr>
                <w:lang w:val="en-CA"/>
              </w:rPr>
              <w:t xml:space="preserve">required or </w:t>
            </w:r>
            <w:r w:rsidR="001722A3">
              <w:rPr>
                <w:lang w:val="en-CA"/>
              </w:rPr>
              <w:t xml:space="preserve">if </w:t>
            </w:r>
            <w:r>
              <w:rPr>
                <w:lang w:val="en-CA"/>
              </w:rPr>
              <w:t>affected parties exist.</w:t>
            </w:r>
          </w:p>
        </w:tc>
        <w:tc>
          <w:tcPr>
            <w:tcW w:w="2790" w:type="dxa"/>
            <w:tcBorders>
              <w:top w:val="nil"/>
              <w:bottom w:val="single" w:sz="4" w:space="0" w:color="auto"/>
            </w:tcBorders>
          </w:tcPr>
          <w:p w14:paraId="44372CD2" w14:textId="77777777" w:rsidR="00855CB7" w:rsidRDefault="00726B5C">
            <w:pPr>
              <w:pStyle w:val="TableText"/>
              <w:rPr>
                <w:lang w:val="en-CA"/>
              </w:rPr>
            </w:pPr>
            <w:r>
              <w:rPr>
                <w:lang w:val="en-CA"/>
              </w:rPr>
              <w:t>W</w:t>
            </w:r>
            <w:r w:rsidRPr="007A6E66">
              <w:rPr>
                <w:lang w:val="en-CA"/>
              </w:rPr>
              <w:t>e</w:t>
            </w:r>
            <w:r w:rsidDel="007A6E66">
              <w:rPr>
                <w:lang w:val="en-CA"/>
              </w:rPr>
              <w:t xml:space="preserve"> </w:t>
            </w:r>
            <w:r>
              <w:rPr>
                <w:lang w:val="en-CA"/>
              </w:rPr>
              <w:t xml:space="preserve">validate the </w:t>
            </w:r>
            <w:r>
              <w:rPr>
                <w:i/>
                <w:lang w:val="en-CA"/>
              </w:rPr>
              <w:t>notice of disagreement</w:t>
            </w:r>
            <w:r>
              <w:rPr>
                <w:lang w:val="en-CA"/>
              </w:rPr>
              <w:t xml:space="preserve"> submitted by the </w:t>
            </w:r>
            <w:r>
              <w:rPr>
                <w:i/>
                <w:lang w:val="en-CA"/>
              </w:rPr>
              <w:t>market participant</w:t>
            </w:r>
            <w:r>
              <w:rPr>
                <w:lang w:val="en-CA"/>
              </w:rPr>
              <w:t xml:space="preserve"> and </w:t>
            </w:r>
            <w:r w:rsidR="001722A3">
              <w:rPr>
                <w:lang w:val="en-CA"/>
              </w:rPr>
              <w:t xml:space="preserve">either </w:t>
            </w:r>
            <w:r>
              <w:rPr>
                <w:lang w:val="en-CA"/>
              </w:rPr>
              <w:t>reject</w:t>
            </w:r>
            <w:r w:rsidR="001722A3">
              <w:rPr>
                <w:lang w:val="en-CA"/>
              </w:rPr>
              <w:t>, request additional information or go to 5A.16 investigate. We reject</w:t>
            </w:r>
            <w:r>
              <w:rPr>
                <w:lang w:val="en-CA"/>
              </w:rPr>
              <w:t xml:space="preserve"> the submission if it does not address aspects of the </w:t>
            </w:r>
            <w:r>
              <w:rPr>
                <w:i/>
                <w:lang w:val="en-CA"/>
              </w:rPr>
              <w:t>settlement statement</w:t>
            </w:r>
            <w:r>
              <w:rPr>
                <w:lang w:val="en-CA"/>
              </w:rPr>
              <w:t xml:space="preserve"> on which a </w:t>
            </w:r>
            <w:r>
              <w:rPr>
                <w:i/>
                <w:lang w:val="en-CA"/>
              </w:rPr>
              <w:t xml:space="preserve">notice of disagreement </w:t>
            </w:r>
            <w:r>
              <w:rPr>
                <w:lang w:val="en-CA"/>
              </w:rPr>
              <w:t>can be raised.</w:t>
            </w:r>
          </w:p>
          <w:p w14:paraId="13BF484A" w14:textId="77777777" w:rsidR="00855CB7" w:rsidRDefault="007A6E66">
            <w:pPr>
              <w:pStyle w:val="TableText"/>
              <w:rPr>
                <w:lang w:val="en-CA"/>
              </w:rPr>
            </w:pPr>
            <w:r>
              <w:rPr>
                <w:lang w:val="en-CA"/>
              </w:rPr>
              <w:t>W</w:t>
            </w:r>
            <w:r w:rsidRPr="007A6E66">
              <w:rPr>
                <w:lang w:val="en-CA"/>
              </w:rPr>
              <w:t>e</w:t>
            </w:r>
            <w:r w:rsidDel="007A6E66">
              <w:rPr>
                <w:lang w:val="en-CA"/>
              </w:rPr>
              <w:t xml:space="preserve"> </w:t>
            </w:r>
            <w:r w:rsidR="00855CB7">
              <w:rPr>
                <w:lang w:val="en-CA"/>
              </w:rPr>
              <w:t xml:space="preserve">may request additional information or clarifications from the </w:t>
            </w:r>
            <w:r w:rsidR="00855CB7">
              <w:rPr>
                <w:i/>
                <w:lang w:val="en-CA"/>
              </w:rPr>
              <w:t>market participant</w:t>
            </w:r>
            <w:r w:rsidR="00855CB7">
              <w:rPr>
                <w:lang w:val="en-CA"/>
              </w:rPr>
              <w:t xml:space="preserve"> during its preliminary review of the </w:t>
            </w:r>
            <w:r w:rsidR="00855CB7">
              <w:rPr>
                <w:i/>
                <w:lang w:val="en-CA"/>
              </w:rPr>
              <w:t>notice of disagreement.</w:t>
            </w:r>
          </w:p>
          <w:p w14:paraId="2C44EF37" w14:textId="77777777" w:rsidR="007B23AC" w:rsidRDefault="007A6E66" w:rsidP="00350375">
            <w:pPr>
              <w:pStyle w:val="TableText"/>
              <w:rPr>
                <w:lang w:val="en-CA"/>
              </w:rPr>
            </w:pPr>
            <w:r>
              <w:rPr>
                <w:lang w:val="en-CA"/>
              </w:rPr>
              <w:t>W</w:t>
            </w:r>
            <w:r w:rsidRPr="007A6E66">
              <w:rPr>
                <w:lang w:val="en-CA"/>
              </w:rPr>
              <w:t>e</w:t>
            </w:r>
            <w:r w:rsidDel="007A6E66">
              <w:rPr>
                <w:lang w:val="en-CA"/>
              </w:rPr>
              <w:t xml:space="preserve"> </w:t>
            </w:r>
            <w:r w:rsidR="00855CB7">
              <w:rPr>
                <w:lang w:val="en-CA"/>
              </w:rPr>
              <w:t xml:space="preserve">also determine if other </w:t>
            </w:r>
            <w:r w:rsidR="00855CB7">
              <w:rPr>
                <w:i/>
                <w:lang w:val="en-CA"/>
              </w:rPr>
              <w:t>market participants</w:t>
            </w:r>
            <w:r w:rsidR="00855CB7">
              <w:rPr>
                <w:lang w:val="en-CA"/>
              </w:rPr>
              <w:t xml:space="preserve"> are potentially affected by the </w:t>
            </w:r>
            <w:r w:rsidR="00855CB7">
              <w:rPr>
                <w:i/>
                <w:lang w:val="en-CA"/>
              </w:rPr>
              <w:t xml:space="preserve">notice of disagreement </w:t>
            </w:r>
            <w:r w:rsidR="00855CB7">
              <w:rPr>
                <w:lang w:val="en-CA"/>
              </w:rPr>
              <w:t>and notif</w:t>
            </w:r>
            <w:r w:rsidR="00350375">
              <w:rPr>
                <w:lang w:val="en-CA"/>
              </w:rPr>
              <w:t>y</w:t>
            </w:r>
            <w:r w:rsidR="00855CB7">
              <w:rPr>
                <w:lang w:val="en-CA"/>
              </w:rPr>
              <w:t xml:space="preserve"> them by </w:t>
            </w:r>
            <w:r w:rsidR="00350375">
              <w:rPr>
                <w:lang w:val="en-CA"/>
              </w:rPr>
              <w:t>email</w:t>
            </w:r>
          </w:p>
        </w:tc>
        <w:tc>
          <w:tcPr>
            <w:tcW w:w="1980" w:type="dxa"/>
            <w:tcBorders>
              <w:top w:val="nil"/>
              <w:bottom w:val="single" w:sz="4" w:space="0" w:color="auto"/>
            </w:tcBorders>
          </w:tcPr>
          <w:p w14:paraId="6B99CA86" w14:textId="77777777" w:rsidR="00855CB7" w:rsidRDefault="00855CB7">
            <w:pPr>
              <w:pStyle w:val="TableText"/>
              <w:rPr>
                <w:lang w:val="en-CA"/>
              </w:rPr>
            </w:pPr>
            <w:r>
              <w:rPr>
                <w:lang w:val="en-CA"/>
              </w:rPr>
              <w:t>After Step 5A.10.</w:t>
            </w:r>
          </w:p>
        </w:tc>
        <w:tc>
          <w:tcPr>
            <w:tcW w:w="2070" w:type="dxa"/>
          </w:tcPr>
          <w:p w14:paraId="05FB63B4" w14:textId="77777777" w:rsidR="00855CB7" w:rsidRDefault="00855CB7">
            <w:pPr>
              <w:pStyle w:val="TableText"/>
              <w:rPr>
                <w:lang w:val="en-CA"/>
              </w:rPr>
            </w:pPr>
            <w:r>
              <w:rPr>
                <w:lang w:val="en-CA"/>
              </w:rPr>
              <w:t>A determination whether:</w:t>
            </w:r>
          </w:p>
          <w:p w14:paraId="182CAEF5" w14:textId="77777777" w:rsidR="00855CB7" w:rsidRDefault="00712519" w:rsidP="000812CE">
            <w:pPr>
              <w:pStyle w:val="TableBullet"/>
              <w:tabs>
                <w:tab w:val="clear" w:pos="360"/>
                <w:tab w:val="num" w:pos="288"/>
              </w:tabs>
              <w:ind w:left="288" w:hanging="288"/>
              <w:rPr>
                <w:lang w:val="en-CA"/>
              </w:rPr>
            </w:pPr>
            <w:r>
              <w:rPr>
                <w:lang w:val="en-CA"/>
              </w:rPr>
              <w:t xml:space="preserve">the </w:t>
            </w:r>
            <w:r w:rsidR="00855CB7">
              <w:rPr>
                <w:i/>
                <w:lang w:val="en-CA"/>
              </w:rPr>
              <w:t>notice of disagreement</w:t>
            </w:r>
            <w:r w:rsidR="00855CB7">
              <w:rPr>
                <w:lang w:val="en-CA"/>
              </w:rPr>
              <w:t xml:space="preserve"> is valid or invalid;</w:t>
            </w:r>
          </w:p>
          <w:p w14:paraId="0540BA2F" w14:textId="77777777" w:rsidR="00274BEB" w:rsidRDefault="00712519">
            <w:pPr>
              <w:pStyle w:val="TableBullet"/>
              <w:tabs>
                <w:tab w:val="clear" w:pos="360"/>
                <w:tab w:val="num" w:pos="288"/>
              </w:tabs>
              <w:ind w:left="288" w:hanging="288"/>
              <w:rPr>
                <w:lang w:val="en-CA"/>
              </w:rPr>
            </w:pPr>
            <w:r>
              <w:rPr>
                <w:lang w:val="en-CA"/>
              </w:rPr>
              <w:t xml:space="preserve">additional </w:t>
            </w:r>
            <w:r w:rsidR="00855CB7">
              <w:rPr>
                <w:lang w:val="en-CA"/>
              </w:rPr>
              <w:t>information is required; and</w:t>
            </w:r>
          </w:p>
          <w:p w14:paraId="1F335400" w14:textId="77777777" w:rsidR="00274BEB" w:rsidRDefault="00712519">
            <w:pPr>
              <w:pStyle w:val="TableBullet"/>
              <w:tabs>
                <w:tab w:val="clear" w:pos="360"/>
                <w:tab w:val="num" w:pos="288"/>
              </w:tabs>
              <w:ind w:left="288" w:hanging="288"/>
              <w:rPr>
                <w:lang w:val="en-CA"/>
              </w:rPr>
            </w:pPr>
            <w:r>
              <w:rPr>
                <w:lang w:val="en-CA"/>
              </w:rPr>
              <w:t xml:space="preserve">affected </w:t>
            </w:r>
            <w:r w:rsidR="00855CB7">
              <w:rPr>
                <w:lang w:val="en-CA"/>
              </w:rPr>
              <w:t>parties exist.</w:t>
            </w:r>
          </w:p>
        </w:tc>
        <w:tc>
          <w:tcPr>
            <w:tcW w:w="2700" w:type="dxa"/>
          </w:tcPr>
          <w:p w14:paraId="0F2A3CF3" w14:textId="77777777" w:rsidR="00855CB7" w:rsidRDefault="00855CB7">
            <w:pPr>
              <w:pStyle w:val="TableText"/>
              <w:rPr>
                <w:i/>
                <w:lang w:val="en-CA"/>
              </w:rPr>
            </w:pPr>
            <w:r>
              <w:rPr>
                <w:lang w:val="en-CA"/>
              </w:rPr>
              <w:t xml:space="preserve">If additional information is required: </w:t>
            </w:r>
            <w:r w:rsidR="001722A3">
              <w:rPr>
                <w:lang w:val="en-CA"/>
              </w:rPr>
              <w:t xml:space="preserve">we send an </w:t>
            </w:r>
            <w:r>
              <w:rPr>
                <w:lang w:val="en-CA"/>
              </w:rPr>
              <w:t xml:space="preserve">E-mail </w:t>
            </w:r>
            <w:r w:rsidR="001722A3">
              <w:rPr>
                <w:lang w:val="en-CA"/>
              </w:rPr>
              <w:t>requesting</w:t>
            </w:r>
            <w:r w:rsidR="005E1ECA">
              <w:rPr>
                <w:lang w:val="en-CA"/>
              </w:rPr>
              <w:t xml:space="preserve"> additional information </w:t>
            </w:r>
            <w:r w:rsidR="001722A3">
              <w:rPr>
                <w:lang w:val="en-CA"/>
              </w:rPr>
              <w:t>through</w:t>
            </w:r>
            <w:r w:rsidR="005E1ECA" w:rsidDel="005E1ECA">
              <w:rPr>
                <w:lang w:val="en-CA"/>
              </w:rPr>
              <w:t xml:space="preserve"> </w:t>
            </w:r>
            <w:r w:rsidR="00CA3C47">
              <w:rPr>
                <w:lang w:val="en-CA"/>
              </w:rPr>
              <w:t xml:space="preserve">Online IESO </w:t>
            </w:r>
            <w:r>
              <w:rPr>
                <w:i/>
                <w:lang w:val="en-CA"/>
              </w:rPr>
              <w:t xml:space="preserve">notice of disagreement </w:t>
            </w:r>
            <w:r>
              <w:rPr>
                <w:lang w:val="en-CA"/>
              </w:rPr>
              <w:t>form.</w:t>
            </w:r>
          </w:p>
          <w:p w14:paraId="6270EB8D" w14:textId="77777777" w:rsidR="00855CB7" w:rsidRDefault="00855CB7" w:rsidP="00240AE0">
            <w:pPr>
              <w:pStyle w:val="TableText"/>
              <w:rPr>
                <w:lang w:val="en-CA"/>
              </w:rPr>
            </w:pPr>
            <w:r>
              <w:rPr>
                <w:lang w:val="en-CA"/>
              </w:rPr>
              <w:t>If affected parties</w:t>
            </w:r>
            <w:r w:rsidR="00240AE0">
              <w:rPr>
                <w:lang w:val="en-CA"/>
              </w:rPr>
              <w:t>: we notify them by email of our intended actions</w:t>
            </w:r>
            <w:r>
              <w:rPr>
                <w:lang w:val="en-CA"/>
              </w:rPr>
              <w:t>.</w:t>
            </w:r>
          </w:p>
        </w:tc>
        <w:tc>
          <w:tcPr>
            <w:tcW w:w="2340" w:type="dxa"/>
          </w:tcPr>
          <w:p w14:paraId="21095FAF" w14:textId="77777777" w:rsidR="00855CB7" w:rsidRDefault="00600B7B">
            <w:pPr>
              <w:pStyle w:val="TableText"/>
              <w:rPr>
                <w:lang w:val="en-CA"/>
              </w:rPr>
            </w:pPr>
            <w:r>
              <w:rPr>
                <w:lang w:val="en-CA"/>
              </w:rPr>
              <w:t xml:space="preserve">We </w:t>
            </w:r>
            <w:r w:rsidR="00855CB7">
              <w:rPr>
                <w:lang w:val="en-CA"/>
              </w:rPr>
              <w:t xml:space="preserve">send a notification to the </w:t>
            </w:r>
            <w:r w:rsidR="00855CB7">
              <w:rPr>
                <w:i/>
                <w:lang w:val="en-CA"/>
              </w:rPr>
              <w:t>market participant</w:t>
            </w:r>
            <w:r w:rsidR="00855CB7">
              <w:rPr>
                <w:lang w:val="en-CA"/>
              </w:rPr>
              <w:t xml:space="preserve"> if the </w:t>
            </w:r>
            <w:r w:rsidR="00855CB7">
              <w:rPr>
                <w:i/>
                <w:lang w:val="en-CA"/>
              </w:rPr>
              <w:t>notice of disagreement</w:t>
            </w:r>
            <w:r w:rsidR="00855CB7">
              <w:rPr>
                <w:lang w:val="en-CA"/>
              </w:rPr>
              <w:t xml:space="preserve"> is invalid or if further information is required (Step 5A, 12).</w:t>
            </w:r>
          </w:p>
          <w:p w14:paraId="7FA87FC8" w14:textId="77777777" w:rsidR="00F14C8C" w:rsidRDefault="00F14C8C">
            <w:pPr>
              <w:pStyle w:val="TableText"/>
              <w:rPr>
                <w:lang w:val="en-CA"/>
              </w:rPr>
            </w:pPr>
          </w:p>
          <w:p w14:paraId="7E3B193C" w14:textId="77777777" w:rsidR="00855CB7" w:rsidRDefault="00600B7B" w:rsidP="00600B7B">
            <w:pPr>
              <w:pStyle w:val="TableText"/>
              <w:rPr>
                <w:lang w:val="en-CA"/>
              </w:rPr>
            </w:pPr>
            <w:r>
              <w:rPr>
                <w:lang w:val="en-CA"/>
              </w:rPr>
              <w:t xml:space="preserve">We </w:t>
            </w:r>
            <w:r w:rsidR="00855CB7">
              <w:rPr>
                <w:lang w:val="en-CA"/>
              </w:rPr>
              <w:t>send a notification to any affected parties (Step 5A.13).</w:t>
            </w:r>
          </w:p>
        </w:tc>
      </w:tr>
      <w:tr w:rsidR="00855CB7" w14:paraId="60FC5E62" w14:textId="77777777" w:rsidTr="007578A1">
        <w:tc>
          <w:tcPr>
            <w:tcW w:w="864" w:type="dxa"/>
            <w:tcBorders>
              <w:bottom w:val="single" w:sz="4" w:space="0" w:color="auto"/>
            </w:tcBorders>
          </w:tcPr>
          <w:p w14:paraId="17525E83" w14:textId="77777777" w:rsidR="00855CB7" w:rsidRDefault="00855CB7">
            <w:pPr>
              <w:pStyle w:val="TableText"/>
              <w:rPr>
                <w:lang w:val="en-CA"/>
              </w:rPr>
            </w:pPr>
            <w:r>
              <w:rPr>
                <w:lang w:val="en-CA"/>
              </w:rPr>
              <w:t>5A.12</w:t>
            </w:r>
          </w:p>
        </w:tc>
        <w:tc>
          <w:tcPr>
            <w:tcW w:w="2160" w:type="dxa"/>
            <w:tcBorders>
              <w:bottom w:val="single" w:sz="4" w:space="0" w:color="auto"/>
            </w:tcBorders>
          </w:tcPr>
          <w:p w14:paraId="4E008FAC" w14:textId="77777777" w:rsidR="00855CB7" w:rsidRDefault="00855CB7" w:rsidP="00FB6A2D">
            <w:pPr>
              <w:pStyle w:val="TableText"/>
              <w:rPr>
                <w:lang w:val="en-CA"/>
              </w:rPr>
            </w:pPr>
            <w:r>
              <w:rPr>
                <w:lang w:val="en-CA"/>
              </w:rPr>
              <w:t xml:space="preserve">Provide requested information to </w:t>
            </w:r>
            <w:r w:rsidR="00FB6A2D">
              <w:rPr>
                <w:lang w:val="en-CA"/>
              </w:rPr>
              <w:t>us</w:t>
            </w:r>
            <w:r w:rsidR="001722A3">
              <w:rPr>
                <w:lang w:val="en-CA"/>
              </w:rPr>
              <w:t xml:space="preserve"> through Online IESO</w:t>
            </w:r>
            <w:r w:rsidR="00FB6A2D">
              <w:rPr>
                <w:lang w:val="en-CA"/>
              </w:rPr>
              <w:t>.</w:t>
            </w:r>
          </w:p>
        </w:tc>
        <w:tc>
          <w:tcPr>
            <w:tcW w:w="2790" w:type="dxa"/>
            <w:tcBorders>
              <w:bottom w:val="single" w:sz="4" w:space="0" w:color="auto"/>
            </w:tcBorders>
          </w:tcPr>
          <w:p w14:paraId="06948949" w14:textId="77777777" w:rsidR="00855CB7" w:rsidRDefault="00855CB7" w:rsidP="00CF4B11">
            <w:pPr>
              <w:pStyle w:val="TableText"/>
              <w:rPr>
                <w:lang w:val="en-CA"/>
              </w:rPr>
            </w:pPr>
            <w:r>
              <w:rPr>
                <w:lang w:val="en-CA"/>
              </w:rPr>
              <w:t xml:space="preserve">The </w:t>
            </w:r>
            <w:r>
              <w:rPr>
                <w:i/>
                <w:lang w:val="en-CA"/>
              </w:rPr>
              <w:t>market participant</w:t>
            </w:r>
            <w:r>
              <w:rPr>
                <w:lang w:val="en-CA"/>
              </w:rPr>
              <w:t xml:space="preserve"> must provide any requested information of clarifications to </w:t>
            </w:r>
            <w:r w:rsidR="00FB6A2D">
              <w:rPr>
                <w:lang w:val="en-CA"/>
              </w:rPr>
              <w:t>us</w:t>
            </w:r>
            <w:r>
              <w:rPr>
                <w:lang w:val="en-CA"/>
              </w:rPr>
              <w:t xml:space="preserve"> within the timeframe specified in the notification. </w:t>
            </w:r>
            <w:r>
              <w:rPr>
                <w:i/>
                <w:lang w:val="en-CA"/>
              </w:rPr>
              <w:t>Market participants</w:t>
            </w:r>
            <w:r>
              <w:rPr>
                <w:lang w:val="en-CA"/>
              </w:rPr>
              <w:t xml:space="preserve"> who fail to provide the requested information within the required timeframe may invalidate their </w:t>
            </w:r>
            <w:r>
              <w:rPr>
                <w:i/>
                <w:lang w:val="en-CA"/>
              </w:rPr>
              <w:t>notice of disagreement</w:t>
            </w:r>
            <w:r>
              <w:rPr>
                <w:lang w:val="en-CA"/>
              </w:rPr>
              <w:t>.</w:t>
            </w:r>
          </w:p>
        </w:tc>
        <w:tc>
          <w:tcPr>
            <w:tcW w:w="1980" w:type="dxa"/>
            <w:tcBorders>
              <w:bottom w:val="single" w:sz="4" w:space="0" w:color="auto"/>
            </w:tcBorders>
          </w:tcPr>
          <w:p w14:paraId="0B637A28" w14:textId="77777777" w:rsidR="00855CB7" w:rsidRDefault="00855CB7">
            <w:pPr>
              <w:pStyle w:val="TableText"/>
              <w:rPr>
                <w:lang w:val="en-CA"/>
              </w:rPr>
            </w:pPr>
            <w:r>
              <w:rPr>
                <w:lang w:val="en-CA"/>
              </w:rPr>
              <w:t>After Step 5A.11, if additional information or clarifications required.</w:t>
            </w:r>
          </w:p>
        </w:tc>
        <w:tc>
          <w:tcPr>
            <w:tcW w:w="2070" w:type="dxa"/>
          </w:tcPr>
          <w:p w14:paraId="025212B2" w14:textId="77777777" w:rsidR="00855CB7" w:rsidRDefault="00855CB7">
            <w:pPr>
              <w:pStyle w:val="TableText"/>
              <w:rPr>
                <w:lang w:val="en-CA"/>
              </w:rPr>
            </w:pPr>
            <w:r>
              <w:rPr>
                <w:lang w:val="en-CA"/>
              </w:rPr>
              <w:t>Requested information or clarifications.</w:t>
            </w:r>
          </w:p>
        </w:tc>
        <w:tc>
          <w:tcPr>
            <w:tcW w:w="2700" w:type="dxa"/>
          </w:tcPr>
          <w:p w14:paraId="21A3F90D" w14:textId="77777777" w:rsidR="00855CB7" w:rsidRDefault="005E1ECA" w:rsidP="001722A3">
            <w:pPr>
              <w:pStyle w:val="TableText"/>
              <w:rPr>
                <w:lang w:val="en-CA"/>
              </w:rPr>
            </w:pPr>
            <w:r>
              <w:rPr>
                <w:lang w:val="en-CA"/>
              </w:rPr>
              <w:t xml:space="preserve">Provide </w:t>
            </w:r>
            <w:r w:rsidR="00855CB7">
              <w:rPr>
                <w:lang w:val="en-CA"/>
              </w:rPr>
              <w:t xml:space="preserve">requested information </w:t>
            </w:r>
            <w:r>
              <w:rPr>
                <w:lang w:val="en-CA"/>
              </w:rPr>
              <w:t xml:space="preserve">and attach any supporting documents </w:t>
            </w:r>
            <w:r w:rsidR="001722A3">
              <w:rPr>
                <w:lang w:val="en-CA"/>
              </w:rPr>
              <w:t>through Online IESO</w:t>
            </w:r>
            <w:r w:rsidR="001722A3">
              <w:rPr>
                <w:i/>
                <w:lang w:val="en-CA"/>
              </w:rPr>
              <w:t xml:space="preserve"> </w:t>
            </w:r>
            <w:r w:rsidR="00855CB7">
              <w:rPr>
                <w:i/>
                <w:lang w:val="en-CA"/>
              </w:rPr>
              <w:t xml:space="preserve">notice of disagreement </w:t>
            </w:r>
            <w:r w:rsidR="00855CB7">
              <w:rPr>
                <w:lang w:val="en-CA"/>
              </w:rPr>
              <w:t>form.</w:t>
            </w:r>
          </w:p>
        </w:tc>
        <w:tc>
          <w:tcPr>
            <w:tcW w:w="2340" w:type="dxa"/>
          </w:tcPr>
          <w:p w14:paraId="2A963F05" w14:textId="77777777" w:rsidR="00855CB7" w:rsidRDefault="00855CB7" w:rsidP="00CF4B11">
            <w:pPr>
              <w:pStyle w:val="TableText"/>
              <w:rPr>
                <w:lang w:val="en-CA"/>
              </w:rPr>
            </w:pPr>
            <w:r>
              <w:rPr>
                <w:i/>
                <w:lang w:val="en-CA"/>
              </w:rPr>
              <w:t>Market participant</w:t>
            </w:r>
            <w:r w:rsidRPr="00CF4B11">
              <w:rPr>
                <w:lang w:val="en-CA"/>
              </w:rPr>
              <w:t xml:space="preserve"> </w:t>
            </w:r>
            <w:r>
              <w:rPr>
                <w:lang w:val="en-CA"/>
              </w:rPr>
              <w:t xml:space="preserve">submit requested information or clarifications to </w:t>
            </w:r>
            <w:r w:rsidR="00CF4B11">
              <w:rPr>
                <w:lang w:val="en-CA"/>
              </w:rPr>
              <w:t>us.</w:t>
            </w:r>
          </w:p>
        </w:tc>
      </w:tr>
      <w:tr w:rsidR="00855CB7" w14:paraId="31D043C2" w14:textId="77777777" w:rsidTr="007578A1">
        <w:trPr>
          <w:cantSplit/>
        </w:trPr>
        <w:tc>
          <w:tcPr>
            <w:tcW w:w="864" w:type="dxa"/>
          </w:tcPr>
          <w:p w14:paraId="4CBDBEF3" w14:textId="77777777" w:rsidR="00855CB7" w:rsidRDefault="00855CB7">
            <w:pPr>
              <w:pStyle w:val="TableText"/>
              <w:rPr>
                <w:lang w:val="en-CA"/>
              </w:rPr>
            </w:pPr>
            <w:r>
              <w:rPr>
                <w:lang w:val="en-CA"/>
              </w:rPr>
              <w:t>5A.13</w:t>
            </w:r>
          </w:p>
        </w:tc>
        <w:tc>
          <w:tcPr>
            <w:tcW w:w="2160" w:type="dxa"/>
          </w:tcPr>
          <w:p w14:paraId="265358F4" w14:textId="77777777" w:rsidR="00855CB7" w:rsidRDefault="00855CB7">
            <w:pPr>
              <w:pStyle w:val="TableText"/>
              <w:rPr>
                <w:lang w:val="en-CA"/>
              </w:rPr>
            </w:pPr>
            <w:r>
              <w:rPr>
                <w:lang w:val="en-CA"/>
              </w:rPr>
              <w:t xml:space="preserve">Receive and review </w:t>
            </w:r>
            <w:r>
              <w:rPr>
                <w:i/>
                <w:lang w:val="en-CA"/>
              </w:rPr>
              <w:t>notice of disagreement</w:t>
            </w:r>
            <w:r>
              <w:rPr>
                <w:lang w:val="en-CA"/>
              </w:rPr>
              <w:t xml:space="preserve"> details.</w:t>
            </w:r>
          </w:p>
        </w:tc>
        <w:tc>
          <w:tcPr>
            <w:tcW w:w="2790" w:type="dxa"/>
          </w:tcPr>
          <w:p w14:paraId="668858F6" w14:textId="77777777" w:rsidR="00855CB7" w:rsidRDefault="00855CB7">
            <w:pPr>
              <w:pStyle w:val="TableText"/>
              <w:rPr>
                <w:lang w:val="en-CA"/>
              </w:rPr>
            </w:pPr>
            <w:r>
              <w:rPr>
                <w:lang w:val="en-CA"/>
              </w:rPr>
              <w:t xml:space="preserve">The affected </w:t>
            </w:r>
            <w:r>
              <w:rPr>
                <w:i/>
                <w:lang w:val="en-CA"/>
              </w:rPr>
              <w:t>market participant</w:t>
            </w:r>
            <w:r>
              <w:rPr>
                <w:lang w:val="en-CA"/>
              </w:rPr>
              <w:t>(s) reviews the notification.</w:t>
            </w:r>
          </w:p>
        </w:tc>
        <w:tc>
          <w:tcPr>
            <w:tcW w:w="1980" w:type="dxa"/>
          </w:tcPr>
          <w:p w14:paraId="17C9CAC8" w14:textId="77777777" w:rsidR="00855CB7" w:rsidRDefault="00855CB7">
            <w:pPr>
              <w:pStyle w:val="TableText"/>
              <w:rPr>
                <w:lang w:val="en-CA"/>
              </w:rPr>
            </w:pPr>
            <w:r>
              <w:rPr>
                <w:lang w:val="en-CA"/>
              </w:rPr>
              <w:t>After Step 5A.11, if affected parties exist.</w:t>
            </w:r>
          </w:p>
        </w:tc>
        <w:tc>
          <w:tcPr>
            <w:tcW w:w="2070" w:type="dxa"/>
          </w:tcPr>
          <w:p w14:paraId="33752656" w14:textId="77777777" w:rsidR="00855CB7" w:rsidRDefault="00855CB7">
            <w:pPr>
              <w:pStyle w:val="TableText"/>
              <w:rPr>
                <w:lang w:val="en-CA"/>
              </w:rPr>
            </w:pPr>
            <w:r>
              <w:rPr>
                <w:lang w:val="en-CA"/>
              </w:rPr>
              <w:t xml:space="preserve">Notification of </w:t>
            </w:r>
            <w:r>
              <w:rPr>
                <w:i/>
                <w:lang w:val="en-CA"/>
              </w:rPr>
              <w:t>notice of disagreement.</w:t>
            </w:r>
          </w:p>
        </w:tc>
        <w:tc>
          <w:tcPr>
            <w:tcW w:w="2700" w:type="dxa"/>
          </w:tcPr>
          <w:p w14:paraId="304C7641" w14:textId="77777777" w:rsidR="00855CB7" w:rsidRDefault="00240AE0" w:rsidP="00240AE0">
            <w:pPr>
              <w:pStyle w:val="TableText"/>
              <w:rPr>
                <w:lang w:val="en-CA"/>
              </w:rPr>
            </w:pPr>
            <w:r>
              <w:rPr>
                <w:lang w:val="en-CA"/>
              </w:rPr>
              <w:t>Email or Online IESO.</w:t>
            </w:r>
          </w:p>
        </w:tc>
        <w:tc>
          <w:tcPr>
            <w:tcW w:w="2340" w:type="dxa"/>
          </w:tcPr>
          <w:p w14:paraId="00615A42" w14:textId="77777777" w:rsidR="00855CB7" w:rsidRDefault="00855CB7" w:rsidP="00CF4B11">
            <w:pPr>
              <w:pStyle w:val="TableText"/>
              <w:rPr>
                <w:lang w:val="en-CA"/>
              </w:rPr>
            </w:pPr>
            <w:r>
              <w:rPr>
                <w:lang w:val="en-CA"/>
              </w:rPr>
              <w:t xml:space="preserve">Affected party receives notification from </w:t>
            </w:r>
            <w:r w:rsidR="00CF4B11" w:rsidRPr="00CF4B11">
              <w:rPr>
                <w:lang w:val="en-CA"/>
              </w:rPr>
              <w:t>us</w:t>
            </w:r>
            <w:r w:rsidR="00280783">
              <w:rPr>
                <w:lang w:val="en-CA"/>
              </w:rPr>
              <w:t xml:space="preserve"> </w:t>
            </w:r>
            <w:r>
              <w:rPr>
                <w:lang w:val="en-CA"/>
              </w:rPr>
              <w:t xml:space="preserve">describing </w:t>
            </w:r>
            <w:r>
              <w:rPr>
                <w:i/>
                <w:lang w:val="en-CA"/>
              </w:rPr>
              <w:t>notice of disagreement</w:t>
            </w:r>
            <w:r w:rsidR="00240AE0">
              <w:rPr>
                <w:lang w:val="en-CA"/>
              </w:rPr>
              <w:t xml:space="preserve"> and our intended actions</w:t>
            </w:r>
            <w:r>
              <w:rPr>
                <w:i/>
                <w:lang w:val="en-CA"/>
              </w:rPr>
              <w:t>.</w:t>
            </w:r>
          </w:p>
        </w:tc>
      </w:tr>
      <w:tr w:rsidR="00855CB7" w14:paraId="65EC0F6B" w14:textId="77777777" w:rsidTr="007578A1">
        <w:trPr>
          <w:cantSplit/>
        </w:trPr>
        <w:tc>
          <w:tcPr>
            <w:tcW w:w="864" w:type="dxa"/>
          </w:tcPr>
          <w:p w14:paraId="1DC442A5" w14:textId="77777777" w:rsidR="00855CB7" w:rsidRDefault="00855CB7">
            <w:pPr>
              <w:pStyle w:val="TableText"/>
              <w:rPr>
                <w:lang w:val="en-CA"/>
              </w:rPr>
            </w:pPr>
            <w:r>
              <w:rPr>
                <w:lang w:val="en-CA"/>
              </w:rPr>
              <w:t>5A.14</w:t>
            </w:r>
          </w:p>
        </w:tc>
        <w:tc>
          <w:tcPr>
            <w:tcW w:w="2160" w:type="dxa"/>
          </w:tcPr>
          <w:p w14:paraId="0D3D7BA7" w14:textId="77777777" w:rsidR="00855CB7" w:rsidRDefault="00855CB7">
            <w:pPr>
              <w:pStyle w:val="TableText"/>
              <w:rPr>
                <w:lang w:val="en-CA"/>
              </w:rPr>
            </w:pPr>
            <w:r>
              <w:rPr>
                <w:lang w:val="en-CA"/>
              </w:rPr>
              <w:t xml:space="preserve">Notify </w:t>
            </w:r>
            <w:r>
              <w:rPr>
                <w:i/>
                <w:lang w:val="en-CA"/>
              </w:rPr>
              <w:t>market participant</w:t>
            </w:r>
            <w:r>
              <w:rPr>
                <w:lang w:val="en-CA"/>
              </w:rPr>
              <w:t xml:space="preserve"> of rejected </w:t>
            </w:r>
            <w:r>
              <w:rPr>
                <w:i/>
                <w:lang w:val="en-CA"/>
              </w:rPr>
              <w:t>notice of disagreement</w:t>
            </w:r>
            <w:r>
              <w:rPr>
                <w:lang w:val="en-CA"/>
              </w:rPr>
              <w:t>.</w:t>
            </w:r>
          </w:p>
        </w:tc>
        <w:tc>
          <w:tcPr>
            <w:tcW w:w="2790" w:type="dxa"/>
          </w:tcPr>
          <w:p w14:paraId="0ABD62A1" w14:textId="77777777" w:rsidR="00855CB7" w:rsidRDefault="00FB6A2D" w:rsidP="00CA3C47">
            <w:pPr>
              <w:pStyle w:val="TableText"/>
              <w:rPr>
                <w:lang w:val="en-CA"/>
              </w:rPr>
            </w:pPr>
            <w:r>
              <w:rPr>
                <w:lang w:val="en-CA"/>
              </w:rPr>
              <w:t>W</w:t>
            </w:r>
            <w:r w:rsidRPr="007A6E66">
              <w:rPr>
                <w:lang w:val="en-CA"/>
              </w:rPr>
              <w:t>e</w:t>
            </w:r>
            <w:r w:rsidDel="00FB6A2D">
              <w:rPr>
                <w:lang w:val="en-CA"/>
              </w:rPr>
              <w:t xml:space="preserve"> </w:t>
            </w:r>
            <w:r w:rsidR="00855CB7">
              <w:rPr>
                <w:lang w:val="en-CA"/>
              </w:rPr>
              <w:t>determine the submission</w:t>
            </w:r>
            <w:r w:rsidR="001722A3">
              <w:rPr>
                <w:lang w:val="en-CA"/>
              </w:rPr>
              <w:t xml:space="preserve"> is not valid </w:t>
            </w:r>
            <w:r w:rsidR="00855CB7">
              <w:rPr>
                <w:lang w:val="en-CA"/>
              </w:rPr>
              <w:t>and notif</w:t>
            </w:r>
            <w:r w:rsidR="00CA3C47">
              <w:rPr>
                <w:lang w:val="en-CA"/>
              </w:rPr>
              <w:t>y</w:t>
            </w:r>
            <w:r w:rsidR="00855CB7">
              <w:rPr>
                <w:lang w:val="en-CA"/>
              </w:rPr>
              <w:t xml:space="preserve"> the </w:t>
            </w:r>
            <w:r w:rsidR="00855CB7">
              <w:rPr>
                <w:i/>
                <w:lang w:val="en-CA"/>
              </w:rPr>
              <w:t>market participant</w:t>
            </w:r>
            <w:r w:rsidR="001722A3">
              <w:rPr>
                <w:i/>
                <w:lang w:val="en-CA"/>
              </w:rPr>
              <w:t xml:space="preserve"> </w:t>
            </w:r>
            <w:r w:rsidR="001722A3" w:rsidRPr="00F66F6C">
              <w:rPr>
                <w:lang w:val="en-CA"/>
              </w:rPr>
              <w:t>it is rejected</w:t>
            </w:r>
            <w:r w:rsidR="00855CB7">
              <w:rPr>
                <w:lang w:val="en-CA"/>
              </w:rPr>
              <w:t>.</w:t>
            </w:r>
          </w:p>
        </w:tc>
        <w:tc>
          <w:tcPr>
            <w:tcW w:w="1980" w:type="dxa"/>
          </w:tcPr>
          <w:p w14:paraId="1E7D6D5E" w14:textId="77777777" w:rsidR="00855CB7" w:rsidRDefault="00855CB7">
            <w:pPr>
              <w:pStyle w:val="TableText"/>
              <w:rPr>
                <w:lang w:val="en-CA"/>
              </w:rPr>
            </w:pPr>
            <w:r>
              <w:rPr>
                <w:lang w:val="en-CA"/>
              </w:rPr>
              <w:t>After Step 5A.11.</w:t>
            </w:r>
          </w:p>
        </w:tc>
        <w:tc>
          <w:tcPr>
            <w:tcW w:w="2070" w:type="dxa"/>
          </w:tcPr>
          <w:p w14:paraId="4CD96F70" w14:textId="77777777" w:rsidR="00855CB7" w:rsidRDefault="00855CB7">
            <w:pPr>
              <w:pStyle w:val="TableText"/>
              <w:rPr>
                <w:lang w:val="en-CA"/>
              </w:rPr>
            </w:pPr>
            <w:r>
              <w:rPr>
                <w:lang w:val="en-CA"/>
              </w:rPr>
              <w:t xml:space="preserve">Notification of rejection of </w:t>
            </w:r>
            <w:r>
              <w:rPr>
                <w:i/>
                <w:lang w:val="en-CA"/>
              </w:rPr>
              <w:t>notice of disagreement.</w:t>
            </w:r>
          </w:p>
        </w:tc>
        <w:tc>
          <w:tcPr>
            <w:tcW w:w="2700" w:type="dxa"/>
          </w:tcPr>
          <w:p w14:paraId="4C94EFAF" w14:textId="77777777" w:rsidR="00855CB7" w:rsidRDefault="00CA3C47">
            <w:pPr>
              <w:pStyle w:val="TableText"/>
              <w:rPr>
                <w:lang w:val="en-CA"/>
              </w:rPr>
            </w:pPr>
            <w:r w:rsidRPr="00F66F6C">
              <w:rPr>
                <w:lang w:val="en-CA"/>
              </w:rPr>
              <w:t>Online IESO</w:t>
            </w:r>
            <w:r>
              <w:rPr>
                <w:i/>
                <w:lang w:val="en-CA"/>
              </w:rPr>
              <w:t xml:space="preserve"> notice </w:t>
            </w:r>
            <w:r w:rsidR="00855CB7">
              <w:rPr>
                <w:i/>
                <w:lang w:val="en-CA"/>
              </w:rPr>
              <w:t xml:space="preserve">of disagreement </w:t>
            </w:r>
            <w:r w:rsidR="00855CB7">
              <w:rPr>
                <w:lang w:val="en-CA"/>
              </w:rPr>
              <w:t>form.</w:t>
            </w:r>
          </w:p>
          <w:p w14:paraId="08BBD7CE" w14:textId="77777777" w:rsidR="00855CB7" w:rsidRDefault="00855CB7" w:rsidP="00353923">
            <w:pPr>
              <w:pStyle w:val="TableText"/>
              <w:rPr>
                <w:lang w:val="en-CA"/>
              </w:rPr>
            </w:pPr>
            <w:r>
              <w:rPr>
                <w:lang w:val="en-CA"/>
              </w:rPr>
              <w:t xml:space="preserve">Email reminder to view </w:t>
            </w:r>
            <w:r w:rsidR="00096F55">
              <w:rPr>
                <w:lang w:val="en-CA"/>
              </w:rPr>
              <w:t xml:space="preserve">decision </w:t>
            </w:r>
            <w:r w:rsidR="005E1ECA">
              <w:rPr>
                <w:lang w:val="en-CA"/>
              </w:rPr>
              <w:t>notification in the</w:t>
            </w:r>
            <w:r>
              <w:rPr>
                <w:lang w:val="en-CA"/>
              </w:rPr>
              <w:t xml:space="preserve"> </w:t>
            </w:r>
            <w:r w:rsidR="001722A3">
              <w:rPr>
                <w:lang w:val="en-CA"/>
              </w:rPr>
              <w:t>Online IESO</w:t>
            </w:r>
            <w:r w:rsidR="001722A3">
              <w:rPr>
                <w:i/>
                <w:lang w:val="en-CA"/>
              </w:rPr>
              <w:t xml:space="preserve"> </w:t>
            </w:r>
            <w:r w:rsidR="005E1ECA">
              <w:rPr>
                <w:i/>
                <w:lang w:val="en-CA"/>
              </w:rPr>
              <w:t xml:space="preserve">notice </w:t>
            </w:r>
            <w:r>
              <w:rPr>
                <w:i/>
                <w:lang w:val="en-CA"/>
              </w:rPr>
              <w:t xml:space="preserve">of disagreement </w:t>
            </w:r>
            <w:r>
              <w:rPr>
                <w:lang w:val="en-CA"/>
              </w:rPr>
              <w:t>form.</w:t>
            </w:r>
          </w:p>
        </w:tc>
        <w:tc>
          <w:tcPr>
            <w:tcW w:w="2340" w:type="dxa"/>
          </w:tcPr>
          <w:p w14:paraId="2952BB66" w14:textId="77777777" w:rsidR="00855CB7" w:rsidRDefault="00855CB7">
            <w:pPr>
              <w:pStyle w:val="TableText"/>
              <w:rPr>
                <w:lang w:val="en-CA"/>
              </w:rPr>
            </w:pPr>
            <w:r>
              <w:rPr>
                <w:i/>
                <w:lang w:val="en-CA"/>
              </w:rPr>
              <w:t xml:space="preserve">Market participant </w:t>
            </w:r>
            <w:r>
              <w:rPr>
                <w:lang w:val="en-CA"/>
              </w:rPr>
              <w:t xml:space="preserve">notified of rejected </w:t>
            </w:r>
            <w:r>
              <w:rPr>
                <w:i/>
                <w:lang w:val="en-CA"/>
              </w:rPr>
              <w:t>notice of disagreement.</w:t>
            </w:r>
          </w:p>
        </w:tc>
      </w:tr>
      <w:tr w:rsidR="00855CB7" w14:paraId="063E9E1F" w14:textId="77777777" w:rsidTr="007578A1">
        <w:trPr>
          <w:cantSplit/>
        </w:trPr>
        <w:tc>
          <w:tcPr>
            <w:tcW w:w="864" w:type="dxa"/>
          </w:tcPr>
          <w:p w14:paraId="2C187422" w14:textId="77777777" w:rsidR="00855CB7" w:rsidRDefault="00855CB7">
            <w:pPr>
              <w:pStyle w:val="TableText"/>
              <w:rPr>
                <w:lang w:val="en-CA"/>
              </w:rPr>
            </w:pPr>
            <w:r>
              <w:rPr>
                <w:lang w:val="en-CA"/>
              </w:rPr>
              <w:t>5A.15</w:t>
            </w:r>
          </w:p>
        </w:tc>
        <w:tc>
          <w:tcPr>
            <w:tcW w:w="2160" w:type="dxa"/>
          </w:tcPr>
          <w:p w14:paraId="412C0448" w14:textId="77777777" w:rsidR="00855CB7" w:rsidRDefault="00855CB7">
            <w:pPr>
              <w:pStyle w:val="TableText"/>
              <w:rPr>
                <w:lang w:val="en-CA"/>
              </w:rPr>
            </w:pPr>
            <w:r>
              <w:rPr>
                <w:lang w:val="en-CA"/>
              </w:rPr>
              <w:t>Receive notification.</w:t>
            </w:r>
          </w:p>
        </w:tc>
        <w:tc>
          <w:tcPr>
            <w:tcW w:w="2790" w:type="dxa"/>
          </w:tcPr>
          <w:p w14:paraId="50AD2661" w14:textId="77777777" w:rsidR="00855CB7" w:rsidRDefault="00855CB7">
            <w:pPr>
              <w:pStyle w:val="TableText"/>
              <w:rPr>
                <w:lang w:val="en-CA"/>
              </w:rPr>
            </w:pPr>
            <w:r>
              <w:rPr>
                <w:lang w:val="en-CA"/>
              </w:rPr>
              <w:t xml:space="preserve">The </w:t>
            </w:r>
            <w:r>
              <w:rPr>
                <w:i/>
                <w:lang w:val="en-CA"/>
              </w:rPr>
              <w:t xml:space="preserve">market participant </w:t>
            </w:r>
            <w:r>
              <w:rPr>
                <w:lang w:val="en-CA"/>
              </w:rPr>
              <w:t>receives rejection notification.</w:t>
            </w:r>
          </w:p>
        </w:tc>
        <w:tc>
          <w:tcPr>
            <w:tcW w:w="1980" w:type="dxa"/>
          </w:tcPr>
          <w:p w14:paraId="1DA64A7B" w14:textId="77777777" w:rsidR="00855CB7" w:rsidRDefault="00855CB7">
            <w:pPr>
              <w:pStyle w:val="TableText"/>
              <w:rPr>
                <w:lang w:val="en-CA"/>
              </w:rPr>
            </w:pPr>
            <w:r>
              <w:rPr>
                <w:lang w:val="en-CA"/>
              </w:rPr>
              <w:t>After Step 5A.14.</w:t>
            </w:r>
          </w:p>
        </w:tc>
        <w:tc>
          <w:tcPr>
            <w:tcW w:w="2070" w:type="dxa"/>
          </w:tcPr>
          <w:p w14:paraId="0F841219" w14:textId="77777777" w:rsidR="00855CB7" w:rsidRDefault="00855CB7">
            <w:pPr>
              <w:pStyle w:val="TableText"/>
              <w:rPr>
                <w:lang w:val="en-CA"/>
              </w:rPr>
            </w:pPr>
            <w:r>
              <w:rPr>
                <w:lang w:val="en-CA"/>
              </w:rPr>
              <w:t xml:space="preserve">Notification of rejection of </w:t>
            </w:r>
            <w:r>
              <w:rPr>
                <w:i/>
                <w:lang w:val="en-CA"/>
              </w:rPr>
              <w:t>notice of disagreement.</w:t>
            </w:r>
          </w:p>
        </w:tc>
        <w:tc>
          <w:tcPr>
            <w:tcW w:w="2700" w:type="dxa"/>
          </w:tcPr>
          <w:p w14:paraId="58B71283" w14:textId="77777777" w:rsidR="00855CB7" w:rsidRDefault="001722A3">
            <w:pPr>
              <w:pStyle w:val="TableText"/>
              <w:rPr>
                <w:lang w:val="en-CA"/>
              </w:rPr>
            </w:pPr>
            <w:r>
              <w:rPr>
                <w:lang w:val="en-CA"/>
              </w:rPr>
              <w:t>Online IESO</w:t>
            </w:r>
          </w:p>
        </w:tc>
        <w:tc>
          <w:tcPr>
            <w:tcW w:w="2340" w:type="dxa"/>
          </w:tcPr>
          <w:p w14:paraId="024E05BC" w14:textId="77777777" w:rsidR="00855CB7" w:rsidRDefault="00855CB7">
            <w:pPr>
              <w:pStyle w:val="TableText"/>
              <w:rPr>
                <w:lang w:val="en-CA"/>
              </w:rPr>
            </w:pPr>
            <w:r>
              <w:rPr>
                <w:i/>
                <w:lang w:val="en-CA"/>
              </w:rPr>
              <w:t xml:space="preserve">Market participant </w:t>
            </w:r>
            <w:r>
              <w:rPr>
                <w:lang w:val="en-CA"/>
              </w:rPr>
              <w:t xml:space="preserve">received notification of rejected </w:t>
            </w:r>
            <w:r>
              <w:rPr>
                <w:i/>
                <w:lang w:val="en-CA"/>
              </w:rPr>
              <w:t>notice of disagreement.</w:t>
            </w:r>
          </w:p>
        </w:tc>
      </w:tr>
      <w:tr w:rsidR="00855CB7" w14:paraId="45EA2E78" w14:textId="77777777" w:rsidTr="007578A1">
        <w:tc>
          <w:tcPr>
            <w:tcW w:w="864" w:type="dxa"/>
          </w:tcPr>
          <w:p w14:paraId="2B44ADCF" w14:textId="77777777" w:rsidR="00855CB7" w:rsidRDefault="00855CB7">
            <w:pPr>
              <w:pStyle w:val="TableText"/>
              <w:rPr>
                <w:lang w:val="en-CA"/>
              </w:rPr>
            </w:pPr>
            <w:r>
              <w:rPr>
                <w:lang w:val="en-CA"/>
              </w:rPr>
              <w:t>5A.16</w:t>
            </w:r>
          </w:p>
        </w:tc>
        <w:tc>
          <w:tcPr>
            <w:tcW w:w="2160" w:type="dxa"/>
          </w:tcPr>
          <w:p w14:paraId="04CC9E8F" w14:textId="77777777" w:rsidR="00855CB7" w:rsidRDefault="00855CB7">
            <w:pPr>
              <w:pStyle w:val="TableText"/>
              <w:rPr>
                <w:lang w:val="en-CA"/>
              </w:rPr>
            </w:pPr>
            <w:r>
              <w:rPr>
                <w:lang w:val="en-CA"/>
              </w:rPr>
              <w:t xml:space="preserve">Investigate </w:t>
            </w:r>
            <w:r>
              <w:rPr>
                <w:i/>
                <w:lang w:val="en-CA"/>
              </w:rPr>
              <w:t>notice of disagreement</w:t>
            </w:r>
            <w:r>
              <w:rPr>
                <w:lang w:val="en-CA"/>
              </w:rPr>
              <w:t xml:space="preserve">. Request clarifications, if necessary. Inform </w:t>
            </w:r>
            <w:r>
              <w:rPr>
                <w:i/>
                <w:lang w:val="en-CA"/>
              </w:rPr>
              <w:t>market participant</w:t>
            </w:r>
            <w:r>
              <w:rPr>
                <w:lang w:val="en-CA"/>
              </w:rPr>
              <w:t xml:space="preserve"> and other affected parties of intended actions.</w:t>
            </w:r>
          </w:p>
        </w:tc>
        <w:tc>
          <w:tcPr>
            <w:tcW w:w="2790" w:type="dxa"/>
          </w:tcPr>
          <w:p w14:paraId="38EB794D" w14:textId="77777777" w:rsidR="00855CB7" w:rsidRDefault="00FB6A2D">
            <w:pPr>
              <w:pStyle w:val="TableText"/>
              <w:rPr>
                <w:lang w:val="en-CA"/>
              </w:rPr>
            </w:pPr>
            <w:r>
              <w:rPr>
                <w:lang w:val="en-CA"/>
              </w:rPr>
              <w:t>W</w:t>
            </w:r>
            <w:r w:rsidRPr="007A6E66">
              <w:rPr>
                <w:lang w:val="en-CA"/>
              </w:rPr>
              <w:t>e</w:t>
            </w:r>
            <w:r w:rsidDel="00FB6A2D">
              <w:rPr>
                <w:lang w:val="en-CA"/>
              </w:rPr>
              <w:t xml:space="preserve"> </w:t>
            </w:r>
            <w:r w:rsidR="00855CB7">
              <w:rPr>
                <w:lang w:val="en-CA"/>
              </w:rPr>
              <w:t>request clarification</w:t>
            </w:r>
            <w:r w:rsidR="00C14C39">
              <w:rPr>
                <w:lang w:val="en-CA"/>
              </w:rPr>
              <w:t xml:space="preserve"> </w:t>
            </w:r>
            <w:r w:rsidR="00855CB7">
              <w:rPr>
                <w:lang w:val="en-CA"/>
              </w:rPr>
              <w:t xml:space="preserve">from the </w:t>
            </w:r>
            <w:r w:rsidR="00855CB7">
              <w:rPr>
                <w:i/>
                <w:lang w:val="en-CA"/>
              </w:rPr>
              <w:t>market participant</w:t>
            </w:r>
            <w:r w:rsidR="00855CB7">
              <w:rPr>
                <w:lang w:val="en-CA"/>
              </w:rPr>
              <w:t xml:space="preserve">, if required, as part of </w:t>
            </w:r>
            <w:r w:rsidR="00CF4B11">
              <w:rPr>
                <w:lang w:val="en-CA"/>
              </w:rPr>
              <w:t xml:space="preserve">our </w:t>
            </w:r>
            <w:r w:rsidR="00855CB7">
              <w:rPr>
                <w:lang w:val="en-CA"/>
              </w:rPr>
              <w:t xml:space="preserve">investigation. The </w:t>
            </w:r>
            <w:r w:rsidR="00855CB7">
              <w:rPr>
                <w:i/>
                <w:lang w:val="en-CA"/>
              </w:rPr>
              <w:t xml:space="preserve">market participant </w:t>
            </w:r>
            <w:r w:rsidR="00855CB7">
              <w:rPr>
                <w:lang w:val="en-CA"/>
              </w:rPr>
              <w:t xml:space="preserve">must provide any requested information </w:t>
            </w:r>
            <w:r w:rsidR="00CF4B11">
              <w:rPr>
                <w:lang w:val="en-CA"/>
              </w:rPr>
              <w:t xml:space="preserve">or </w:t>
            </w:r>
            <w:r w:rsidR="00855CB7">
              <w:rPr>
                <w:lang w:val="en-CA"/>
              </w:rPr>
              <w:t xml:space="preserve">clarifications to </w:t>
            </w:r>
            <w:r>
              <w:rPr>
                <w:lang w:val="en-CA"/>
              </w:rPr>
              <w:t>us</w:t>
            </w:r>
            <w:r w:rsidR="00855CB7">
              <w:rPr>
                <w:lang w:val="en-CA"/>
              </w:rPr>
              <w:t xml:space="preserve"> within the timeframe specified in the notification. </w:t>
            </w:r>
            <w:r w:rsidR="00855CB7">
              <w:rPr>
                <w:i/>
                <w:lang w:val="en-CA"/>
              </w:rPr>
              <w:t>Market participants</w:t>
            </w:r>
            <w:r w:rsidR="00855CB7">
              <w:rPr>
                <w:lang w:val="en-CA"/>
              </w:rPr>
              <w:t xml:space="preserve"> who fail to provide the requested information within the required timeframe may invalidate their </w:t>
            </w:r>
            <w:r w:rsidR="00855CB7">
              <w:rPr>
                <w:i/>
                <w:lang w:val="en-CA"/>
              </w:rPr>
              <w:t>notice of disagreement</w:t>
            </w:r>
            <w:r w:rsidR="00855CB7">
              <w:rPr>
                <w:lang w:val="en-CA"/>
              </w:rPr>
              <w:t>.</w:t>
            </w:r>
          </w:p>
          <w:p w14:paraId="3C995AA6" w14:textId="77777777" w:rsidR="00855CB7" w:rsidRDefault="00FB6A2D">
            <w:pPr>
              <w:pStyle w:val="TableText"/>
              <w:rPr>
                <w:lang w:val="en-CA"/>
              </w:rPr>
            </w:pPr>
            <w:r>
              <w:rPr>
                <w:lang w:val="en-CA"/>
              </w:rPr>
              <w:t>We</w:t>
            </w:r>
            <w:r w:rsidR="00855CB7">
              <w:rPr>
                <w:lang w:val="en-CA"/>
              </w:rPr>
              <w:t xml:space="preserve"> use the information provided in the </w:t>
            </w:r>
            <w:r w:rsidR="00855CB7">
              <w:rPr>
                <w:i/>
                <w:lang w:val="en-CA"/>
              </w:rPr>
              <w:t>notice of disagreement</w:t>
            </w:r>
            <w:r w:rsidR="00855CB7">
              <w:rPr>
                <w:lang w:val="en-CA"/>
              </w:rPr>
              <w:t xml:space="preserve">, and any other available information, to investigate the subject matter of the disagreement and </w:t>
            </w:r>
            <w:r w:rsidR="00726B5C">
              <w:rPr>
                <w:lang w:val="en-CA"/>
              </w:rPr>
              <w:t>inform</w:t>
            </w:r>
            <w:r w:rsidR="00855CB7">
              <w:rPr>
                <w:lang w:val="en-CA"/>
              </w:rPr>
              <w:t xml:space="preserve"> the </w:t>
            </w:r>
            <w:r w:rsidR="00855CB7">
              <w:rPr>
                <w:i/>
                <w:lang w:val="en-CA"/>
              </w:rPr>
              <w:t>market participant</w:t>
            </w:r>
            <w:r w:rsidR="00855CB7">
              <w:rPr>
                <w:lang w:val="en-CA"/>
              </w:rPr>
              <w:t xml:space="preserve"> of its intended actions in </w:t>
            </w:r>
            <w:r w:rsidR="00855CB7" w:rsidRPr="00737E2E">
              <w:rPr>
                <w:lang w:val="en-CA"/>
              </w:rPr>
              <w:t>response</w:t>
            </w:r>
            <w:r w:rsidR="00855CB7">
              <w:rPr>
                <w:lang w:val="en-CA"/>
              </w:rPr>
              <w:t xml:space="preserve"> to the </w:t>
            </w:r>
            <w:r w:rsidR="00855CB7">
              <w:rPr>
                <w:i/>
                <w:lang w:val="en-CA"/>
              </w:rPr>
              <w:t>notice of disagreement</w:t>
            </w:r>
            <w:r w:rsidR="00855CB7">
              <w:rPr>
                <w:lang w:val="en-CA"/>
              </w:rPr>
              <w:t xml:space="preserve">. </w:t>
            </w:r>
            <w:r>
              <w:rPr>
                <w:lang w:val="en-CA"/>
              </w:rPr>
              <w:t>W</w:t>
            </w:r>
            <w:r w:rsidRPr="007A6E66">
              <w:rPr>
                <w:lang w:val="en-CA"/>
              </w:rPr>
              <w:t>e</w:t>
            </w:r>
            <w:r>
              <w:rPr>
                <w:lang w:val="en-CA"/>
              </w:rPr>
              <w:t xml:space="preserve"> </w:t>
            </w:r>
            <w:r w:rsidR="00855CB7">
              <w:rPr>
                <w:lang w:val="en-CA"/>
              </w:rPr>
              <w:t xml:space="preserve">also </w:t>
            </w:r>
            <w:r>
              <w:rPr>
                <w:lang w:val="en-CA"/>
              </w:rPr>
              <w:t xml:space="preserve">notify </w:t>
            </w:r>
            <w:r w:rsidR="00855CB7">
              <w:rPr>
                <w:lang w:val="en-CA"/>
              </w:rPr>
              <w:t>any affected parties of its intended actions.</w:t>
            </w:r>
          </w:p>
          <w:p w14:paraId="62376207" w14:textId="77777777" w:rsidR="00855CB7" w:rsidRDefault="00FB6A2D">
            <w:pPr>
              <w:pStyle w:val="TableText"/>
              <w:rPr>
                <w:lang w:val="en-CA"/>
              </w:rPr>
            </w:pPr>
            <w:r>
              <w:rPr>
                <w:lang w:val="en-CA"/>
              </w:rPr>
              <w:t>W</w:t>
            </w:r>
            <w:r w:rsidRPr="007A6E66">
              <w:rPr>
                <w:lang w:val="en-CA"/>
              </w:rPr>
              <w:t>e</w:t>
            </w:r>
            <w:r w:rsidDel="00FB6A2D">
              <w:rPr>
                <w:lang w:val="en-CA"/>
              </w:rPr>
              <w:t xml:space="preserve"> </w:t>
            </w:r>
            <w:r w:rsidR="00855CB7">
              <w:rPr>
                <w:lang w:val="en-CA"/>
              </w:rPr>
              <w:t xml:space="preserve">may also request additional time to investigate the </w:t>
            </w:r>
            <w:r w:rsidR="00855CB7">
              <w:rPr>
                <w:i/>
                <w:lang w:val="en-CA"/>
              </w:rPr>
              <w:t>Notice of Disagreement.</w:t>
            </w:r>
            <w:r w:rsidR="00855CB7">
              <w:rPr>
                <w:lang w:val="en-CA"/>
              </w:rPr>
              <w:t xml:space="preserve"> </w:t>
            </w:r>
          </w:p>
        </w:tc>
        <w:tc>
          <w:tcPr>
            <w:tcW w:w="1980" w:type="dxa"/>
          </w:tcPr>
          <w:p w14:paraId="01B88A94" w14:textId="77777777" w:rsidR="00855CB7" w:rsidRDefault="00855CB7">
            <w:pPr>
              <w:pStyle w:val="TableText"/>
              <w:rPr>
                <w:lang w:val="en-CA"/>
              </w:rPr>
            </w:pPr>
            <w:r>
              <w:rPr>
                <w:lang w:val="en-CA"/>
              </w:rPr>
              <w:t>After Step 5A.11.</w:t>
            </w:r>
          </w:p>
        </w:tc>
        <w:tc>
          <w:tcPr>
            <w:tcW w:w="2070" w:type="dxa"/>
          </w:tcPr>
          <w:p w14:paraId="1FA8EFB0" w14:textId="77777777" w:rsidR="00855CB7" w:rsidRDefault="00695ACA" w:rsidP="00C45B73">
            <w:pPr>
              <w:pStyle w:val="TableBullet"/>
              <w:tabs>
                <w:tab w:val="clear" w:pos="360"/>
                <w:tab w:val="num" w:pos="288"/>
              </w:tabs>
              <w:ind w:left="288" w:hanging="288"/>
              <w:rPr>
                <w:lang w:val="en-CA"/>
              </w:rPr>
            </w:pPr>
            <w:r>
              <w:rPr>
                <w:lang w:val="en-CA"/>
              </w:rPr>
              <w:t>We</w:t>
            </w:r>
            <w:r w:rsidR="00855CB7">
              <w:rPr>
                <w:lang w:val="en-CA"/>
              </w:rPr>
              <w:t xml:space="preserve"> request clarifications, if required.</w:t>
            </w:r>
          </w:p>
          <w:p w14:paraId="2EFFF4F4" w14:textId="77777777" w:rsidR="00855CB7" w:rsidRDefault="00695ACA" w:rsidP="00C45B73">
            <w:pPr>
              <w:pStyle w:val="TableBullet"/>
              <w:tabs>
                <w:tab w:val="clear" w:pos="360"/>
                <w:tab w:val="num" w:pos="288"/>
              </w:tabs>
              <w:ind w:left="288" w:hanging="288"/>
              <w:rPr>
                <w:lang w:val="en-CA"/>
              </w:rPr>
            </w:pPr>
            <w:r>
              <w:rPr>
                <w:lang w:val="en-CA"/>
              </w:rPr>
              <w:t>We</w:t>
            </w:r>
            <w:r w:rsidR="00855CB7">
              <w:rPr>
                <w:lang w:val="en-CA"/>
              </w:rPr>
              <w:t xml:space="preserve"> </w:t>
            </w:r>
            <w:r>
              <w:rPr>
                <w:lang w:val="en-CA"/>
              </w:rPr>
              <w:t xml:space="preserve">issue </w:t>
            </w:r>
            <w:r w:rsidR="00855CB7">
              <w:rPr>
                <w:lang w:val="en-CA"/>
              </w:rPr>
              <w:t xml:space="preserve">decision on </w:t>
            </w:r>
            <w:r w:rsidR="00855CB7">
              <w:rPr>
                <w:i/>
                <w:lang w:val="en-CA"/>
              </w:rPr>
              <w:t>notice of disagreement</w:t>
            </w:r>
            <w:r w:rsidR="00855CB7">
              <w:rPr>
                <w:lang w:val="en-CA"/>
              </w:rPr>
              <w:t>.</w:t>
            </w:r>
          </w:p>
          <w:p w14:paraId="2C650018" w14:textId="77777777" w:rsidR="00855CB7" w:rsidRDefault="00855CB7" w:rsidP="00C45B73">
            <w:pPr>
              <w:pStyle w:val="TableBullet"/>
              <w:tabs>
                <w:tab w:val="clear" w:pos="360"/>
                <w:tab w:val="num" w:pos="288"/>
              </w:tabs>
              <w:ind w:left="288" w:hanging="288"/>
              <w:rPr>
                <w:lang w:val="en-CA"/>
              </w:rPr>
            </w:pPr>
            <w:r>
              <w:rPr>
                <w:lang w:val="en-CA"/>
              </w:rPr>
              <w:t xml:space="preserve">Adjustments, if any, for disputed </w:t>
            </w:r>
            <w:r>
              <w:rPr>
                <w:i/>
                <w:lang w:val="en-CA"/>
              </w:rPr>
              <w:t>trading da</w:t>
            </w:r>
            <w:r>
              <w:rPr>
                <w:lang w:val="en-CA"/>
              </w:rPr>
              <w:t>y.</w:t>
            </w:r>
          </w:p>
          <w:p w14:paraId="39C16F30" w14:textId="77777777" w:rsidR="00855CB7" w:rsidRDefault="00855CB7" w:rsidP="009C7DE4">
            <w:pPr>
              <w:pStyle w:val="TableBullet"/>
              <w:tabs>
                <w:tab w:val="clear" w:pos="360"/>
                <w:tab w:val="num" w:pos="288"/>
              </w:tabs>
              <w:ind w:left="288" w:hanging="288"/>
              <w:rPr>
                <w:lang w:val="en-CA"/>
              </w:rPr>
            </w:pPr>
            <w:r>
              <w:rPr>
                <w:lang w:val="en-CA"/>
              </w:rPr>
              <w:t xml:space="preserve">Where applicable, a determination that additional time is required to investigate the </w:t>
            </w:r>
            <w:r>
              <w:rPr>
                <w:i/>
                <w:lang w:val="en-CA"/>
              </w:rPr>
              <w:t>notice of disagreement</w:t>
            </w:r>
            <w:r>
              <w:rPr>
                <w:lang w:val="en-CA"/>
              </w:rPr>
              <w:t>.</w:t>
            </w:r>
          </w:p>
        </w:tc>
        <w:tc>
          <w:tcPr>
            <w:tcW w:w="2700" w:type="dxa"/>
          </w:tcPr>
          <w:p w14:paraId="4CD34F71" w14:textId="77777777" w:rsidR="00855CB7" w:rsidRDefault="00855CB7">
            <w:pPr>
              <w:pStyle w:val="TableText"/>
              <w:rPr>
                <w:i/>
                <w:lang w:val="en-CA"/>
              </w:rPr>
            </w:pPr>
            <w:r>
              <w:rPr>
                <w:lang w:val="en-CA"/>
              </w:rPr>
              <w:t xml:space="preserve">If additional </w:t>
            </w:r>
            <w:r w:rsidR="00640862">
              <w:rPr>
                <w:lang w:val="en-CA"/>
              </w:rPr>
              <w:t>information</w:t>
            </w:r>
            <w:r>
              <w:rPr>
                <w:lang w:val="en-CA"/>
              </w:rPr>
              <w:t xml:space="preserve"> or additional time is required: </w:t>
            </w:r>
            <w:r w:rsidR="001722A3">
              <w:rPr>
                <w:lang w:val="en-CA"/>
              </w:rPr>
              <w:t>Online IESO is used and an e</w:t>
            </w:r>
            <w:r>
              <w:rPr>
                <w:lang w:val="en-CA"/>
              </w:rPr>
              <w:t xml:space="preserve">-mail reminder to </w:t>
            </w:r>
            <w:r w:rsidR="005E1ECA">
              <w:rPr>
                <w:lang w:val="en-CA"/>
              </w:rPr>
              <w:t>provide additional information or to view decision notification in</w:t>
            </w:r>
            <w:r>
              <w:rPr>
                <w:lang w:val="en-CA"/>
              </w:rPr>
              <w:t xml:space="preserve"> the </w:t>
            </w:r>
            <w:r>
              <w:rPr>
                <w:i/>
                <w:lang w:val="en-CA"/>
              </w:rPr>
              <w:t xml:space="preserve">notice of disagreement </w:t>
            </w:r>
            <w:r>
              <w:rPr>
                <w:lang w:val="en-CA"/>
              </w:rPr>
              <w:t>form</w:t>
            </w:r>
            <w:r>
              <w:rPr>
                <w:i/>
                <w:lang w:val="en-CA"/>
              </w:rPr>
              <w:t>.</w:t>
            </w:r>
          </w:p>
          <w:p w14:paraId="619B7512" w14:textId="77777777" w:rsidR="00855CB7" w:rsidRDefault="00855CB7">
            <w:pPr>
              <w:pStyle w:val="TableText"/>
              <w:rPr>
                <w:lang w:val="en-CA"/>
              </w:rPr>
            </w:pPr>
            <w:r>
              <w:rPr>
                <w:lang w:val="en-CA"/>
              </w:rPr>
              <w:t>If affected partie</w:t>
            </w:r>
            <w:r w:rsidR="001722A3">
              <w:rPr>
                <w:lang w:val="en-CA"/>
              </w:rPr>
              <w:t>s</w:t>
            </w:r>
            <w:r>
              <w:rPr>
                <w:lang w:val="en-CA"/>
              </w:rPr>
              <w:t xml:space="preserve">: </w:t>
            </w:r>
            <w:r w:rsidR="005E1ECA">
              <w:rPr>
                <w:lang w:val="en-CA"/>
              </w:rPr>
              <w:t xml:space="preserve">decision notification </w:t>
            </w:r>
            <w:r w:rsidR="00240AE0">
              <w:rPr>
                <w:lang w:val="en-CA"/>
              </w:rPr>
              <w:t xml:space="preserve">sent </w:t>
            </w:r>
            <w:r>
              <w:rPr>
                <w:lang w:val="en-CA"/>
              </w:rPr>
              <w:t xml:space="preserve">to affected parties </w:t>
            </w:r>
            <w:r w:rsidR="00240AE0">
              <w:rPr>
                <w:lang w:val="en-CA"/>
              </w:rPr>
              <w:t>through email or Online IESO</w:t>
            </w:r>
            <w:r>
              <w:rPr>
                <w:lang w:val="en-CA"/>
              </w:rPr>
              <w:t>.</w:t>
            </w:r>
          </w:p>
          <w:p w14:paraId="23E71745" w14:textId="77777777" w:rsidR="00855CB7" w:rsidRDefault="00855CB7" w:rsidP="00695ACA">
            <w:pPr>
              <w:pStyle w:val="TableText"/>
              <w:rPr>
                <w:lang w:val="en-CA"/>
              </w:rPr>
            </w:pPr>
            <w:r>
              <w:rPr>
                <w:lang w:val="en-CA"/>
              </w:rPr>
              <w:t xml:space="preserve">Adjustments, if any, resulting from </w:t>
            </w:r>
            <w:r w:rsidR="00695ACA">
              <w:rPr>
                <w:lang w:val="en-CA"/>
              </w:rPr>
              <w:t>our</w:t>
            </w:r>
            <w:r>
              <w:rPr>
                <w:lang w:val="en-CA"/>
              </w:rPr>
              <w:t xml:space="preserve"> investigation of the </w:t>
            </w:r>
            <w:r>
              <w:rPr>
                <w:i/>
                <w:lang w:val="en-CA"/>
              </w:rPr>
              <w:t>Notice of Disagreement</w:t>
            </w:r>
            <w:r>
              <w:rPr>
                <w:lang w:val="en-CA"/>
              </w:rPr>
              <w:t xml:space="preserve">, and </w:t>
            </w:r>
            <w:r>
              <w:rPr>
                <w:i/>
                <w:lang w:val="en-CA"/>
              </w:rPr>
              <w:t>Market Participant</w:t>
            </w:r>
            <w:r>
              <w:rPr>
                <w:lang w:val="en-CA"/>
              </w:rPr>
              <w:t xml:space="preserve"> feedback (5A.17 and 5A.18), appear on the </w:t>
            </w:r>
            <w:r>
              <w:rPr>
                <w:i/>
                <w:lang w:val="en-CA"/>
              </w:rPr>
              <w:t>final settlement statement</w:t>
            </w:r>
            <w:r>
              <w:rPr>
                <w:lang w:val="en-CA"/>
              </w:rPr>
              <w:t xml:space="preserve"> for the disputed </w:t>
            </w:r>
            <w:r>
              <w:rPr>
                <w:i/>
                <w:lang w:val="en-CA"/>
              </w:rPr>
              <w:t>trading day</w:t>
            </w:r>
            <w:r>
              <w:rPr>
                <w:lang w:val="en-CA"/>
              </w:rPr>
              <w:t xml:space="preserve"> disagreement.</w:t>
            </w:r>
          </w:p>
        </w:tc>
        <w:tc>
          <w:tcPr>
            <w:tcW w:w="2340" w:type="dxa"/>
          </w:tcPr>
          <w:p w14:paraId="737482D6" w14:textId="77777777" w:rsidR="00855CB7" w:rsidRDefault="00695ACA">
            <w:pPr>
              <w:pStyle w:val="TableText"/>
              <w:rPr>
                <w:i/>
                <w:lang w:val="en-CA"/>
              </w:rPr>
            </w:pPr>
            <w:r w:rsidRPr="00695ACA">
              <w:rPr>
                <w:lang w:val="en-CA"/>
              </w:rPr>
              <w:t xml:space="preserve">Our </w:t>
            </w:r>
            <w:r w:rsidR="00855CB7">
              <w:rPr>
                <w:lang w:val="en-CA"/>
              </w:rPr>
              <w:t xml:space="preserve">notification of decision for </w:t>
            </w:r>
            <w:r w:rsidR="00855CB7">
              <w:rPr>
                <w:i/>
                <w:lang w:val="en-CA"/>
              </w:rPr>
              <w:t>notice of disagreement.</w:t>
            </w:r>
          </w:p>
          <w:p w14:paraId="57CC449A" w14:textId="77777777" w:rsidR="00855CB7" w:rsidRDefault="00855CB7">
            <w:pPr>
              <w:pStyle w:val="TableText"/>
              <w:rPr>
                <w:lang w:val="en-CA"/>
              </w:rPr>
            </w:pPr>
            <w:r>
              <w:rPr>
                <w:lang w:val="en-CA"/>
              </w:rPr>
              <w:t xml:space="preserve">Adjustments, if any, on </w:t>
            </w:r>
            <w:r>
              <w:rPr>
                <w:i/>
                <w:lang w:val="en-CA"/>
              </w:rPr>
              <w:t>final settlement statement</w:t>
            </w:r>
            <w:r>
              <w:rPr>
                <w:lang w:val="en-CA"/>
              </w:rPr>
              <w:t>.</w:t>
            </w:r>
          </w:p>
          <w:p w14:paraId="5270A155" w14:textId="77777777" w:rsidR="00855CB7" w:rsidRDefault="00855CB7">
            <w:pPr>
              <w:pStyle w:val="TableText"/>
              <w:rPr>
                <w:lang w:val="en-CA"/>
              </w:rPr>
            </w:pPr>
            <w:r>
              <w:rPr>
                <w:lang w:val="en-CA"/>
              </w:rPr>
              <w:t xml:space="preserve">Where additional time is required to process the </w:t>
            </w:r>
            <w:r>
              <w:rPr>
                <w:i/>
                <w:lang w:val="en-CA"/>
              </w:rPr>
              <w:t xml:space="preserve">notice of disagreement, </w:t>
            </w:r>
            <w:r>
              <w:rPr>
                <w:lang w:val="en-CA"/>
              </w:rPr>
              <w:t>a</w:t>
            </w:r>
            <w:r>
              <w:rPr>
                <w:i/>
                <w:lang w:val="en-CA"/>
              </w:rPr>
              <w:t xml:space="preserve"> </w:t>
            </w:r>
            <w:r>
              <w:rPr>
                <w:lang w:val="en-CA"/>
              </w:rPr>
              <w:t xml:space="preserve">notification to the </w:t>
            </w:r>
            <w:r>
              <w:rPr>
                <w:i/>
                <w:lang w:val="en-CA"/>
              </w:rPr>
              <w:t>market participant</w:t>
            </w:r>
            <w:r>
              <w:rPr>
                <w:lang w:val="en-CA"/>
              </w:rPr>
              <w:t xml:space="preserve"> and any affected parties (5A.19).</w:t>
            </w:r>
          </w:p>
        </w:tc>
      </w:tr>
      <w:tr w:rsidR="00855CB7" w14:paraId="698B5B3D" w14:textId="77777777" w:rsidTr="007578A1">
        <w:trPr>
          <w:cantSplit/>
        </w:trPr>
        <w:tc>
          <w:tcPr>
            <w:tcW w:w="864" w:type="dxa"/>
          </w:tcPr>
          <w:p w14:paraId="44057D59" w14:textId="77777777" w:rsidR="00855CB7" w:rsidRDefault="00855CB7">
            <w:pPr>
              <w:pStyle w:val="TableText"/>
              <w:rPr>
                <w:lang w:val="en-CA"/>
              </w:rPr>
            </w:pPr>
            <w:r>
              <w:rPr>
                <w:lang w:val="en-CA"/>
              </w:rPr>
              <w:t>5A.17</w:t>
            </w:r>
          </w:p>
        </w:tc>
        <w:tc>
          <w:tcPr>
            <w:tcW w:w="2160" w:type="dxa"/>
          </w:tcPr>
          <w:p w14:paraId="21A68B50" w14:textId="77777777" w:rsidR="00855CB7" w:rsidRDefault="00855CB7">
            <w:pPr>
              <w:pStyle w:val="TableText"/>
              <w:rPr>
                <w:lang w:val="en-CA"/>
              </w:rPr>
            </w:pPr>
            <w:r>
              <w:rPr>
                <w:lang w:val="en-CA"/>
              </w:rPr>
              <w:t>Receive, review, and respond to, description of intended actions.  Respond to intended decision.</w:t>
            </w:r>
          </w:p>
        </w:tc>
        <w:tc>
          <w:tcPr>
            <w:tcW w:w="2790" w:type="dxa"/>
          </w:tcPr>
          <w:p w14:paraId="0D3B3696" w14:textId="77777777" w:rsidR="00855CB7" w:rsidRDefault="00855CB7" w:rsidP="00FB6A2D">
            <w:pPr>
              <w:pStyle w:val="TableText"/>
              <w:rPr>
                <w:lang w:val="en-CA"/>
              </w:rPr>
            </w:pPr>
            <w:r>
              <w:rPr>
                <w:lang w:val="en-CA"/>
              </w:rPr>
              <w:t xml:space="preserve">The </w:t>
            </w:r>
            <w:r>
              <w:rPr>
                <w:i/>
                <w:lang w:val="en-CA"/>
              </w:rPr>
              <w:t>market participant</w:t>
            </w:r>
            <w:r>
              <w:rPr>
                <w:lang w:val="en-CA"/>
              </w:rPr>
              <w:t xml:space="preserve"> receives a description </w:t>
            </w:r>
            <w:r w:rsidR="00280783">
              <w:rPr>
                <w:lang w:val="en-CA"/>
              </w:rPr>
              <w:t>of</w:t>
            </w:r>
            <w:r>
              <w:rPr>
                <w:lang w:val="en-CA"/>
              </w:rPr>
              <w:t xml:space="preserve"> </w:t>
            </w:r>
            <w:r w:rsidR="00FB6A2D">
              <w:rPr>
                <w:lang w:val="en-CA"/>
              </w:rPr>
              <w:t>our</w:t>
            </w:r>
            <w:r>
              <w:rPr>
                <w:lang w:val="en-CA"/>
              </w:rPr>
              <w:t xml:space="preserve"> intended actions, and has an opportunity to respond to the decision.</w:t>
            </w:r>
          </w:p>
        </w:tc>
        <w:tc>
          <w:tcPr>
            <w:tcW w:w="1980" w:type="dxa"/>
          </w:tcPr>
          <w:p w14:paraId="33A9C6A6" w14:textId="77777777" w:rsidR="00855CB7" w:rsidRDefault="00855CB7">
            <w:pPr>
              <w:pStyle w:val="TableText"/>
              <w:rPr>
                <w:lang w:val="en-CA"/>
              </w:rPr>
            </w:pPr>
            <w:r>
              <w:rPr>
                <w:lang w:val="en-CA"/>
              </w:rPr>
              <w:t>Simultaneous with Step 5A.16.</w:t>
            </w:r>
          </w:p>
        </w:tc>
        <w:tc>
          <w:tcPr>
            <w:tcW w:w="2070" w:type="dxa"/>
          </w:tcPr>
          <w:p w14:paraId="1336A3F3" w14:textId="77777777" w:rsidR="00855CB7" w:rsidRDefault="00855CB7">
            <w:pPr>
              <w:pStyle w:val="TableText"/>
              <w:rPr>
                <w:lang w:val="en-CA"/>
              </w:rPr>
            </w:pPr>
            <w:r>
              <w:rPr>
                <w:lang w:val="en-CA"/>
              </w:rPr>
              <w:t>Response</w:t>
            </w:r>
            <w:r w:rsidR="00764895">
              <w:rPr>
                <w:lang w:val="en-CA"/>
              </w:rPr>
              <w:t>.</w:t>
            </w:r>
          </w:p>
        </w:tc>
        <w:tc>
          <w:tcPr>
            <w:tcW w:w="2700" w:type="dxa"/>
          </w:tcPr>
          <w:p w14:paraId="323C6C5B" w14:textId="77777777" w:rsidR="00855CB7" w:rsidRDefault="001722A3">
            <w:pPr>
              <w:pStyle w:val="TableText"/>
              <w:rPr>
                <w:lang w:val="en-CA"/>
              </w:rPr>
            </w:pPr>
            <w:r>
              <w:rPr>
                <w:lang w:val="en-CA"/>
              </w:rPr>
              <w:t xml:space="preserve">Online IESO </w:t>
            </w:r>
            <w:r w:rsidR="00855CB7">
              <w:rPr>
                <w:i/>
                <w:lang w:val="en-CA"/>
              </w:rPr>
              <w:t xml:space="preserve">notice of disagreement </w:t>
            </w:r>
            <w:r w:rsidR="00855CB7">
              <w:rPr>
                <w:lang w:val="en-CA"/>
              </w:rPr>
              <w:t>form.</w:t>
            </w:r>
          </w:p>
          <w:p w14:paraId="5315B90C" w14:textId="77777777" w:rsidR="00855CB7" w:rsidRDefault="00855CB7" w:rsidP="00240AE0">
            <w:pPr>
              <w:pStyle w:val="TableText"/>
              <w:rPr>
                <w:lang w:val="en-CA"/>
              </w:rPr>
            </w:pPr>
            <w:r>
              <w:rPr>
                <w:lang w:val="en-CA"/>
              </w:rPr>
              <w:t>Respon</w:t>
            </w:r>
            <w:r w:rsidR="00240AE0">
              <w:rPr>
                <w:lang w:val="en-CA"/>
              </w:rPr>
              <w:t>d</w:t>
            </w:r>
            <w:r>
              <w:rPr>
                <w:lang w:val="en-CA"/>
              </w:rPr>
              <w:t xml:space="preserve"> via </w:t>
            </w:r>
            <w:r w:rsidR="001722A3">
              <w:rPr>
                <w:lang w:val="en-CA"/>
              </w:rPr>
              <w:t xml:space="preserve">Online IESO </w:t>
            </w:r>
            <w:r>
              <w:rPr>
                <w:i/>
                <w:lang w:val="en-CA"/>
              </w:rPr>
              <w:t xml:space="preserve">notice of disagreement </w:t>
            </w:r>
            <w:r>
              <w:rPr>
                <w:lang w:val="en-CA"/>
              </w:rPr>
              <w:t>form.</w:t>
            </w:r>
          </w:p>
        </w:tc>
        <w:tc>
          <w:tcPr>
            <w:tcW w:w="2340" w:type="dxa"/>
          </w:tcPr>
          <w:p w14:paraId="0368E0F9" w14:textId="77777777" w:rsidR="00855CB7" w:rsidRDefault="00855CB7" w:rsidP="00695ACA">
            <w:pPr>
              <w:pStyle w:val="TableText"/>
              <w:rPr>
                <w:lang w:val="en-CA"/>
              </w:rPr>
            </w:pPr>
            <w:r>
              <w:rPr>
                <w:lang w:val="en-CA"/>
              </w:rPr>
              <w:t xml:space="preserve">Intended actions accepted, provide comments </w:t>
            </w:r>
            <w:r w:rsidR="00695ACA">
              <w:rPr>
                <w:lang w:val="en-CA"/>
              </w:rPr>
              <w:t>to us</w:t>
            </w:r>
            <w:r>
              <w:rPr>
                <w:lang w:val="en-CA"/>
              </w:rPr>
              <w:t xml:space="preserve"> if disagree, or disagreement pursued through Dispute Resolution process.</w:t>
            </w:r>
          </w:p>
        </w:tc>
      </w:tr>
      <w:tr w:rsidR="00855CB7" w14:paraId="10052530" w14:textId="77777777" w:rsidTr="007578A1">
        <w:trPr>
          <w:cantSplit/>
        </w:trPr>
        <w:tc>
          <w:tcPr>
            <w:tcW w:w="864" w:type="dxa"/>
          </w:tcPr>
          <w:p w14:paraId="22382880" w14:textId="77777777" w:rsidR="00855CB7" w:rsidRDefault="00855CB7">
            <w:pPr>
              <w:pStyle w:val="TableText"/>
              <w:rPr>
                <w:lang w:val="en-CA"/>
              </w:rPr>
            </w:pPr>
            <w:r>
              <w:rPr>
                <w:lang w:val="en-CA"/>
              </w:rPr>
              <w:t>5A.18</w:t>
            </w:r>
          </w:p>
        </w:tc>
        <w:tc>
          <w:tcPr>
            <w:tcW w:w="2160" w:type="dxa"/>
          </w:tcPr>
          <w:p w14:paraId="5F767B35" w14:textId="77777777" w:rsidR="00855CB7" w:rsidRDefault="00855CB7">
            <w:pPr>
              <w:pStyle w:val="TableText"/>
              <w:rPr>
                <w:lang w:val="en-CA"/>
              </w:rPr>
            </w:pPr>
            <w:r>
              <w:rPr>
                <w:lang w:val="en-CA"/>
              </w:rPr>
              <w:t>Receive and review description of intended actions.</w:t>
            </w:r>
          </w:p>
        </w:tc>
        <w:tc>
          <w:tcPr>
            <w:tcW w:w="2790" w:type="dxa"/>
          </w:tcPr>
          <w:p w14:paraId="5F618FBF" w14:textId="77777777" w:rsidR="00855CB7" w:rsidRDefault="00855CB7" w:rsidP="00FB6A2D">
            <w:pPr>
              <w:pStyle w:val="TableText"/>
              <w:rPr>
                <w:lang w:val="en-CA"/>
              </w:rPr>
            </w:pPr>
            <w:r>
              <w:rPr>
                <w:lang w:val="en-CA"/>
              </w:rPr>
              <w:t xml:space="preserve">Affected parties receive a description of </w:t>
            </w:r>
            <w:r w:rsidR="00FB6A2D">
              <w:rPr>
                <w:lang w:val="en-CA"/>
              </w:rPr>
              <w:t>our</w:t>
            </w:r>
            <w:r>
              <w:rPr>
                <w:lang w:val="en-CA"/>
              </w:rPr>
              <w:t xml:space="preserve"> intended actions and have an opportunity to respond to </w:t>
            </w:r>
            <w:r w:rsidR="00FB6A2D">
              <w:rPr>
                <w:lang w:val="en-CA"/>
              </w:rPr>
              <w:t>our</w:t>
            </w:r>
            <w:r>
              <w:rPr>
                <w:lang w:val="en-CA"/>
              </w:rPr>
              <w:t xml:space="preserve"> decision.</w:t>
            </w:r>
          </w:p>
        </w:tc>
        <w:tc>
          <w:tcPr>
            <w:tcW w:w="1980" w:type="dxa"/>
          </w:tcPr>
          <w:p w14:paraId="3CD47704" w14:textId="77777777" w:rsidR="00855CB7" w:rsidRDefault="00855CB7">
            <w:pPr>
              <w:pStyle w:val="TableText"/>
              <w:rPr>
                <w:lang w:val="en-CA"/>
              </w:rPr>
            </w:pPr>
            <w:r>
              <w:rPr>
                <w:lang w:val="en-CA"/>
              </w:rPr>
              <w:t>Simultaneous with Step 5A.16.</w:t>
            </w:r>
          </w:p>
        </w:tc>
        <w:tc>
          <w:tcPr>
            <w:tcW w:w="2070" w:type="dxa"/>
          </w:tcPr>
          <w:p w14:paraId="3DE6AC1F" w14:textId="77777777" w:rsidR="00855CB7" w:rsidRDefault="00CA7070">
            <w:pPr>
              <w:pStyle w:val="TableText"/>
              <w:rPr>
                <w:lang w:val="en-CA"/>
              </w:rPr>
            </w:pPr>
            <w:r>
              <w:rPr>
                <w:lang w:val="en-CA"/>
              </w:rPr>
              <w:t>Response. None</w:t>
            </w:r>
            <w:r w:rsidR="00855CB7">
              <w:rPr>
                <w:lang w:val="en-CA"/>
              </w:rPr>
              <w:t>.</w:t>
            </w:r>
          </w:p>
        </w:tc>
        <w:tc>
          <w:tcPr>
            <w:tcW w:w="2700" w:type="dxa"/>
          </w:tcPr>
          <w:p w14:paraId="5565E8AB" w14:textId="77777777" w:rsidR="00855CB7" w:rsidRDefault="00855CB7" w:rsidP="00240AE0">
            <w:pPr>
              <w:pStyle w:val="TableText"/>
              <w:rPr>
                <w:lang w:val="en-CA"/>
              </w:rPr>
            </w:pPr>
            <w:r>
              <w:rPr>
                <w:lang w:val="en-CA"/>
              </w:rPr>
              <w:t xml:space="preserve">Response via </w:t>
            </w:r>
            <w:r w:rsidR="00240AE0">
              <w:rPr>
                <w:lang w:val="en-CA"/>
              </w:rPr>
              <w:t xml:space="preserve">email </w:t>
            </w:r>
            <w:r>
              <w:rPr>
                <w:lang w:val="en-CA"/>
              </w:rPr>
              <w:t xml:space="preserve">or </w:t>
            </w:r>
            <w:r w:rsidR="00240AE0">
              <w:rPr>
                <w:lang w:val="en-CA"/>
              </w:rPr>
              <w:t>Online IESO</w:t>
            </w:r>
            <w:r>
              <w:rPr>
                <w:lang w:val="en-CA"/>
              </w:rPr>
              <w:t>.</w:t>
            </w:r>
          </w:p>
        </w:tc>
        <w:tc>
          <w:tcPr>
            <w:tcW w:w="2340" w:type="dxa"/>
          </w:tcPr>
          <w:p w14:paraId="419BC5EE" w14:textId="77777777" w:rsidR="00855CB7" w:rsidRDefault="00855CB7" w:rsidP="00695ACA">
            <w:pPr>
              <w:pStyle w:val="TableText"/>
              <w:rPr>
                <w:lang w:val="en-CA"/>
              </w:rPr>
            </w:pPr>
            <w:r>
              <w:rPr>
                <w:lang w:val="en-CA"/>
              </w:rPr>
              <w:t xml:space="preserve">Intended actions accepted, provide comments </w:t>
            </w:r>
            <w:r w:rsidR="00695ACA">
              <w:rPr>
                <w:lang w:val="en-CA"/>
              </w:rPr>
              <w:t>to us</w:t>
            </w:r>
            <w:r>
              <w:rPr>
                <w:lang w:val="en-CA"/>
              </w:rPr>
              <w:t xml:space="preserve"> if disagree, or disagreement pursued through Dispute Resolution process.</w:t>
            </w:r>
          </w:p>
        </w:tc>
      </w:tr>
      <w:tr w:rsidR="00855CB7" w14:paraId="4053C810" w14:textId="77777777" w:rsidTr="007578A1">
        <w:trPr>
          <w:cantSplit/>
        </w:trPr>
        <w:tc>
          <w:tcPr>
            <w:tcW w:w="864" w:type="dxa"/>
          </w:tcPr>
          <w:p w14:paraId="3070613B" w14:textId="77777777" w:rsidR="00855CB7" w:rsidRDefault="00855CB7">
            <w:pPr>
              <w:pStyle w:val="TableText"/>
              <w:rPr>
                <w:lang w:val="en-CA"/>
              </w:rPr>
            </w:pPr>
            <w:r>
              <w:rPr>
                <w:lang w:val="en-CA"/>
              </w:rPr>
              <w:t>5A.19</w:t>
            </w:r>
          </w:p>
        </w:tc>
        <w:tc>
          <w:tcPr>
            <w:tcW w:w="2160" w:type="dxa"/>
          </w:tcPr>
          <w:p w14:paraId="624ED026" w14:textId="77777777" w:rsidR="00855CB7" w:rsidRDefault="00855CB7">
            <w:pPr>
              <w:pStyle w:val="TableText"/>
              <w:rPr>
                <w:lang w:val="en-CA"/>
              </w:rPr>
            </w:pPr>
            <w:r>
              <w:rPr>
                <w:lang w:val="en-CA"/>
              </w:rPr>
              <w:t xml:space="preserve">Notify </w:t>
            </w:r>
            <w:r>
              <w:rPr>
                <w:i/>
                <w:lang w:val="en-CA"/>
              </w:rPr>
              <w:t>market participant</w:t>
            </w:r>
            <w:r>
              <w:rPr>
                <w:lang w:val="en-CA"/>
              </w:rPr>
              <w:t xml:space="preserve"> and any affected parties that more time is required.</w:t>
            </w:r>
          </w:p>
        </w:tc>
        <w:tc>
          <w:tcPr>
            <w:tcW w:w="2790" w:type="dxa"/>
          </w:tcPr>
          <w:p w14:paraId="04943918" w14:textId="77777777" w:rsidR="00855CB7" w:rsidRDefault="00855CB7" w:rsidP="00FB6A2D">
            <w:pPr>
              <w:pStyle w:val="TableText"/>
              <w:rPr>
                <w:lang w:val="en-CA"/>
              </w:rPr>
            </w:pPr>
            <w:r>
              <w:rPr>
                <w:lang w:val="en-CA"/>
              </w:rPr>
              <w:t xml:space="preserve">If additional time is required to investigate the </w:t>
            </w:r>
            <w:r>
              <w:rPr>
                <w:i/>
                <w:lang w:val="en-CA"/>
              </w:rPr>
              <w:t>notice of disagreement</w:t>
            </w:r>
            <w:r>
              <w:rPr>
                <w:lang w:val="en-CA"/>
              </w:rPr>
              <w:t>, then</w:t>
            </w:r>
            <w:r>
              <w:rPr>
                <w:i/>
                <w:lang w:val="en-CA"/>
              </w:rPr>
              <w:t xml:space="preserve"> </w:t>
            </w:r>
            <w:r w:rsidR="00FB6A2D">
              <w:rPr>
                <w:lang w:val="en-CA"/>
              </w:rPr>
              <w:t>we</w:t>
            </w:r>
            <w:r>
              <w:rPr>
                <w:lang w:val="en-CA"/>
              </w:rPr>
              <w:t xml:space="preserve"> </w:t>
            </w:r>
            <w:r w:rsidR="00FB6A2D">
              <w:rPr>
                <w:lang w:val="en-CA"/>
              </w:rPr>
              <w:t xml:space="preserve">notify </w:t>
            </w:r>
            <w:r>
              <w:rPr>
                <w:lang w:val="en-CA"/>
              </w:rPr>
              <w:t xml:space="preserve">the </w:t>
            </w:r>
            <w:r>
              <w:rPr>
                <w:i/>
                <w:lang w:val="en-CA"/>
              </w:rPr>
              <w:t>market participant</w:t>
            </w:r>
            <w:r>
              <w:rPr>
                <w:lang w:val="en-CA"/>
              </w:rPr>
              <w:t xml:space="preserve"> and any affected parties that more time is required.</w:t>
            </w:r>
          </w:p>
        </w:tc>
        <w:tc>
          <w:tcPr>
            <w:tcW w:w="1980" w:type="dxa"/>
          </w:tcPr>
          <w:p w14:paraId="455F07CA" w14:textId="77777777" w:rsidR="00855CB7" w:rsidRDefault="00855CB7">
            <w:pPr>
              <w:pStyle w:val="TableText"/>
              <w:rPr>
                <w:lang w:val="en-CA"/>
              </w:rPr>
            </w:pPr>
            <w:r>
              <w:rPr>
                <w:lang w:val="en-CA"/>
              </w:rPr>
              <w:t>Following Step 5A.18.</w:t>
            </w:r>
          </w:p>
        </w:tc>
        <w:tc>
          <w:tcPr>
            <w:tcW w:w="2070" w:type="dxa"/>
          </w:tcPr>
          <w:p w14:paraId="69BAA174" w14:textId="77777777" w:rsidR="00855CB7" w:rsidRDefault="00240AE0">
            <w:pPr>
              <w:pStyle w:val="TableText"/>
              <w:rPr>
                <w:lang w:val="en-CA"/>
              </w:rPr>
            </w:pPr>
            <w:r>
              <w:rPr>
                <w:lang w:val="en-CA"/>
              </w:rPr>
              <w:t>Additional time notification to market participant and affected parties.</w:t>
            </w:r>
          </w:p>
        </w:tc>
        <w:tc>
          <w:tcPr>
            <w:tcW w:w="2700" w:type="dxa"/>
          </w:tcPr>
          <w:p w14:paraId="37D0CD83" w14:textId="77777777" w:rsidR="00855CB7" w:rsidRDefault="00855CB7">
            <w:pPr>
              <w:pStyle w:val="TableText"/>
              <w:rPr>
                <w:lang w:val="en-CA"/>
              </w:rPr>
            </w:pPr>
            <w:r>
              <w:rPr>
                <w:lang w:val="en-CA"/>
              </w:rPr>
              <w:t xml:space="preserve">E-mail reminder to view </w:t>
            </w:r>
            <w:r w:rsidR="005E1ECA">
              <w:rPr>
                <w:lang w:val="en-CA"/>
              </w:rPr>
              <w:t>decision notification in</w:t>
            </w:r>
            <w:r>
              <w:rPr>
                <w:lang w:val="en-CA"/>
              </w:rPr>
              <w:t xml:space="preserve"> the </w:t>
            </w:r>
            <w:r w:rsidR="001722A3">
              <w:rPr>
                <w:lang w:val="en-CA"/>
              </w:rPr>
              <w:t xml:space="preserve">Online IESO </w:t>
            </w:r>
            <w:r>
              <w:rPr>
                <w:i/>
                <w:lang w:val="en-CA"/>
              </w:rPr>
              <w:t xml:space="preserve">notice of disagreement </w:t>
            </w:r>
            <w:r>
              <w:rPr>
                <w:lang w:val="en-CA"/>
              </w:rPr>
              <w:t>form.</w:t>
            </w:r>
          </w:p>
          <w:p w14:paraId="6068E36B" w14:textId="77777777" w:rsidR="00855CB7" w:rsidRDefault="00855CB7">
            <w:pPr>
              <w:pStyle w:val="TableText"/>
              <w:rPr>
                <w:lang w:val="en-CA"/>
              </w:rPr>
            </w:pPr>
          </w:p>
        </w:tc>
        <w:tc>
          <w:tcPr>
            <w:tcW w:w="2340" w:type="dxa"/>
          </w:tcPr>
          <w:p w14:paraId="32E96EFE" w14:textId="77777777" w:rsidR="00855CB7" w:rsidRDefault="00695ACA" w:rsidP="00695ACA">
            <w:pPr>
              <w:pStyle w:val="TableText"/>
              <w:rPr>
                <w:lang w:val="en-CA"/>
              </w:rPr>
            </w:pPr>
            <w:r>
              <w:rPr>
                <w:lang w:val="en-CA"/>
              </w:rPr>
              <w:t xml:space="preserve">We </w:t>
            </w:r>
            <w:r w:rsidR="00855CB7">
              <w:rPr>
                <w:lang w:val="en-CA"/>
              </w:rPr>
              <w:t>send</w:t>
            </w:r>
            <w:r w:rsidR="00280783">
              <w:rPr>
                <w:lang w:val="en-CA"/>
              </w:rPr>
              <w:t xml:space="preserve"> </w:t>
            </w:r>
            <w:r>
              <w:rPr>
                <w:lang w:val="en-CA"/>
              </w:rPr>
              <w:t xml:space="preserve">notification </w:t>
            </w:r>
            <w:r w:rsidR="00855CB7">
              <w:rPr>
                <w:lang w:val="en-CA"/>
              </w:rPr>
              <w:t xml:space="preserve">that additional time is required to </w:t>
            </w:r>
            <w:r w:rsidR="00855CB7">
              <w:rPr>
                <w:i/>
                <w:lang w:val="en-CA"/>
              </w:rPr>
              <w:t>market participant</w:t>
            </w:r>
            <w:r w:rsidR="00855CB7">
              <w:rPr>
                <w:lang w:val="en-CA"/>
              </w:rPr>
              <w:t xml:space="preserve"> and any affected parties.</w:t>
            </w:r>
          </w:p>
        </w:tc>
      </w:tr>
      <w:tr w:rsidR="00855CB7" w14:paraId="087C0990" w14:textId="77777777" w:rsidTr="007578A1">
        <w:trPr>
          <w:cantSplit/>
        </w:trPr>
        <w:tc>
          <w:tcPr>
            <w:tcW w:w="864" w:type="dxa"/>
          </w:tcPr>
          <w:p w14:paraId="692ED3B8" w14:textId="77777777" w:rsidR="00855CB7" w:rsidRDefault="00855CB7">
            <w:pPr>
              <w:pStyle w:val="TableText"/>
              <w:rPr>
                <w:lang w:val="en-CA"/>
              </w:rPr>
            </w:pPr>
            <w:r>
              <w:rPr>
                <w:lang w:val="en-CA"/>
              </w:rPr>
              <w:t>5A.20</w:t>
            </w:r>
          </w:p>
        </w:tc>
        <w:tc>
          <w:tcPr>
            <w:tcW w:w="2160" w:type="dxa"/>
          </w:tcPr>
          <w:p w14:paraId="447D25BE" w14:textId="77777777" w:rsidR="00855CB7" w:rsidRDefault="00855CB7">
            <w:pPr>
              <w:pStyle w:val="TableText"/>
              <w:rPr>
                <w:lang w:val="en-CA"/>
              </w:rPr>
            </w:pPr>
            <w:r>
              <w:rPr>
                <w:lang w:val="en-CA"/>
              </w:rPr>
              <w:t>Receive notification.</w:t>
            </w:r>
          </w:p>
        </w:tc>
        <w:tc>
          <w:tcPr>
            <w:tcW w:w="2790" w:type="dxa"/>
          </w:tcPr>
          <w:p w14:paraId="101DB315" w14:textId="77777777" w:rsidR="00855CB7" w:rsidRDefault="00855CB7">
            <w:pPr>
              <w:pStyle w:val="TableText"/>
              <w:rPr>
                <w:lang w:val="en-CA"/>
              </w:rPr>
            </w:pPr>
            <w:r>
              <w:rPr>
                <w:lang w:val="en-CA"/>
              </w:rPr>
              <w:t>Other affected parties</w:t>
            </w:r>
            <w:r>
              <w:rPr>
                <w:i/>
                <w:lang w:val="en-CA"/>
              </w:rPr>
              <w:t xml:space="preserve"> </w:t>
            </w:r>
            <w:r>
              <w:rPr>
                <w:lang w:val="en-CA"/>
              </w:rPr>
              <w:t>receive notification that more time is required.</w:t>
            </w:r>
          </w:p>
        </w:tc>
        <w:tc>
          <w:tcPr>
            <w:tcW w:w="1980" w:type="dxa"/>
          </w:tcPr>
          <w:p w14:paraId="5E6BE3ED" w14:textId="77777777" w:rsidR="00855CB7" w:rsidRDefault="00855CB7">
            <w:pPr>
              <w:pStyle w:val="TableText"/>
              <w:rPr>
                <w:lang w:val="en-CA"/>
              </w:rPr>
            </w:pPr>
            <w:r>
              <w:rPr>
                <w:lang w:val="en-CA"/>
              </w:rPr>
              <w:t>Following Step 5A.19.</w:t>
            </w:r>
          </w:p>
        </w:tc>
        <w:tc>
          <w:tcPr>
            <w:tcW w:w="2070" w:type="dxa"/>
          </w:tcPr>
          <w:p w14:paraId="6C13D6E2" w14:textId="77777777" w:rsidR="00855CB7" w:rsidRDefault="00855CB7">
            <w:pPr>
              <w:pStyle w:val="TableText"/>
              <w:rPr>
                <w:lang w:val="en-CA"/>
              </w:rPr>
            </w:pPr>
            <w:r>
              <w:rPr>
                <w:lang w:val="en-CA"/>
              </w:rPr>
              <w:t>None.</w:t>
            </w:r>
          </w:p>
        </w:tc>
        <w:tc>
          <w:tcPr>
            <w:tcW w:w="2700" w:type="dxa"/>
          </w:tcPr>
          <w:p w14:paraId="5027897F" w14:textId="77777777" w:rsidR="00855CB7" w:rsidRDefault="001722A3">
            <w:pPr>
              <w:pStyle w:val="TableText"/>
              <w:rPr>
                <w:lang w:val="en-CA"/>
              </w:rPr>
            </w:pPr>
            <w:r>
              <w:rPr>
                <w:lang w:val="en-CA"/>
              </w:rPr>
              <w:t>E-mail reminder to</w:t>
            </w:r>
            <w:r w:rsidR="00240AE0">
              <w:rPr>
                <w:lang w:val="en-CA"/>
              </w:rPr>
              <w:t xml:space="preserve"> view decision</w:t>
            </w:r>
            <w:r>
              <w:rPr>
                <w:lang w:val="en-CA"/>
              </w:rPr>
              <w:t xml:space="preserve"> notification that additional time is required in</w:t>
            </w:r>
            <w:r w:rsidDel="005E1ECA">
              <w:rPr>
                <w:lang w:val="en-CA"/>
              </w:rPr>
              <w:t xml:space="preserve"> </w:t>
            </w:r>
            <w:r>
              <w:rPr>
                <w:lang w:val="en-CA"/>
              </w:rPr>
              <w:t xml:space="preserve">Online IESO the </w:t>
            </w:r>
            <w:r>
              <w:rPr>
                <w:i/>
                <w:lang w:val="en-CA"/>
              </w:rPr>
              <w:t xml:space="preserve">notice of disagreement </w:t>
            </w:r>
            <w:r>
              <w:rPr>
                <w:lang w:val="en-CA"/>
              </w:rPr>
              <w:t>form</w:t>
            </w:r>
          </w:p>
        </w:tc>
        <w:tc>
          <w:tcPr>
            <w:tcW w:w="2340" w:type="dxa"/>
          </w:tcPr>
          <w:p w14:paraId="17D2AE79" w14:textId="77777777" w:rsidR="00855CB7" w:rsidRDefault="00855CB7">
            <w:pPr>
              <w:pStyle w:val="TableText"/>
              <w:rPr>
                <w:lang w:val="en-CA"/>
              </w:rPr>
            </w:pPr>
            <w:r>
              <w:rPr>
                <w:lang w:val="en-CA"/>
              </w:rPr>
              <w:t>Receipt of notification that additional time is required.</w:t>
            </w:r>
          </w:p>
        </w:tc>
      </w:tr>
      <w:tr w:rsidR="00855CB7" w14:paraId="6FD41B4F" w14:textId="77777777" w:rsidTr="007578A1">
        <w:trPr>
          <w:cantSplit/>
        </w:trPr>
        <w:tc>
          <w:tcPr>
            <w:tcW w:w="864" w:type="dxa"/>
          </w:tcPr>
          <w:p w14:paraId="1987963B" w14:textId="77777777" w:rsidR="00855CB7" w:rsidRDefault="00855CB7">
            <w:pPr>
              <w:pStyle w:val="TableText"/>
              <w:rPr>
                <w:lang w:val="en-CA"/>
              </w:rPr>
            </w:pPr>
            <w:r>
              <w:rPr>
                <w:lang w:val="en-CA"/>
              </w:rPr>
              <w:t>5A.21</w:t>
            </w:r>
          </w:p>
        </w:tc>
        <w:tc>
          <w:tcPr>
            <w:tcW w:w="2160" w:type="dxa"/>
          </w:tcPr>
          <w:p w14:paraId="019B22C4" w14:textId="77777777" w:rsidR="00855CB7" w:rsidRDefault="00855CB7">
            <w:pPr>
              <w:pStyle w:val="TableText"/>
              <w:rPr>
                <w:lang w:val="en-CA"/>
              </w:rPr>
            </w:pPr>
            <w:r>
              <w:rPr>
                <w:lang w:val="en-CA"/>
              </w:rPr>
              <w:t>Receive notification.</w:t>
            </w:r>
          </w:p>
        </w:tc>
        <w:tc>
          <w:tcPr>
            <w:tcW w:w="2790" w:type="dxa"/>
          </w:tcPr>
          <w:p w14:paraId="379157B3" w14:textId="77777777" w:rsidR="00855CB7" w:rsidRDefault="00855CB7">
            <w:pPr>
              <w:pStyle w:val="TableText"/>
              <w:rPr>
                <w:lang w:val="en-CA"/>
              </w:rPr>
            </w:pPr>
            <w:r>
              <w:rPr>
                <w:i/>
                <w:lang w:val="en-CA"/>
              </w:rPr>
              <w:t xml:space="preserve">Market participant </w:t>
            </w:r>
            <w:r>
              <w:rPr>
                <w:lang w:val="en-CA"/>
              </w:rPr>
              <w:t>receives notification that more time is required.</w:t>
            </w:r>
          </w:p>
        </w:tc>
        <w:tc>
          <w:tcPr>
            <w:tcW w:w="1980" w:type="dxa"/>
          </w:tcPr>
          <w:p w14:paraId="5DDE4518" w14:textId="77777777" w:rsidR="00855CB7" w:rsidRDefault="00855CB7">
            <w:pPr>
              <w:pStyle w:val="TableText"/>
              <w:rPr>
                <w:lang w:val="en-CA"/>
              </w:rPr>
            </w:pPr>
            <w:r>
              <w:rPr>
                <w:lang w:val="en-CA"/>
              </w:rPr>
              <w:t>Following Step 5A.19.</w:t>
            </w:r>
          </w:p>
        </w:tc>
        <w:tc>
          <w:tcPr>
            <w:tcW w:w="2070" w:type="dxa"/>
          </w:tcPr>
          <w:p w14:paraId="330D9192" w14:textId="77777777" w:rsidR="00855CB7" w:rsidRDefault="00855CB7">
            <w:pPr>
              <w:pStyle w:val="TableText"/>
              <w:rPr>
                <w:lang w:val="en-CA"/>
              </w:rPr>
            </w:pPr>
            <w:r>
              <w:rPr>
                <w:lang w:val="en-CA"/>
              </w:rPr>
              <w:t>None.</w:t>
            </w:r>
          </w:p>
        </w:tc>
        <w:tc>
          <w:tcPr>
            <w:tcW w:w="2700" w:type="dxa"/>
          </w:tcPr>
          <w:p w14:paraId="2A965E70" w14:textId="77777777" w:rsidR="00855CB7" w:rsidRDefault="00855CB7" w:rsidP="001722A3">
            <w:pPr>
              <w:pStyle w:val="TableText"/>
              <w:rPr>
                <w:lang w:val="en-CA"/>
              </w:rPr>
            </w:pPr>
            <w:r>
              <w:rPr>
                <w:lang w:val="en-CA"/>
              </w:rPr>
              <w:t xml:space="preserve">E-mail reminder to </w:t>
            </w:r>
            <w:r w:rsidR="00240AE0">
              <w:rPr>
                <w:lang w:val="en-CA"/>
              </w:rPr>
              <w:t xml:space="preserve">view </w:t>
            </w:r>
            <w:r w:rsidR="005E1ECA">
              <w:rPr>
                <w:lang w:val="en-CA"/>
              </w:rPr>
              <w:t xml:space="preserve">decision notification </w:t>
            </w:r>
            <w:r w:rsidR="001722A3">
              <w:rPr>
                <w:lang w:val="en-CA"/>
              </w:rPr>
              <w:t xml:space="preserve">that additional time is required </w:t>
            </w:r>
            <w:r w:rsidR="005E1ECA">
              <w:rPr>
                <w:lang w:val="en-CA"/>
              </w:rPr>
              <w:t>in</w:t>
            </w:r>
            <w:r w:rsidR="005E1ECA" w:rsidDel="005E1ECA">
              <w:rPr>
                <w:lang w:val="en-CA"/>
              </w:rPr>
              <w:t xml:space="preserve"> </w:t>
            </w:r>
            <w:r w:rsidR="001722A3">
              <w:rPr>
                <w:lang w:val="en-CA"/>
              </w:rPr>
              <w:t xml:space="preserve">Online IESO </w:t>
            </w:r>
            <w:r>
              <w:rPr>
                <w:lang w:val="en-CA"/>
              </w:rPr>
              <w:t xml:space="preserve">the </w:t>
            </w:r>
            <w:r>
              <w:rPr>
                <w:i/>
                <w:lang w:val="en-CA"/>
              </w:rPr>
              <w:t xml:space="preserve">notice of disagreement </w:t>
            </w:r>
            <w:r>
              <w:rPr>
                <w:lang w:val="en-CA"/>
              </w:rPr>
              <w:t>form.</w:t>
            </w:r>
          </w:p>
        </w:tc>
        <w:tc>
          <w:tcPr>
            <w:tcW w:w="2340" w:type="dxa"/>
          </w:tcPr>
          <w:p w14:paraId="65B1C4B4" w14:textId="77777777" w:rsidR="00855CB7" w:rsidRDefault="00855CB7">
            <w:pPr>
              <w:pStyle w:val="TableText"/>
              <w:rPr>
                <w:lang w:val="en-CA"/>
              </w:rPr>
            </w:pPr>
            <w:r>
              <w:rPr>
                <w:lang w:val="en-CA"/>
              </w:rPr>
              <w:t>Receipt of notification that additional time is required.</w:t>
            </w:r>
          </w:p>
        </w:tc>
      </w:tr>
      <w:tr w:rsidR="00855CB7" w14:paraId="3FA32C5F" w14:textId="77777777" w:rsidTr="006150D6">
        <w:tc>
          <w:tcPr>
            <w:tcW w:w="864" w:type="dxa"/>
          </w:tcPr>
          <w:p w14:paraId="37289172" w14:textId="77777777" w:rsidR="00855CB7" w:rsidRDefault="00855CB7">
            <w:pPr>
              <w:pStyle w:val="TableText"/>
              <w:rPr>
                <w:lang w:val="en-CA"/>
              </w:rPr>
            </w:pPr>
            <w:r>
              <w:rPr>
                <w:lang w:val="en-CA"/>
              </w:rPr>
              <w:t>5A.22</w:t>
            </w:r>
          </w:p>
        </w:tc>
        <w:tc>
          <w:tcPr>
            <w:tcW w:w="2160" w:type="dxa"/>
          </w:tcPr>
          <w:p w14:paraId="2A60A40C" w14:textId="77777777" w:rsidR="00855CB7" w:rsidRDefault="00855CB7">
            <w:pPr>
              <w:pStyle w:val="TableText"/>
              <w:rPr>
                <w:lang w:val="en-CA"/>
              </w:rPr>
            </w:pPr>
            <w:r>
              <w:rPr>
                <w:lang w:val="en-CA"/>
              </w:rPr>
              <w:t xml:space="preserve">Investigate </w:t>
            </w:r>
            <w:r>
              <w:rPr>
                <w:i/>
                <w:lang w:val="en-CA"/>
              </w:rPr>
              <w:t>notice of disagreement</w:t>
            </w:r>
            <w:r>
              <w:rPr>
                <w:lang w:val="en-CA"/>
              </w:rPr>
              <w:t xml:space="preserve">; inform </w:t>
            </w:r>
            <w:r>
              <w:rPr>
                <w:i/>
                <w:lang w:val="en-CA"/>
              </w:rPr>
              <w:t>market participant</w:t>
            </w:r>
            <w:r>
              <w:rPr>
                <w:lang w:val="en-CA"/>
              </w:rPr>
              <w:t xml:space="preserve"> and other affected parties of intended actions.</w:t>
            </w:r>
          </w:p>
        </w:tc>
        <w:tc>
          <w:tcPr>
            <w:tcW w:w="2790" w:type="dxa"/>
          </w:tcPr>
          <w:p w14:paraId="58822DD6" w14:textId="77777777" w:rsidR="00855CB7" w:rsidRDefault="00720834">
            <w:pPr>
              <w:pStyle w:val="TableText"/>
              <w:rPr>
                <w:lang w:val="en-CA"/>
              </w:rPr>
            </w:pPr>
            <w:r>
              <w:rPr>
                <w:lang w:val="en-CA"/>
              </w:rPr>
              <w:t>W</w:t>
            </w:r>
            <w:r w:rsidRPr="007A6E66">
              <w:rPr>
                <w:lang w:val="en-CA"/>
              </w:rPr>
              <w:t>e</w:t>
            </w:r>
            <w:r w:rsidDel="00720834">
              <w:rPr>
                <w:lang w:val="en-CA"/>
              </w:rPr>
              <w:t xml:space="preserve"> </w:t>
            </w:r>
            <w:r w:rsidR="00855CB7">
              <w:rPr>
                <w:lang w:val="en-CA"/>
              </w:rPr>
              <w:t xml:space="preserve">use the information provided in the </w:t>
            </w:r>
            <w:r w:rsidR="00855CB7">
              <w:rPr>
                <w:i/>
                <w:lang w:val="en-CA"/>
              </w:rPr>
              <w:t>notice of disagreement</w:t>
            </w:r>
            <w:r w:rsidR="00855CB7">
              <w:rPr>
                <w:lang w:val="en-CA"/>
              </w:rPr>
              <w:t xml:space="preserve">, and any other available information, to investigate the subject matter of the disagreement and </w:t>
            </w:r>
            <w:r w:rsidR="00726B5C">
              <w:rPr>
                <w:lang w:val="en-CA"/>
              </w:rPr>
              <w:t>inform</w:t>
            </w:r>
            <w:r w:rsidR="00855CB7">
              <w:rPr>
                <w:lang w:val="en-CA"/>
              </w:rPr>
              <w:t xml:space="preserve"> the </w:t>
            </w:r>
            <w:r w:rsidR="00855CB7">
              <w:rPr>
                <w:i/>
                <w:lang w:val="en-CA"/>
              </w:rPr>
              <w:t>market participant</w:t>
            </w:r>
            <w:r w:rsidR="00855CB7">
              <w:rPr>
                <w:lang w:val="en-CA"/>
              </w:rPr>
              <w:t xml:space="preserve"> of its intended actions in </w:t>
            </w:r>
            <w:r w:rsidR="00855CB7" w:rsidRPr="00737E2E">
              <w:rPr>
                <w:lang w:val="en-CA"/>
              </w:rPr>
              <w:t>response</w:t>
            </w:r>
            <w:r w:rsidR="00855CB7">
              <w:rPr>
                <w:lang w:val="en-CA"/>
              </w:rPr>
              <w:t xml:space="preserve"> to the </w:t>
            </w:r>
            <w:r w:rsidR="00855CB7">
              <w:rPr>
                <w:i/>
                <w:lang w:val="en-CA"/>
              </w:rPr>
              <w:t>notice of disagreement</w:t>
            </w:r>
            <w:r w:rsidR="00855CB7">
              <w:rPr>
                <w:lang w:val="en-CA"/>
              </w:rPr>
              <w:t xml:space="preserve">. </w:t>
            </w:r>
          </w:p>
          <w:p w14:paraId="15253D8A" w14:textId="77777777" w:rsidR="00855CB7" w:rsidRDefault="00720834">
            <w:pPr>
              <w:pStyle w:val="TableText"/>
              <w:rPr>
                <w:lang w:val="en-CA"/>
              </w:rPr>
            </w:pPr>
            <w:r>
              <w:rPr>
                <w:lang w:val="en-CA"/>
              </w:rPr>
              <w:t>W</w:t>
            </w:r>
            <w:r w:rsidRPr="007A6E66">
              <w:rPr>
                <w:lang w:val="en-CA"/>
              </w:rPr>
              <w:t>e</w:t>
            </w:r>
            <w:r w:rsidDel="00720834">
              <w:rPr>
                <w:lang w:val="en-CA"/>
              </w:rPr>
              <w:t xml:space="preserve"> </w:t>
            </w:r>
            <w:r w:rsidR="00855CB7">
              <w:rPr>
                <w:lang w:val="en-CA"/>
              </w:rPr>
              <w:t xml:space="preserve">also </w:t>
            </w:r>
            <w:r>
              <w:rPr>
                <w:lang w:val="en-CA"/>
              </w:rPr>
              <w:t xml:space="preserve">notify </w:t>
            </w:r>
            <w:r w:rsidR="00855CB7">
              <w:rPr>
                <w:lang w:val="en-CA"/>
              </w:rPr>
              <w:t>any affected parties of its intended actions.</w:t>
            </w:r>
          </w:p>
          <w:p w14:paraId="50B6A5F5" w14:textId="77777777" w:rsidR="00855CB7" w:rsidRDefault="00855CB7" w:rsidP="00720834">
            <w:pPr>
              <w:pStyle w:val="TableText"/>
              <w:rPr>
                <w:lang w:val="en-CA"/>
              </w:rPr>
            </w:pPr>
            <w:r>
              <w:rPr>
                <w:lang w:val="en-CA"/>
              </w:rPr>
              <w:t xml:space="preserve">Adjustments, if any, resulting from </w:t>
            </w:r>
            <w:r w:rsidR="00720834">
              <w:rPr>
                <w:lang w:val="en-CA"/>
              </w:rPr>
              <w:t>our</w:t>
            </w:r>
            <w:r>
              <w:rPr>
                <w:lang w:val="en-CA"/>
              </w:rPr>
              <w:t xml:space="preserve"> investigation of the </w:t>
            </w:r>
            <w:r>
              <w:rPr>
                <w:i/>
                <w:lang w:val="en-CA"/>
              </w:rPr>
              <w:t>notice of disagreement</w:t>
            </w:r>
            <w:r>
              <w:rPr>
                <w:lang w:val="en-CA"/>
              </w:rPr>
              <w:t xml:space="preserve">, and </w:t>
            </w:r>
            <w:r>
              <w:rPr>
                <w:i/>
                <w:lang w:val="en-CA"/>
              </w:rPr>
              <w:t>market participant</w:t>
            </w:r>
            <w:r>
              <w:rPr>
                <w:lang w:val="en-CA"/>
              </w:rPr>
              <w:t xml:space="preserve"> feedback (5A.23 and 5A.24)</w:t>
            </w:r>
            <w:r w:rsidR="00E93F81">
              <w:rPr>
                <w:lang w:val="en-CA"/>
              </w:rPr>
              <w:t xml:space="preserve">, appear on the next available </w:t>
            </w:r>
            <w:r w:rsidR="00E93F81" w:rsidRPr="00E93F81">
              <w:rPr>
                <w:i/>
                <w:lang w:val="en-CA"/>
              </w:rPr>
              <w:t>preliminary settlement s</w:t>
            </w:r>
            <w:r w:rsidRPr="00E93F81">
              <w:rPr>
                <w:i/>
                <w:lang w:val="en-CA"/>
              </w:rPr>
              <w:t>tatement</w:t>
            </w:r>
            <w:r>
              <w:rPr>
                <w:lang w:val="en-CA"/>
              </w:rPr>
              <w:t>.</w:t>
            </w:r>
          </w:p>
        </w:tc>
        <w:tc>
          <w:tcPr>
            <w:tcW w:w="1980" w:type="dxa"/>
          </w:tcPr>
          <w:p w14:paraId="0A098525" w14:textId="77777777" w:rsidR="00855CB7" w:rsidRDefault="00855CB7">
            <w:pPr>
              <w:pStyle w:val="TableText"/>
              <w:rPr>
                <w:lang w:val="en-CA"/>
              </w:rPr>
            </w:pPr>
            <w:r>
              <w:rPr>
                <w:lang w:val="en-CA"/>
              </w:rPr>
              <w:t>After Step</w:t>
            </w:r>
            <w:r w:rsidR="005000D0">
              <w:rPr>
                <w:lang w:val="en-CA"/>
              </w:rPr>
              <w:t xml:space="preserve"> </w:t>
            </w:r>
            <w:r>
              <w:rPr>
                <w:lang w:val="en-CA"/>
              </w:rPr>
              <w:t>5A.19.</w:t>
            </w:r>
          </w:p>
          <w:p w14:paraId="2A458774" w14:textId="77777777" w:rsidR="00855CB7" w:rsidRDefault="00855CB7">
            <w:pPr>
              <w:pStyle w:val="TableText"/>
              <w:rPr>
                <w:lang w:val="en-CA"/>
              </w:rPr>
            </w:pPr>
            <w:r>
              <w:rPr>
                <w:lang w:val="en-CA"/>
              </w:rPr>
              <w:t xml:space="preserve">When </w:t>
            </w:r>
            <w:r w:rsidR="00C45B73">
              <w:rPr>
                <w:lang w:val="en-CA"/>
              </w:rPr>
              <w:t>w</w:t>
            </w:r>
            <w:r w:rsidR="00695ACA">
              <w:rPr>
                <w:lang w:val="en-CA"/>
              </w:rPr>
              <w:t xml:space="preserve">e </w:t>
            </w:r>
            <w:r>
              <w:rPr>
                <w:lang w:val="en-CA"/>
              </w:rPr>
              <w:t xml:space="preserve">require additional time, it must communicate its decision within 15 </w:t>
            </w:r>
            <w:r>
              <w:rPr>
                <w:i/>
                <w:lang w:val="en-CA"/>
              </w:rPr>
              <w:t>business days</w:t>
            </w:r>
            <w:r>
              <w:rPr>
                <w:lang w:val="en-CA"/>
              </w:rPr>
              <w:t xml:space="preserve"> of the </w:t>
            </w:r>
            <w:r>
              <w:rPr>
                <w:i/>
                <w:lang w:val="en-CA"/>
              </w:rPr>
              <w:t>final settlement statement</w:t>
            </w:r>
            <w:r>
              <w:rPr>
                <w:lang w:val="en-CA"/>
              </w:rPr>
              <w:t xml:space="preserve"> for the disputed </w:t>
            </w:r>
            <w:r>
              <w:rPr>
                <w:i/>
                <w:lang w:val="en-CA"/>
              </w:rPr>
              <w:t>trading day</w:t>
            </w:r>
            <w:r>
              <w:rPr>
                <w:lang w:val="en-CA"/>
              </w:rPr>
              <w:t>.</w:t>
            </w:r>
          </w:p>
        </w:tc>
        <w:tc>
          <w:tcPr>
            <w:tcW w:w="2070" w:type="dxa"/>
          </w:tcPr>
          <w:p w14:paraId="486A2AA8" w14:textId="77777777" w:rsidR="00855CB7" w:rsidRDefault="00855CB7">
            <w:pPr>
              <w:pStyle w:val="TableText"/>
              <w:rPr>
                <w:i/>
                <w:lang w:val="en-CA"/>
              </w:rPr>
            </w:pPr>
            <w:r>
              <w:rPr>
                <w:i/>
                <w:lang w:val="en-CA"/>
              </w:rPr>
              <w:t>IESO</w:t>
            </w:r>
            <w:r>
              <w:rPr>
                <w:lang w:val="en-CA"/>
              </w:rPr>
              <w:t xml:space="preserve"> decision on </w:t>
            </w:r>
            <w:r>
              <w:rPr>
                <w:i/>
                <w:lang w:val="en-CA"/>
              </w:rPr>
              <w:t>notice of disagreement.</w:t>
            </w:r>
          </w:p>
          <w:p w14:paraId="2BF34DBE" w14:textId="77777777" w:rsidR="00855CB7" w:rsidRDefault="00855CB7">
            <w:pPr>
              <w:pStyle w:val="TableText"/>
              <w:rPr>
                <w:lang w:val="en-CA"/>
              </w:rPr>
            </w:pPr>
            <w:r>
              <w:rPr>
                <w:lang w:val="en-CA"/>
              </w:rPr>
              <w:t xml:space="preserve">Adjustments, if any, for disputed </w:t>
            </w:r>
            <w:r>
              <w:rPr>
                <w:i/>
                <w:lang w:val="en-CA"/>
              </w:rPr>
              <w:t>trading day</w:t>
            </w:r>
            <w:r>
              <w:rPr>
                <w:lang w:val="en-CA"/>
              </w:rPr>
              <w:t>.</w:t>
            </w:r>
          </w:p>
        </w:tc>
        <w:tc>
          <w:tcPr>
            <w:tcW w:w="2700" w:type="dxa"/>
          </w:tcPr>
          <w:p w14:paraId="2FFA3C47" w14:textId="77777777" w:rsidR="00855CB7" w:rsidRDefault="00855CB7">
            <w:pPr>
              <w:pStyle w:val="TableText"/>
              <w:rPr>
                <w:lang w:val="en-CA"/>
              </w:rPr>
            </w:pPr>
            <w:r>
              <w:rPr>
                <w:lang w:val="en-CA"/>
              </w:rPr>
              <w:t xml:space="preserve">E-mail reminder to view </w:t>
            </w:r>
            <w:r w:rsidR="005E1ECA">
              <w:rPr>
                <w:lang w:val="en-CA"/>
              </w:rPr>
              <w:t>decision notification in</w:t>
            </w:r>
            <w:r w:rsidR="005E1ECA" w:rsidDel="005E1ECA">
              <w:rPr>
                <w:lang w:val="en-CA"/>
              </w:rPr>
              <w:t xml:space="preserve"> </w:t>
            </w:r>
            <w:r>
              <w:rPr>
                <w:lang w:val="en-CA"/>
              </w:rPr>
              <w:t xml:space="preserve">the </w:t>
            </w:r>
            <w:r w:rsidR="001722A3">
              <w:rPr>
                <w:lang w:val="en-CA"/>
              </w:rPr>
              <w:t xml:space="preserve">Online IESO </w:t>
            </w:r>
            <w:r>
              <w:rPr>
                <w:i/>
                <w:lang w:val="en-CA"/>
              </w:rPr>
              <w:t xml:space="preserve">notice of disagreement </w:t>
            </w:r>
            <w:r>
              <w:rPr>
                <w:lang w:val="en-CA"/>
              </w:rPr>
              <w:t>form.</w:t>
            </w:r>
          </w:p>
          <w:p w14:paraId="2DE749DC" w14:textId="77777777" w:rsidR="00855CB7" w:rsidRDefault="00855CB7">
            <w:pPr>
              <w:pStyle w:val="TableText"/>
              <w:rPr>
                <w:lang w:val="en-CA"/>
              </w:rPr>
            </w:pPr>
          </w:p>
        </w:tc>
        <w:tc>
          <w:tcPr>
            <w:tcW w:w="2340" w:type="dxa"/>
          </w:tcPr>
          <w:p w14:paraId="1D093D23" w14:textId="77777777" w:rsidR="00855CB7" w:rsidRDefault="00695ACA">
            <w:pPr>
              <w:pStyle w:val="TableText"/>
              <w:rPr>
                <w:i/>
                <w:lang w:val="en-CA"/>
              </w:rPr>
            </w:pPr>
            <w:r w:rsidRPr="00695ACA">
              <w:rPr>
                <w:lang w:val="en-CA"/>
              </w:rPr>
              <w:t xml:space="preserve">Our </w:t>
            </w:r>
            <w:r w:rsidR="00855CB7">
              <w:rPr>
                <w:lang w:val="en-CA"/>
              </w:rPr>
              <w:t xml:space="preserve">notification of decision for </w:t>
            </w:r>
            <w:r w:rsidR="00855CB7">
              <w:rPr>
                <w:i/>
                <w:lang w:val="en-CA"/>
              </w:rPr>
              <w:t>notice of disagreement.</w:t>
            </w:r>
          </w:p>
          <w:p w14:paraId="067B34BF" w14:textId="77777777" w:rsidR="00855CB7" w:rsidRDefault="00855CB7">
            <w:pPr>
              <w:pStyle w:val="TableText"/>
              <w:rPr>
                <w:lang w:val="en-CA"/>
              </w:rPr>
            </w:pPr>
            <w:r>
              <w:rPr>
                <w:lang w:val="en-CA"/>
              </w:rPr>
              <w:t>Adjustme</w:t>
            </w:r>
            <w:r w:rsidR="00E93F81">
              <w:rPr>
                <w:lang w:val="en-CA"/>
              </w:rPr>
              <w:t xml:space="preserve">nts, if any, on next available </w:t>
            </w:r>
            <w:r w:rsidR="00E93F81" w:rsidRPr="00E93F81">
              <w:rPr>
                <w:i/>
                <w:lang w:val="en-CA"/>
              </w:rPr>
              <w:t>preliminary settlement s</w:t>
            </w:r>
            <w:r w:rsidRPr="00E93F81">
              <w:rPr>
                <w:i/>
                <w:lang w:val="en-CA"/>
              </w:rPr>
              <w:t>tatement</w:t>
            </w:r>
            <w:r>
              <w:rPr>
                <w:lang w:val="en-CA"/>
              </w:rPr>
              <w:t>.</w:t>
            </w:r>
          </w:p>
        </w:tc>
      </w:tr>
      <w:tr w:rsidR="00855CB7" w14:paraId="7568549F" w14:textId="77777777" w:rsidTr="007578A1">
        <w:trPr>
          <w:cantSplit/>
        </w:trPr>
        <w:tc>
          <w:tcPr>
            <w:tcW w:w="864" w:type="dxa"/>
          </w:tcPr>
          <w:p w14:paraId="71EA200F" w14:textId="77777777" w:rsidR="00855CB7" w:rsidRDefault="00855CB7">
            <w:pPr>
              <w:pStyle w:val="TableText"/>
              <w:rPr>
                <w:lang w:val="en-CA"/>
              </w:rPr>
            </w:pPr>
            <w:r>
              <w:rPr>
                <w:lang w:val="en-CA"/>
              </w:rPr>
              <w:t>5A.23</w:t>
            </w:r>
          </w:p>
        </w:tc>
        <w:tc>
          <w:tcPr>
            <w:tcW w:w="2160" w:type="dxa"/>
          </w:tcPr>
          <w:p w14:paraId="3DDCE0B3" w14:textId="77777777" w:rsidR="00855CB7" w:rsidRDefault="00855CB7" w:rsidP="00720834">
            <w:pPr>
              <w:pStyle w:val="TableText"/>
              <w:rPr>
                <w:lang w:val="en-CA"/>
              </w:rPr>
            </w:pPr>
            <w:r>
              <w:rPr>
                <w:lang w:val="en-CA"/>
              </w:rPr>
              <w:t xml:space="preserve">Receive and review </w:t>
            </w:r>
            <w:r w:rsidR="00720834" w:rsidRPr="00720834">
              <w:rPr>
                <w:lang w:val="en-CA"/>
              </w:rPr>
              <w:t>our</w:t>
            </w:r>
            <w:r w:rsidR="00720834">
              <w:rPr>
                <w:i/>
                <w:lang w:val="en-CA"/>
              </w:rPr>
              <w:t xml:space="preserve"> </w:t>
            </w:r>
            <w:r>
              <w:rPr>
                <w:lang w:val="en-CA"/>
              </w:rPr>
              <w:t>decision.  Respond to intended decision.</w:t>
            </w:r>
          </w:p>
        </w:tc>
        <w:tc>
          <w:tcPr>
            <w:tcW w:w="2790" w:type="dxa"/>
          </w:tcPr>
          <w:p w14:paraId="5DA5199A" w14:textId="77777777" w:rsidR="00855CB7" w:rsidRDefault="00855CB7" w:rsidP="00720834">
            <w:pPr>
              <w:pStyle w:val="TableText"/>
              <w:rPr>
                <w:lang w:val="en-CA"/>
              </w:rPr>
            </w:pPr>
            <w:r>
              <w:rPr>
                <w:lang w:val="en-CA"/>
              </w:rPr>
              <w:t xml:space="preserve">The </w:t>
            </w:r>
            <w:r>
              <w:rPr>
                <w:i/>
                <w:lang w:val="en-CA"/>
              </w:rPr>
              <w:t>market participant</w:t>
            </w:r>
            <w:r>
              <w:rPr>
                <w:lang w:val="en-CA"/>
              </w:rPr>
              <w:t xml:space="preserve"> receives a description of </w:t>
            </w:r>
            <w:r w:rsidR="00720834">
              <w:rPr>
                <w:lang w:val="en-CA"/>
              </w:rPr>
              <w:t>our</w:t>
            </w:r>
            <w:r>
              <w:rPr>
                <w:lang w:val="en-CA"/>
              </w:rPr>
              <w:t xml:space="preserve"> intended actions, and has an opportunity to respond to </w:t>
            </w:r>
            <w:r w:rsidR="00720834">
              <w:rPr>
                <w:lang w:val="en-CA"/>
              </w:rPr>
              <w:t xml:space="preserve">our </w:t>
            </w:r>
            <w:r>
              <w:rPr>
                <w:lang w:val="en-CA"/>
              </w:rPr>
              <w:t>decision.</w:t>
            </w:r>
          </w:p>
        </w:tc>
        <w:tc>
          <w:tcPr>
            <w:tcW w:w="1980" w:type="dxa"/>
          </w:tcPr>
          <w:p w14:paraId="21D41C56" w14:textId="77777777" w:rsidR="00855CB7" w:rsidRDefault="00855CB7">
            <w:pPr>
              <w:pStyle w:val="TableText"/>
              <w:rPr>
                <w:lang w:val="en-CA"/>
              </w:rPr>
            </w:pPr>
            <w:r>
              <w:rPr>
                <w:lang w:val="en-CA"/>
              </w:rPr>
              <w:t>Simultaneous with Step 5A.22.</w:t>
            </w:r>
          </w:p>
        </w:tc>
        <w:tc>
          <w:tcPr>
            <w:tcW w:w="2070" w:type="dxa"/>
          </w:tcPr>
          <w:p w14:paraId="614FDE97" w14:textId="77777777" w:rsidR="00855CB7" w:rsidRDefault="00855CB7">
            <w:pPr>
              <w:pStyle w:val="TableText"/>
              <w:rPr>
                <w:lang w:val="en-CA"/>
              </w:rPr>
            </w:pPr>
            <w:r>
              <w:rPr>
                <w:lang w:val="en-CA"/>
              </w:rPr>
              <w:t>Response.</w:t>
            </w:r>
          </w:p>
        </w:tc>
        <w:tc>
          <w:tcPr>
            <w:tcW w:w="2700" w:type="dxa"/>
          </w:tcPr>
          <w:p w14:paraId="501B2E68" w14:textId="77777777" w:rsidR="00855CB7" w:rsidRDefault="00855CB7">
            <w:pPr>
              <w:pStyle w:val="TableText"/>
              <w:rPr>
                <w:lang w:val="en-CA"/>
              </w:rPr>
            </w:pPr>
            <w:r w:rsidRPr="001B6BDC">
              <w:rPr>
                <w:lang w:val="en-CA"/>
              </w:rPr>
              <w:t xml:space="preserve">Response via the </w:t>
            </w:r>
            <w:r w:rsidR="001722A3" w:rsidRPr="001B6BDC">
              <w:rPr>
                <w:lang w:val="en-CA"/>
              </w:rPr>
              <w:t xml:space="preserve">Online IESO </w:t>
            </w:r>
            <w:r w:rsidRPr="001B6BDC">
              <w:rPr>
                <w:i/>
                <w:lang w:val="en-CA"/>
              </w:rPr>
              <w:t xml:space="preserve">notice of disagreement </w:t>
            </w:r>
            <w:r w:rsidRPr="001B6BDC">
              <w:rPr>
                <w:lang w:val="en-CA"/>
              </w:rPr>
              <w:t>form.</w:t>
            </w:r>
          </w:p>
        </w:tc>
        <w:tc>
          <w:tcPr>
            <w:tcW w:w="2340" w:type="dxa"/>
          </w:tcPr>
          <w:p w14:paraId="3DD026AB" w14:textId="77777777" w:rsidR="00855CB7" w:rsidRDefault="001722A3" w:rsidP="00695ACA">
            <w:pPr>
              <w:pStyle w:val="TableText"/>
              <w:rPr>
                <w:lang w:val="en-CA"/>
              </w:rPr>
            </w:pPr>
            <w:r>
              <w:rPr>
                <w:lang w:val="en-CA"/>
              </w:rPr>
              <w:t>Opportunity to  response to our decision provided</w:t>
            </w:r>
          </w:p>
        </w:tc>
      </w:tr>
      <w:tr w:rsidR="00855CB7" w14:paraId="20460A20" w14:textId="77777777" w:rsidTr="007578A1">
        <w:trPr>
          <w:cantSplit/>
        </w:trPr>
        <w:tc>
          <w:tcPr>
            <w:tcW w:w="864" w:type="dxa"/>
          </w:tcPr>
          <w:p w14:paraId="3E83442F" w14:textId="77777777" w:rsidR="00855CB7" w:rsidRDefault="00855CB7">
            <w:pPr>
              <w:pStyle w:val="TableText"/>
              <w:rPr>
                <w:lang w:val="en-CA"/>
              </w:rPr>
            </w:pPr>
            <w:r>
              <w:rPr>
                <w:lang w:val="en-CA"/>
              </w:rPr>
              <w:t>5A.24</w:t>
            </w:r>
          </w:p>
        </w:tc>
        <w:tc>
          <w:tcPr>
            <w:tcW w:w="2160" w:type="dxa"/>
          </w:tcPr>
          <w:p w14:paraId="4CDB929E" w14:textId="77777777" w:rsidR="00855CB7" w:rsidRDefault="00855CB7">
            <w:pPr>
              <w:pStyle w:val="TableText"/>
              <w:rPr>
                <w:lang w:val="en-CA"/>
              </w:rPr>
            </w:pPr>
            <w:r>
              <w:rPr>
                <w:lang w:val="en-CA"/>
              </w:rPr>
              <w:t>Receive and review decision.</w:t>
            </w:r>
          </w:p>
        </w:tc>
        <w:tc>
          <w:tcPr>
            <w:tcW w:w="2790" w:type="dxa"/>
          </w:tcPr>
          <w:p w14:paraId="1E94A58C" w14:textId="77777777" w:rsidR="00855CB7" w:rsidRDefault="00855CB7" w:rsidP="00720834">
            <w:pPr>
              <w:pStyle w:val="TableText"/>
              <w:rPr>
                <w:lang w:val="en-CA"/>
              </w:rPr>
            </w:pPr>
            <w:r>
              <w:rPr>
                <w:lang w:val="en-CA"/>
              </w:rPr>
              <w:t xml:space="preserve">Affected parties receive a description of </w:t>
            </w:r>
            <w:r w:rsidR="00720834">
              <w:rPr>
                <w:lang w:val="en-CA"/>
              </w:rPr>
              <w:t>our</w:t>
            </w:r>
            <w:r>
              <w:rPr>
                <w:lang w:val="en-CA"/>
              </w:rPr>
              <w:t xml:space="preserve"> intended actions and have an opportunity to respond to </w:t>
            </w:r>
            <w:r w:rsidR="00720834">
              <w:rPr>
                <w:lang w:val="en-CA"/>
              </w:rPr>
              <w:t xml:space="preserve">our </w:t>
            </w:r>
            <w:r>
              <w:rPr>
                <w:lang w:val="en-CA"/>
              </w:rPr>
              <w:t>decision.</w:t>
            </w:r>
          </w:p>
        </w:tc>
        <w:tc>
          <w:tcPr>
            <w:tcW w:w="1980" w:type="dxa"/>
          </w:tcPr>
          <w:p w14:paraId="479F9FC9" w14:textId="77777777" w:rsidR="00855CB7" w:rsidRDefault="00855CB7">
            <w:pPr>
              <w:pStyle w:val="TableText"/>
              <w:rPr>
                <w:lang w:val="en-CA"/>
              </w:rPr>
            </w:pPr>
            <w:r>
              <w:rPr>
                <w:lang w:val="en-CA"/>
              </w:rPr>
              <w:t>Simultaneous with Step</w:t>
            </w:r>
            <w:r w:rsidR="005000D0">
              <w:rPr>
                <w:lang w:val="en-CA"/>
              </w:rPr>
              <w:t xml:space="preserve"> </w:t>
            </w:r>
            <w:r>
              <w:rPr>
                <w:lang w:val="en-CA"/>
              </w:rPr>
              <w:t>5A.22.</w:t>
            </w:r>
          </w:p>
        </w:tc>
        <w:tc>
          <w:tcPr>
            <w:tcW w:w="2070" w:type="dxa"/>
          </w:tcPr>
          <w:p w14:paraId="51C1B723" w14:textId="77777777" w:rsidR="00855CB7" w:rsidRDefault="001722A3">
            <w:pPr>
              <w:pStyle w:val="TableText"/>
              <w:rPr>
                <w:lang w:val="en-CA"/>
              </w:rPr>
            </w:pPr>
            <w:r>
              <w:rPr>
                <w:lang w:val="en-CA"/>
              </w:rPr>
              <w:t>Response</w:t>
            </w:r>
            <w:r w:rsidR="00855CB7">
              <w:rPr>
                <w:lang w:val="en-CA"/>
              </w:rPr>
              <w:t>.</w:t>
            </w:r>
          </w:p>
        </w:tc>
        <w:tc>
          <w:tcPr>
            <w:tcW w:w="2700" w:type="dxa"/>
          </w:tcPr>
          <w:p w14:paraId="0F9BA0BF" w14:textId="77777777" w:rsidR="00855CB7" w:rsidRDefault="00240AE0" w:rsidP="00B82BFB">
            <w:pPr>
              <w:pStyle w:val="TableText"/>
              <w:rPr>
                <w:lang w:val="en-CA"/>
              </w:rPr>
            </w:pPr>
            <w:r>
              <w:rPr>
                <w:lang w:val="en-CA"/>
              </w:rPr>
              <w:t>Email or r</w:t>
            </w:r>
            <w:r w:rsidR="001722A3">
              <w:rPr>
                <w:lang w:val="en-CA"/>
              </w:rPr>
              <w:t xml:space="preserve">esponse via the Online IESO </w:t>
            </w:r>
            <w:r w:rsidR="001722A3">
              <w:rPr>
                <w:i/>
                <w:lang w:val="en-CA"/>
              </w:rPr>
              <w:t xml:space="preserve">notice of disagreement </w:t>
            </w:r>
            <w:r w:rsidR="001722A3">
              <w:rPr>
                <w:lang w:val="en-CA"/>
              </w:rPr>
              <w:t>form.</w:t>
            </w:r>
          </w:p>
        </w:tc>
        <w:tc>
          <w:tcPr>
            <w:tcW w:w="2340" w:type="dxa"/>
          </w:tcPr>
          <w:p w14:paraId="6072697F" w14:textId="77777777" w:rsidR="00855CB7" w:rsidRDefault="001722A3" w:rsidP="00B82BFB">
            <w:pPr>
              <w:pStyle w:val="TableText"/>
              <w:rPr>
                <w:lang w:val="en-CA"/>
              </w:rPr>
            </w:pPr>
            <w:r>
              <w:rPr>
                <w:lang w:val="en-CA"/>
              </w:rPr>
              <w:t>Opportunity to</w:t>
            </w:r>
            <w:r w:rsidR="00855CB7">
              <w:rPr>
                <w:lang w:val="en-CA"/>
              </w:rPr>
              <w:t xml:space="preserve"> </w:t>
            </w:r>
            <w:r>
              <w:rPr>
                <w:lang w:val="en-CA"/>
              </w:rPr>
              <w:t xml:space="preserve">respond </w:t>
            </w:r>
            <w:r w:rsidR="00695ACA">
              <w:rPr>
                <w:lang w:val="en-CA"/>
              </w:rPr>
              <w:t xml:space="preserve">to </w:t>
            </w:r>
            <w:r>
              <w:rPr>
                <w:lang w:val="en-CA"/>
              </w:rPr>
              <w:t>our decision provided</w:t>
            </w:r>
            <w:r w:rsidR="00871478">
              <w:rPr>
                <w:lang w:val="en-CA"/>
              </w:rPr>
              <w:t>.</w:t>
            </w:r>
          </w:p>
        </w:tc>
      </w:tr>
    </w:tbl>
    <w:p w14:paraId="39FF3110" w14:textId="5232621D" w:rsidR="00855CB7" w:rsidRDefault="00855CB7">
      <w:pPr>
        <w:pStyle w:val="Heading2"/>
        <w:pageBreakBefore/>
        <w:spacing w:before="240"/>
        <w:rPr>
          <w:lang w:val="en-CA"/>
        </w:rPr>
      </w:pPr>
      <w:bookmarkStart w:id="1459" w:name="_Toc479138129"/>
      <w:bookmarkStart w:id="1460" w:name="_Toc483275418"/>
      <w:bookmarkStart w:id="1461" w:name="_Toc32038455"/>
      <w:bookmarkStart w:id="1462" w:name="_Toc175383919"/>
      <w:bookmarkStart w:id="1463" w:name="_Toc400369545"/>
      <w:bookmarkStart w:id="1464" w:name="_Toc35796383"/>
      <w:bookmarkStart w:id="1465" w:name="_Toc79657985"/>
      <w:r>
        <w:rPr>
          <w:lang w:val="en-CA"/>
        </w:rPr>
        <w:t>Final Settlement Statement</w:t>
      </w:r>
      <w:bookmarkEnd w:id="1459"/>
      <w:r>
        <w:rPr>
          <w:lang w:val="en-CA"/>
        </w:rPr>
        <w:t>s</w:t>
      </w:r>
      <w:bookmarkEnd w:id="1460"/>
      <w:bookmarkEnd w:id="1461"/>
      <w:bookmarkEnd w:id="1462"/>
      <w:bookmarkEnd w:id="1463"/>
      <w:bookmarkEnd w:id="1464"/>
      <w:bookmarkEnd w:id="1465"/>
    </w:p>
    <w:p w14:paraId="0E09F893" w14:textId="77777777" w:rsidR="00855CB7" w:rsidRDefault="00855CB7">
      <w:pPr>
        <w:pStyle w:val="BodyText"/>
        <w:rPr>
          <w:lang w:val="en-CA"/>
        </w:rPr>
      </w:pPr>
      <w:r>
        <w:rPr>
          <w:i/>
          <w:snapToGrid w:val="0"/>
          <w:lang w:val="en-CA"/>
        </w:rPr>
        <w:t>Market participants</w:t>
      </w:r>
      <w:r>
        <w:rPr>
          <w:snapToGrid w:val="0"/>
          <w:lang w:val="en-CA"/>
        </w:rPr>
        <w:t xml:space="preserve"> should retrieve the </w:t>
      </w:r>
      <w:r>
        <w:rPr>
          <w:i/>
          <w:snapToGrid w:val="0"/>
          <w:lang w:val="en-CA"/>
        </w:rPr>
        <w:t>final settlement statement</w:t>
      </w:r>
      <w:r>
        <w:rPr>
          <w:snapToGrid w:val="0"/>
          <w:lang w:val="en-CA"/>
        </w:rPr>
        <w:t xml:space="preserve">.  </w:t>
      </w:r>
      <w:r>
        <w:rPr>
          <w:lang w:val="en-CA"/>
        </w:rPr>
        <w:t>The steps shown in the following table are illustrated in Section 2.1, Figure 2-2.</w:t>
      </w:r>
    </w:p>
    <w:p w14:paraId="2F91D700" w14:textId="77777777" w:rsidR="00F70997" w:rsidRDefault="007578A1">
      <w:pPr>
        <w:pStyle w:val="TableCaption"/>
        <w:rPr>
          <w:lang w:val="en-CA"/>
        </w:rPr>
      </w:pPr>
      <w:bookmarkStart w:id="1466" w:name="_Toc400369598"/>
      <w:bookmarkStart w:id="1467" w:name="_Toc35796431"/>
      <w:bookmarkStart w:id="1468" w:name="_Toc79657838"/>
      <w:r>
        <w:rPr>
          <w:lang w:val="en-CA"/>
        </w:rPr>
        <w:t>Table 3–2:  Procedural Steps for Retrieving Final Settlement Statements</w:t>
      </w:r>
      <w:bookmarkEnd w:id="1466"/>
      <w:bookmarkEnd w:id="1467"/>
      <w:bookmarkEnd w:id="1468"/>
    </w:p>
    <w:tbl>
      <w:tblPr>
        <w:tblW w:w="14724"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Description w:val="Procedural Steps for Retrieving Final Settlement Statements"/>
      </w:tblPr>
      <w:tblGrid>
        <w:gridCol w:w="864"/>
        <w:gridCol w:w="2160"/>
        <w:gridCol w:w="3150"/>
        <w:gridCol w:w="2160"/>
        <w:gridCol w:w="2160"/>
        <w:gridCol w:w="2160"/>
        <w:gridCol w:w="2070"/>
      </w:tblGrid>
      <w:tr w:rsidR="00855CB7" w14:paraId="1C231BB4" w14:textId="77777777" w:rsidTr="007B06D7">
        <w:trPr>
          <w:cantSplit/>
          <w:tblHeader/>
        </w:trPr>
        <w:tc>
          <w:tcPr>
            <w:tcW w:w="864" w:type="dxa"/>
            <w:shd w:val="clear" w:color="auto" w:fill="D9D9D9" w:themeFill="background1" w:themeFillShade="D9"/>
            <w:vAlign w:val="center"/>
          </w:tcPr>
          <w:p w14:paraId="08F1EC4D" w14:textId="77777777" w:rsidR="00AD5C1D" w:rsidRDefault="00855CB7">
            <w:pPr>
              <w:pStyle w:val="TableHead"/>
              <w:keepNext/>
              <w:keepLines/>
              <w:rPr>
                <w:lang w:val="en-CA"/>
              </w:rPr>
            </w:pPr>
            <w:r>
              <w:rPr>
                <w:lang w:val="en-CA"/>
              </w:rPr>
              <w:t>Ref.</w:t>
            </w:r>
          </w:p>
        </w:tc>
        <w:tc>
          <w:tcPr>
            <w:tcW w:w="2160" w:type="dxa"/>
            <w:shd w:val="clear" w:color="auto" w:fill="D9D9D9" w:themeFill="background1" w:themeFillShade="D9"/>
            <w:vAlign w:val="center"/>
          </w:tcPr>
          <w:p w14:paraId="4402FC85" w14:textId="77777777" w:rsidR="00AD5C1D" w:rsidRDefault="00855CB7">
            <w:pPr>
              <w:pStyle w:val="TableHead"/>
              <w:keepNext/>
              <w:keepLines/>
              <w:rPr>
                <w:lang w:val="en-CA"/>
              </w:rPr>
            </w:pPr>
            <w:r>
              <w:rPr>
                <w:lang w:val="en-CA"/>
              </w:rPr>
              <w:t>Task Name</w:t>
            </w:r>
          </w:p>
        </w:tc>
        <w:tc>
          <w:tcPr>
            <w:tcW w:w="3150" w:type="dxa"/>
            <w:shd w:val="clear" w:color="auto" w:fill="D9D9D9" w:themeFill="background1" w:themeFillShade="D9"/>
            <w:vAlign w:val="center"/>
          </w:tcPr>
          <w:p w14:paraId="419E5D26" w14:textId="77777777" w:rsidR="00AD5C1D" w:rsidRDefault="00855CB7">
            <w:pPr>
              <w:pStyle w:val="TableHead"/>
              <w:keepNext/>
              <w:keepLines/>
              <w:rPr>
                <w:lang w:val="en-CA"/>
              </w:rPr>
            </w:pPr>
            <w:r>
              <w:rPr>
                <w:lang w:val="en-CA"/>
              </w:rPr>
              <w:t>Task Detail</w:t>
            </w:r>
          </w:p>
        </w:tc>
        <w:tc>
          <w:tcPr>
            <w:tcW w:w="2160" w:type="dxa"/>
            <w:shd w:val="clear" w:color="auto" w:fill="D9D9D9" w:themeFill="background1" w:themeFillShade="D9"/>
            <w:vAlign w:val="center"/>
          </w:tcPr>
          <w:p w14:paraId="736844AE" w14:textId="77777777" w:rsidR="00AD5C1D" w:rsidRDefault="00855CB7">
            <w:pPr>
              <w:pStyle w:val="TableHead"/>
              <w:keepNext/>
              <w:keepLines/>
              <w:rPr>
                <w:lang w:val="en-CA"/>
              </w:rPr>
            </w:pPr>
            <w:r>
              <w:rPr>
                <w:lang w:val="en-CA"/>
              </w:rPr>
              <w:t>When</w:t>
            </w:r>
          </w:p>
        </w:tc>
        <w:tc>
          <w:tcPr>
            <w:tcW w:w="2160" w:type="dxa"/>
            <w:shd w:val="clear" w:color="auto" w:fill="D9D9D9" w:themeFill="background1" w:themeFillShade="D9"/>
            <w:vAlign w:val="center"/>
          </w:tcPr>
          <w:p w14:paraId="021FCB2A" w14:textId="77777777" w:rsidR="00AD5C1D" w:rsidRDefault="00855CB7">
            <w:pPr>
              <w:pStyle w:val="TableHead"/>
              <w:keepNext/>
              <w:keepLines/>
              <w:rPr>
                <w:lang w:val="en-CA"/>
              </w:rPr>
            </w:pPr>
            <w:r>
              <w:rPr>
                <w:lang w:val="en-CA"/>
              </w:rPr>
              <w:t>Resulting Information</w:t>
            </w:r>
          </w:p>
        </w:tc>
        <w:tc>
          <w:tcPr>
            <w:tcW w:w="2160" w:type="dxa"/>
            <w:shd w:val="clear" w:color="auto" w:fill="D9D9D9" w:themeFill="background1" w:themeFillShade="D9"/>
            <w:vAlign w:val="center"/>
          </w:tcPr>
          <w:p w14:paraId="18C1B8CA" w14:textId="77777777" w:rsidR="00AD5C1D" w:rsidRDefault="00855CB7">
            <w:pPr>
              <w:pStyle w:val="TableHead"/>
              <w:keepNext/>
              <w:keepLines/>
              <w:rPr>
                <w:lang w:val="en-CA"/>
              </w:rPr>
            </w:pPr>
            <w:r>
              <w:rPr>
                <w:lang w:val="en-CA"/>
              </w:rPr>
              <w:t>Method</w:t>
            </w:r>
          </w:p>
        </w:tc>
        <w:tc>
          <w:tcPr>
            <w:tcW w:w="2070" w:type="dxa"/>
            <w:shd w:val="clear" w:color="auto" w:fill="D9D9D9" w:themeFill="background1" w:themeFillShade="D9"/>
            <w:vAlign w:val="center"/>
          </w:tcPr>
          <w:p w14:paraId="5ADAEF81" w14:textId="77777777" w:rsidR="00AD5C1D" w:rsidRDefault="00855CB7">
            <w:pPr>
              <w:pStyle w:val="TableHead"/>
              <w:keepNext/>
              <w:keepLines/>
              <w:rPr>
                <w:lang w:val="en-CA"/>
              </w:rPr>
            </w:pPr>
            <w:r>
              <w:rPr>
                <w:lang w:val="en-CA"/>
              </w:rPr>
              <w:t>Completion Events</w:t>
            </w:r>
          </w:p>
        </w:tc>
      </w:tr>
      <w:tr w:rsidR="00855CB7" w14:paraId="3CE33289" w14:textId="77777777" w:rsidTr="007578A1">
        <w:trPr>
          <w:cantSplit/>
        </w:trPr>
        <w:tc>
          <w:tcPr>
            <w:tcW w:w="864" w:type="dxa"/>
          </w:tcPr>
          <w:p w14:paraId="09EA9B31" w14:textId="77777777" w:rsidR="00855CB7" w:rsidRDefault="00855CB7">
            <w:pPr>
              <w:pStyle w:val="TableText"/>
              <w:rPr>
                <w:lang w:val="en-CA"/>
              </w:rPr>
            </w:pPr>
            <w:r>
              <w:rPr>
                <w:lang w:val="en-CA"/>
              </w:rPr>
              <w:t>5B.01</w:t>
            </w:r>
          </w:p>
        </w:tc>
        <w:tc>
          <w:tcPr>
            <w:tcW w:w="2160" w:type="dxa"/>
          </w:tcPr>
          <w:p w14:paraId="08504F44" w14:textId="77777777" w:rsidR="00855CB7" w:rsidRDefault="00855CB7">
            <w:pPr>
              <w:pStyle w:val="TableText"/>
              <w:rPr>
                <w:lang w:val="en-CA"/>
              </w:rPr>
            </w:pPr>
            <w:r>
              <w:rPr>
                <w:lang w:val="en-CA"/>
              </w:rPr>
              <w:t xml:space="preserve">Generate </w:t>
            </w:r>
            <w:r>
              <w:rPr>
                <w:i/>
                <w:lang w:val="en-CA"/>
              </w:rPr>
              <w:t>final settlement statement(s)</w:t>
            </w:r>
            <w:r>
              <w:rPr>
                <w:lang w:val="en-CA"/>
              </w:rPr>
              <w:t xml:space="preserve"> for </w:t>
            </w:r>
            <w:r>
              <w:rPr>
                <w:i/>
                <w:lang w:val="en-CA"/>
              </w:rPr>
              <w:t>trading day</w:t>
            </w:r>
            <w:r>
              <w:rPr>
                <w:lang w:val="en-CA"/>
              </w:rPr>
              <w:t>(s).</w:t>
            </w:r>
          </w:p>
        </w:tc>
        <w:tc>
          <w:tcPr>
            <w:tcW w:w="3150" w:type="dxa"/>
          </w:tcPr>
          <w:p w14:paraId="0BFD9A7B" w14:textId="77777777" w:rsidR="00855CB7" w:rsidRDefault="00720834">
            <w:pPr>
              <w:pStyle w:val="TableText"/>
              <w:rPr>
                <w:lang w:val="en-CA"/>
              </w:rPr>
            </w:pPr>
            <w:r>
              <w:rPr>
                <w:lang w:val="en-CA"/>
              </w:rPr>
              <w:t>W</w:t>
            </w:r>
            <w:r w:rsidRPr="007A6E66">
              <w:rPr>
                <w:lang w:val="en-CA"/>
              </w:rPr>
              <w:t>e</w:t>
            </w:r>
            <w:r w:rsidR="00855CB7">
              <w:rPr>
                <w:lang w:val="en-CA"/>
              </w:rPr>
              <w:t xml:space="preserve"> generate a </w:t>
            </w:r>
            <w:r w:rsidR="00855CB7">
              <w:rPr>
                <w:i/>
                <w:lang w:val="en-CA"/>
              </w:rPr>
              <w:t>final settlement statement(s)</w:t>
            </w:r>
            <w:r w:rsidR="00855CB7">
              <w:rPr>
                <w:lang w:val="en-CA"/>
              </w:rPr>
              <w:t>, incorporating any final adjustments.</w:t>
            </w:r>
          </w:p>
          <w:p w14:paraId="1B1C0BB2" w14:textId="77777777" w:rsidR="00855CB7" w:rsidRDefault="00855CB7">
            <w:pPr>
              <w:pStyle w:val="TableText"/>
              <w:rPr>
                <w:lang w:val="en-CA"/>
              </w:rPr>
            </w:pPr>
            <w:r>
              <w:rPr>
                <w:i/>
                <w:lang w:val="en-CA"/>
              </w:rPr>
              <w:t>Final settlement statements</w:t>
            </w:r>
            <w:r>
              <w:rPr>
                <w:lang w:val="en-CA"/>
              </w:rPr>
              <w:t xml:space="preserve"> may be issued for more than one </w:t>
            </w:r>
            <w:r>
              <w:rPr>
                <w:i/>
                <w:lang w:val="en-CA"/>
              </w:rPr>
              <w:t>trading day</w:t>
            </w:r>
            <w:r>
              <w:rPr>
                <w:lang w:val="en-CA"/>
              </w:rPr>
              <w:t xml:space="preserve"> on a given </w:t>
            </w:r>
            <w:r>
              <w:rPr>
                <w:i/>
                <w:lang w:val="en-CA"/>
              </w:rPr>
              <w:t>business day</w:t>
            </w:r>
            <w:r>
              <w:rPr>
                <w:lang w:val="en-CA"/>
              </w:rPr>
              <w:t>.</w:t>
            </w:r>
          </w:p>
        </w:tc>
        <w:tc>
          <w:tcPr>
            <w:tcW w:w="2160" w:type="dxa"/>
          </w:tcPr>
          <w:p w14:paraId="1DF9692F" w14:textId="77777777" w:rsidR="00855CB7" w:rsidRDefault="00855CB7">
            <w:pPr>
              <w:pStyle w:val="TableText"/>
              <w:rPr>
                <w:lang w:val="en-CA"/>
              </w:rPr>
            </w:pPr>
            <w:r>
              <w:rPr>
                <w:lang w:val="en-CA"/>
              </w:rPr>
              <w:t xml:space="preserve">Each </w:t>
            </w:r>
            <w:r>
              <w:rPr>
                <w:i/>
                <w:lang w:val="en-CA"/>
              </w:rPr>
              <w:t>business day</w:t>
            </w:r>
            <w:r>
              <w:rPr>
                <w:lang w:val="en-CA"/>
              </w:rPr>
              <w:t>.</w:t>
            </w:r>
          </w:p>
        </w:tc>
        <w:tc>
          <w:tcPr>
            <w:tcW w:w="2160" w:type="dxa"/>
          </w:tcPr>
          <w:p w14:paraId="0444E86D" w14:textId="77777777" w:rsidR="00855CB7" w:rsidRDefault="00855CB7">
            <w:pPr>
              <w:pStyle w:val="TableText"/>
              <w:rPr>
                <w:lang w:val="en-CA"/>
              </w:rPr>
            </w:pPr>
            <w:r>
              <w:rPr>
                <w:lang w:val="en-CA"/>
              </w:rPr>
              <w:t>None.</w:t>
            </w:r>
          </w:p>
        </w:tc>
        <w:tc>
          <w:tcPr>
            <w:tcW w:w="2160" w:type="dxa"/>
          </w:tcPr>
          <w:p w14:paraId="6295417D" w14:textId="77777777" w:rsidR="00855CB7" w:rsidRDefault="00855CB7">
            <w:pPr>
              <w:pStyle w:val="TableText"/>
              <w:rPr>
                <w:lang w:val="en-CA"/>
              </w:rPr>
            </w:pPr>
            <w:r>
              <w:rPr>
                <w:lang w:val="en-CA"/>
              </w:rPr>
              <w:t>None.</w:t>
            </w:r>
          </w:p>
        </w:tc>
        <w:tc>
          <w:tcPr>
            <w:tcW w:w="2070" w:type="dxa"/>
          </w:tcPr>
          <w:p w14:paraId="12FE327A" w14:textId="77777777" w:rsidR="00855CB7" w:rsidRDefault="00855CB7">
            <w:pPr>
              <w:pStyle w:val="TableText"/>
              <w:rPr>
                <w:lang w:val="en-CA"/>
              </w:rPr>
            </w:pPr>
            <w:r>
              <w:rPr>
                <w:i/>
                <w:lang w:val="en-CA"/>
              </w:rPr>
              <w:t>Final settlement statement(s)</w:t>
            </w:r>
            <w:r>
              <w:rPr>
                <w:lang w:val="en-CA"/>
              </w:rPr>
              <w:t xml:space="preserve"> issued.</w:t>
            </w:r>
          </w:p>
        </w:tc>
      </w:tr>
      <w:tr w:rsidR="00855CB7" w14:paraId="2ECC8643" w14:textId="77777777" w:rsidTr="007578A1">
        <w:trPr>
          <w:cantSplit/>
        </w:trPr>
        <w:tc>
          <w:tcPr>
            <w:tcW w:w="864" w:type="dxa"/>
          </w:tcPr>
          <w:p w14:paraId="73167ECB" w14:textId="77777777" w:rsidR="00855CB7" w:rsidRDefault="00855CB7">
            <w:pPr>
              <w:pStyle w:val="TableText"/>
              <w:rPr>
                <w:lang w:val="en-CA"/>
              </w:rPr>
            </w:pPr>
            <w:r>
              <w:rPr>
                <w:lang w:val="en-CA"/>
              </w:rPr>
              <w:t>5B.02</w:t>
            </w:r>
          </w:p>
        </w:tc>
        <w:tc>
          <w:tcPr>
            <w:tcW w:w="2160" w:type="dxa"/>
          </w:tcPr>
          <w:p w14:paraId="410B2775" w14:textId="77777777" w:rsidR="00855CB7" w:rsidRDefault="00855CB7">
            <w:pPr>
              <w:pStyle w:val="TableText"/>
              <w:rPr>
                <w:lang w:val="en-CA"/>
              </w:rPr>
            </w:pPr>
            <w:r>
              <w:rPr>
                <w:lang w:val="en-CA"/>
              </w:rPr>
              <w:t xml:space="preserve">Issue </w:t>
            </w:r>
            <w:r>
              <w:rPr>
                <w:i/>
                <w:lang w:val="en-CA"/>
              </w:rPr>
              <w:t>final settlement statement(s)</w:t>
            </w:r>
            <w:r>
              <w:rPr>
                <w:lang w:val="en-CA"/>
              </w:rPr>
              <w:t>.</w:t>
            </w:r>
          </w:p>
        </w:tc>
        <w:tc>
          <w:tcPr>
            <w:tcW w:w="3150" w:type="dxa"/>
          </w:tcPr>
          <w:p w14:paraId="63F59B21" w14:textId="77777777" w:rsidR="00855CB7" w:rsidRDefault="00720834" w:rsidP="00720834">
            <w:pPr>
              <w:pStyle w:val="TableText"/>
              <w:rPr>
                <w:lang w:val="en-CA"/>
              </w:rPr>
            </w:pPr>
            <w:r>
              <w:rPr>
                <w:lang w:val="en-CA"/>
              </w:rPr>
              <w:t>W</w:t>
            </w:r>
            <w:r w:rsidRPr="007A6E66">
              <w:rPr>
                <w:lang w:val="en-CA"/>
              </w:rPr>
              <w:t>e</w:t>
            </w:r>
            <w:r w:rsidDel="00720834">
              <w:rPr>
                <w:lang w:val="en-CA"/>
              </w:rPr>
              <w:t xml:space="preserve"> </w:t>
            </w:r>
            <w:r w:rsidR="00855CB7">
              <w:rPr>
                <w:lang w:val="en-CA"/>
              </w:rPr>
              <w:t xml:space="preserve">issue the </w:t>
            </w:r>
            <w:r w:rsidR="00855CB7">
              <w:rPr>
                <w:i/>
                <w:lang w:val="en-CA"/>
              </w:rPr>
              <w:t>final settlement statement(s)</w:t>
            </w:r>
            <w:r w:rsidR="00855CB7">
              <w:rPr>
                <w:lang w:val="en-CA"/>
              </w:rPr>
              <w:t xml:space="preserve"> for a given </w:t>
            </w:r>
            <w:r w:rsidR="00855CB7">
              <w:rPr>
                <w:i/>
                <w:lang w:val="en-CA"/>
              </w:rPr>
              <w:t>trading day(s)</w:t>
            </w:r>
            <w:r w:rsidR="00855CB7">
              <w:rPr>
                <w:lang w:val="en-CA"/>
              </w:rPr>
              <w:t xml:space="preserve"> for each </w:t>
            </w:r>
            <w:r w:rsidR="00855CB7">
              <w:rPr>
                <w:i/>
                <w:lang w:val="en-CA"/>
              </w:rPr>
              <w:t>market participant</w:t>
            </w:r>
            <w:r w:rsidR="00855CB7">
              <w:rPr>
                <w:lang w:val="en-CA"/>
              </w:rPr>
              <w:t xml:space="preserve"> who has a non-zero </w:t>
            </w:r>
            <w:r w:rsidR="00855CB7">
              <w:rPr>
                <w:i/>
                <w:lang w:val="en-CA"/>
              </w:rPr>
              <w:t>settlement amount</w:t>
            </w:r>
            <w:r w:rsidR="00855CB7">
              <w:rPr>
                <w:lang w:val="en-CA"/>
              </w:rPr>
              <w:t xml:space="preserve"> for that </w:t>
            </w:r>
            <w:r w:rsidR="00855CB7">
              <w:rPr>
                <w:i/>
                <w:lang w:val="en-CA"/>
              </w:rPr>
              <w:t>trading day(s)</w:t>
            </w:r>
            <w:r w:rsidR="00855CB7">
              <w:rPr>
                <w:lang w:val="en-CA"/>
              </w:rPr>
              <w:t xml:space="preserve">. </w:t>
            </w:r>
          </w:p>
        </w:tc>
        <w:tc>
          <w:tcPr>
            <w:tcW w:w="2160" w:type="dxa"/>
          </w:tcPr>
          <w:p w14:paraId="604D22D8" w14:textId="77777777" w:rsidR="00855CB7" w:rsidRDefault="00855CB7">
            <w:pPr>
              <w:pStyle w:val="TableText"/>
              <w:rPr>
                <w:lang w:val="en-CA"/>
              </w:rPr>
            </w:pPr>
            <w:r>
              <w:rPr>
                <w:lang w:val="en-CA"/>
              </w:rPr>
              <w:t xml:space="preserve">By 17:00 EST on the date specified in the </w:t>
            </w:r>
            <w:r>
              <w:rPr>
                <w:i/>
                <w:lang w:val="en-CA"/>
              </w:rPr>
              <w:t>SSPC</w:t>
            </w:r>
            <w:r>
              <w:rPr>
                <w:lang w:val="en-CA"/>
              </w:rPr>
              <w:t>.</w:t>
            </w:r>
          </w:p>
        </w:tc>
        <w:tc>
          <w:tcPr>
            <w:tcW w:w="2160" w:type="dxa"/>
          </w:tcPr>
          <w:p w14:paraId="0A3E9ADA" w14:textId="77777777" w:rsidR="00855CB7" w:rsidRDefault="00855CB7">
            <w:pPr>
              <w:pStyle w:val="TableText"/>
              <w:rPr>
                <w:lang w:val="en-CA"/>
              </w:rPr>
            </w:pPr>
            <w:r>
              <w:rPr>
                <w:i/>
                <w:lang w:val="en-CA"/>
              </w:rPr>
              <w:t>Final settlement statements</w:t>
            </w:r>
            <w:r>
              <w:rPr>
                <w:lang w:val="en-CA"/>
              </w:rPr>
              <w:t xml:space="preserve"> file(s) and companion data files.</w:t>
            </w:r>
          </w:p>
        </w:tc>
        <w:tc>
          <w:tcPr>
            <w:tcW w:w="2160" w:type="dxa"/>
          </w:tcPr>
          <w:p w14:paraId="1EC763A1" w14:textId="77777777" w:rsidR="00855CB7" w:rsidRPr="00D063EB" w:rsidRDefault="00B75586">
            <w:pPr>
              <w:pStyle w:val="TableText"/>
              <w:rPr>
                <w:lang w:val="it-IT"/>
              </w:rPr>
            </w:pPr>
            <w:r>
              <w:rPr>
                <w:lang w:val="en-CA"/>
              </w:rPr>
              <w:t>IESO Report site</w:t>
            </w:r>
            <w:r>
              <w:rPr>
                <w:rStyle w:val="FootnoteReference"/>
                <w:lang w:val="en-CA"/>
              </w:rPr>
              <w:footnoteReference w:id="44"/>
            </w:r>
          </w:p>
        </w:tc>
        <w:tc>
          <w:tcPr>
            <w:tcW w:w="2070" w:type="dxa"/>
          </w:tcPr>
          <w:p w14:paraId="6245E76F" w14:textId="77777777" w:rsidR="00855CB7" w:rsidRDefault="00855CB7">
            <w:pPr>
              <w:pStyle w:val="TableText"/>
              <w:rPr>
                <w:lang w:val="en-CA"/>
              </w:rPr>
            </w:pPr>
            <w:r>
              <w:rPr>
                <w:i/>
                <w:lang w:val="en-CA"/>
              </w:rPr>
              <w:t>Final settlement statement(s)</w:t>
            </w:r>
            <w:r>
              <w:rPr>
                <w:lang w:val="en-CA"/>
              </w:rPr>
              <w:t xml:space="preserve"> issued.</w:t>
            </w:r>
          </w:p>
        </w:tc>
      </w:tr>
      <w:tr w:rsidR="00855CB7" w14:paraId="45D59BF0" w14:textId="77777777" w:rsidTr="007578A1">
        <w:trPr>
          <w:cantSplit/>
        </w:trPr>
        <w:tc>
          <w:tcPr>
            <w:tcW w:w="864" w:type="dxa"/>
          </w:tcPr>
          <w:p w14:paraId="77477242" w14:textId="77777777" w:rsidR="00855CB7" w:rsidRDefault="00855CB7">
            <w:pPr>
              <w:pStyle w:val="TableText"/>
              <w:rPr>
                <w:lang w:val="en-CA"/>
              </w:rPr>
            </w:pPr>
            <w:r>
              <w:rPr>
                <w:lang w:val="en-CA"/>
              </w:rPr>
              <w:t>5B.03</w:t>
            </w:r>
          </w:p>
        </w:tc>
        <w:tc>
          <w:tcPr>
            <w:tcW w:w="2160" w:type="dxa"/>
          </w:tcPr>
          <w:p w14:paraId="0AF7377B" w14:textId="77777777" w:rsidR="00855CB7" w:rsidRDefault="00855CB7" w:rsidP="00720834">
            <w:pPr>
              <w:pStyle w:val="TableText"/>
              <w:rPr>
                <w:lang w:val="en-CA"/>
              </w:rPr>
            </w:pPr>
            <w:r>
              <w:rPr>
                <w:lang w:val="en-CA"/>
              </w:rPr>
              <w:t xml:space="preserve">Notify </w:t>
            </w:r>
            <w:r w:rsidR="00720834" w:rsidRPr="00720834">
              <w:rPr>
                <w:lang w:val="en-CA"/>
              </w:rPr>
              <w:t xml:space="preserve">us </w:t>
            </w:r>
            <w:r>
              <w:rPr>
                <w:i/>
                <w:lang w:val="en-CA"/>
              </w:rPr>
              <w:t>final settlement statement(s)</w:t>
            </w:r>
            <w:r>
              <w:rPr>
                <w:lang w:val="en-CA"/>
              </w:rPr>
              <w:t xml:space="preserve"> not accessible by date specified in </w:t>
            </w:r>
            <w:r>
              <w:rPr>
                <w:i/>
                <w:lang w:val="en-CA"/>
              </w:rPr>
              <w:t>SSPC</w:t>
            </w:r>
            <w:r>
              <w:rPr>
                <w:lang w:val="en-CA"/>
              </w:rPr>
              <w:t>.</w:t>
            </w:r>
          </w:p>
        </w:tc>
        <w:tc>
          <w:tcPr>
            <w:tcW w:w="3150" w:type="dxa"/>
          </w:tcPr>
          <w:p w14:paraId="49181391" w14:textId="77777777" w:rsidR="00855CB7" w:rsidRDefault="00855CB7" w:rsidP="00720834">
            <w:pPr>
              <w:pStyle w:val="TableText"/>
              <w:rPr>
                <w:lang w:val="en-CA"/>
              </w:rPr>
            </w:pPr>
            <w:r>
              <w:rPr>
                <w:lang w:val="en-CA"/>
              </w:rPr>
              <w:t xml:space="preserve">The </w:t>
            </w:r>
            <w:r>
              <w:rPr>
                <w:i/>
                <w:lang w:val="en-CA"/>
              </w:rPr>
              <w:t>market participant</w:t>
            </w:r>
            <w:r>
              <w:rPr>
                <w:lang w:val="en-CA"/>
              </w:rPr>
              <w:t xml:space="preserve"> notifies </w:t>
            </w:r>
            <w:r w:rsidR="00720834">
              <w:rPr>
                <w:lang w:val="en-CA"/>
              </w:rPr>
              <w:t>us</w:t>
            </w:r>
            <w:r>
              <w:rPr>
                <w:lang w:val="en-CA"/>
              </w:rPr>
              <w:t xml:space="preserve"> that the </w:t>
            </w:r>
            <w:r>
              <w:rPr>
                <w:i/>
                <w:lang w:val="en-CA"/>
              </w:rPr>
              <w:t>final settlement statement</w:t>
            </w:r>
            <w:r>
              <w:rPr>
                <w:lang w:val="en-CA"/>
              </w:rPr>
              <w:t>(s) was not issued or otherwise accessible in the established timeframe.</w:t>
            </w:r>
          </w:p>
        </w:tc>
        <w:tc>
          <w:tcPr>
            <w:tcW w:w="2160" w:type="dxa"/>
          </w:tcPr>
          <w:p w14:paraId="3BB3901F" w14:textId="77777777" w:rsidR="00855CB7" w:rsidRDefault="00855CB7">
            <w:pPr>
              <w:pStyle w:val="TableText"/>
              <w:rPr>
                <w:lang w:val="en-CA"/>
              </w:rPr>
            </w:pPr>
            <w:r>
              <w:rPr>
                <w:lang w:val="en-CA"/>
              </w:rPr>
              <w:t xml:space="preserve">After Step 5B.02 if </w:t>
            </w:r>
            <w:r>
              <w:rPr>
                <w:i/>
                <w:lang w:val="en-CA"/>
              </w:rPr>
              <w:t>final settlement statement(s)</w:t>
            </w:r>
            <w:r>
              <w:rPr>
                <w:lang w:val="en-CA"/>
              </w:rPr>
              <w:t xml:space="preserve"> not issued by date specified in </w:t>
            </w:r>
            <w:r>
              <w:rPr>
                <w:i/>
                <w:lang w:val="en-CA"/>
              </w:rPr>
              <w:t>SSPC</w:t>
            </w:r>
            <w:r>
              <w:rPr>
                <w:lang w:val="en-CA"/>
              </w:rPr>
              <w:t>.</w:t>
            </w:r>
          </w:p>
        </w:tc>
        <w:tc>
          <w:tcPr>
            <w:tcW w:w="2160" w:type="dxa"/>
          </w:tcPr>
          <w:p w14:paraId="72ACC50F" w14:textId="77777777" w:rsidR="00855CB7" w:rsidRDefault="00855CB7">
            <w:pPr>
              <w:pStyle w:val="TableText"/>
              <w:rPr>
                <w:lang w:val="en-CA"/>
              </w:rPr>
            </w:pPr>
            <w:r>
              <w:rPr>
                <w:lang w:val="en-CA"/>
              </w:rPr>
              <w:t xml:space="preserve">Notification that </w:t>
            </w:r>
            <w:r>
              <w:rPr>
                <w:i/>
                <w:lang w:val="en-CA"/>
              </w:rPr>
              <w:t>final settlement statement(s)</w:t>
            </w:r>
            <w:r>
              <w:rPr>
                <w:lang w:val="en-CA"/>
              </w:rPr>
              <w:t xml:space="preserve"> not issued.</w:t>
            </w:r>
          </w:p>
        </w:tc>
        <w:tc>
          <w:tcPr>
            <w:tcW w:w="2160" w:type="dxa"/>
          </w:tcPr>
          <w:p w14:paraId="6910BB72" w14:textId="77777777" w:rsidR="00855CB7" w:rsidRDefault="00855CB7">
            <w:pPr>
              <w:pStyle w:val="TableText"/>
              <w:rPr>
                <w:b/>
                <w:lang w:val="en-CA"/>
              </w:rPr>
            </w:pPr>
            <w:r>
              <w:rPr>
                <w:lang w:val="en-CA"/>
              </w:rPr>
              <w:t>E-mail or telephone.</w:t>
            </w:r>
          </w:p>
        </w:tc>
        <w:tc>
          <w:tcPr>
            <w:tcW w:w="2070" w:type="dxa"/>
          </w:tcPr>
          <w:p w14:paraId="41F3ECF0" w14:textId="77777777" w:rsidR="00855CB7" w:rsidRDefault="00855CB7">
            <w:pPr>
              <w:pStyle w:val="TableText"/>
              <w:rPr>
                <w:lang w:val="en-CA"/>
              </w:rPr>
            </w:pPr>
            <w:r>
              <w:rPr>
                <w:lang w:val="en-CA"/>
              </w:rPr>
              <w:t xml:space="preserve">Notification that </w:t>
            </w:r>
            <w:r>
              <w:rPr>
                <w:i/>
                <w:lang w:val="en-CA"/>
              </w:rPr>
              <w:t>final settlement statement(s)</w:t>
            </w:r>
            <w:r>
              <w:rPr>
                <w:lang w:val="en-CA"/>
              </w:rPr>
              <w:t xml:space="preserve"> not issued submitted to the </w:t>
            </w:r>
            <w:r>
              <w:rPr>
                <w:i/>
                <w:lang w:val="en-CA"/>
              </w:rPr>
              <w:t>IESO</w:t>
            </w:r>
            <w:r>
              <w:rPr>
                <w:lang w:val="en-CA"/>
              </w:rPr>
              <w:t>.</w:t>
            </w:r>
          </w:p>
        </w:tc>
      </w:tr>
      <w:tr w:rsidR="00855CB7" w14:paraId="5C6E77E4" w14:textId="77777777" w:rsidTr="007578A1">
        <w:trPr>
          <w:cantSplit/>
        </w:trPr>
        <w:tc>
          <w:tcPr>
            <w:tcW w:w="864" w:type="dxa"/>
          </w:tcPr>
          <w:p w14:paraId="2ECC1D7B" w14:textId="77777777" w:rsidR="00855CB7" w:rsidRDefault="00855CB7">
            <w:pPr>
              <w:pStyle w:val="TableText"/>
              <w:rPr>
                <w:lang w:val="en-CA"/>
              </w:rPr>
            </w:pPr>
            <w:r>
              <w:rPr>
                <w:lang w:val="en-CA"/>
              </w:rPr>
              <w:t>5B.04</w:t>
            </w:r>
          </w:p>
        </w:tc>
        <w:tc>
          <w:tcPr>
            <w:tcW w:w="2160" w:type="dxa"/>
          </w:tcPr>
          <w:p w14:paraId="6793C29C" w14:textId="77777777" w:rsidR="00855CB7" w:rsidRDefault="00855CB7">
            <w:pPr>
              <w:pStyle w:val="TableText"/>
              <w:rPr>
                <w:lang w:val="en-CA"/>
              </w:rPr>
            </w:pPr>
            <w:r>
              <w:rPr>
                <w:lang w:val="en-CA"/>
              </w:rPr>
              <w:t>Investigate and re</w:t>
            </w:r>
            <w:r>
              <w:rPr>
                <w:lang w:val="en-CA"/>
              </w:rPr>
              <w:noBreakHyphen/>
              <w:t xml:space="preserve">issue </w:t>
            </w:r>
            <w:r>
              <w:rPr>
                <w:i/>
                <w:lang w:val="en-CA"/>
              </w:rPr>
              <w:t>final settlement statement(s)</w:t>
            </w:r>
            <w:r>
              <w:rPr>
                <w:lang w:val="en-CA"/>
              </w:rPr>
              <w:t>, if necessary.</w:t>
            </w:r>
          </w:p>
        </w:tc>
        <w:tc>
          <w:tcPr>
            <w:tcW w:w="3150" w:type="dxa"/>
          </w:tcPr>
          <w:p w14:paraId="2A9DCD17" w14:textId="77777777" w:rsidR="000424C1" w:rsidRDefault="00720834">
            <w:pPr>
              <w:pStyle w:val="TableText"/>
              <w:rPr>
                <w:lang w:val="en-CA"/>
              </w:rPr>
            </w:pPr>
            <w:r>
              <w:rPr>
                <w:lang w:val="en-CA"/>
              </w:rPr>
              <w:t>W</w:t>
            </w:r>
            <w:r w:rsidRPr="007A6E66">
              <w:rPr>
                <w:lang w:val="en-CA"/>
              </w:rPr>
              <w:t>e</w:t>
            </w:r>
            <w:r w:rsidDel="00720834">
              <w:rPr>
                <w:lang w:val="en-CA"/>
              </w:rPr>
              <w:t xml:space="preserve"> </w:t>
            </w:r>
            <w:r w:rsidR="00855CB7">
              <w:rPr>
                <w:lang w:val="en-CA"/>
              </w:rPr>
              <w:t>investigate and re</w:t>
            </w:r>
            <w:r w:rsidR="00855CB7">
              <w:rPr>
                <w:lang w:val="en-CA"/>
              </w:rPr>
              <w:noBreakHyphen/>
              <w:t xml:space="preserve">issue the </w:t>
            </w:r>
            <w:r w:rsidR="00855CB7">
              <w:rPr>
                <w:i/>
                <w:lang w:val="en-CA"/>
              </w:rPr>
              <w:t xml:space="preserve">final settlement statement(s) </w:t>
            </w:r>
            <w:r w:rsidR="00855CB7">
              <w:rPr>
                <w:lang w:val="en-CA"/>
              </w:rPr>
              <w:t xml:space="preserve">for a given </w:t>
            </w:r>
            <w:r w:rsidR="00855CB7">
              <w:rPr>
                <w:i/>
                <w:lang w:val="en-CA"/>
              </w:rPr>
              <w:t>trading day</w:t>
            </w:r>
            <w:r w:rsidR="00855CB7">
              <w:rPr>
                <w:lang w:val="en-CA"/>
              </w:rPr>
              <w:t>, if the investigation determines that this is necessary.</w:t>
            </w:r>
          </w:p>
        </w:tc>
        <w:tc>
          <w:tcPr>
            <w:tcW w:w="2160" w:type="dxa"/>
          </w:tcPr>
          <w:p w14:paraId="02D1ACD9" w14:textId="77777777" w:rsidR="00855CB7" w:rsidRDefault="00855CB7">
            <w:pPr>
              <w:pStyle w:val="TableText"/>
              <w:rPr>
                <w:lang w:val="en-CA"/>
              </w:rPr>
            </w:pPr>
            <w:r>
              <w:rPr>
                <w:lang w:val="en-CA"/>
              </w:rPr>
              <w:t>After Step 5B.03.</w:t>
            </w:r>
          </w:p>
        </w:tc>
        <w:tc>
          <w:tcPr>
            <w:tcW w:w="2160" w:type="dxa"/>
          </w:tcPr>
          <w:p w14:paraId="40E0AADE" w14:textId="77777777" w:rsidR="00855CB7" w:rsidRDefault="00855CB7">
            <w:pPr>
              <w:pStyle w:val="TableText"/>
              <w:rPr>
                <w:lang w:val="en-CA"/>
              </w:rPr>
            </w:pPr>
            <w:r>
              <w:rPr>
                <w:i/>
                <w:lang w:val="en-CA"/>
              </w:rPr>
              <w:t>Final settlement statements</w:t>
            </w:r>
            <w:r>
              <w:rPr>
                <w:lang w:val="en-CA"/>
              </w:rPr>
              <w:t xml:space="preserve"> file(s) and companion data file.</w:t>
            </w:r>
          </w:p>
        </w:tc>
        <w:tc>
          <w:tcPr>
            <w:tcW w:w="2160" w:type="dxa"/>
          </w:tcPr>
          <w:p w14:paraId="0607DCAC" w14:textId="77777777" w:rsidR="00855CB7" w:rsidRDefault="00B75586">
            <w:pPr>
              <w:pStyle w:val="TableText"/>
              <w:rPr>
                <w:lang w:val="en-CA"/>
              </w:rPr>
            </w:pPr>
            <w:r>
              <w:rPr>
                <w:lang w:val="en-CA"/>
              </w:rPr>
              <w:t>IESO Report site</w:t>
            </w:r>
            <w:r>
              <w:rPr>
                <w:rStyle w:val="FootnoteReference"/>
                <w:lang w:val="en-CA"/>
              </w:rPr>
              <w:footnoteReference w:id="45"/>
            </w:r>
            <w:r w:rsidR="00F108E2">
              <w:rPr>
                <w:lang w:val="en-CA"/>
              </w:rPr>
              <w:t>.</w:t>
            </w:r>
          </w:p>
        </w:tc>
        <w:tc>
          <w:tcPr>
            <w:tcW w:w="2070" w:type="dxa"/>
          </w:tcPr>
          <w:p w14:paraId="76A96AAD" w14:textId="77777777" w:rsidR="00855CB7" w:rsidRDefault="00855CB7">
            <w:pPr>
              <w:pStyle w:val="TableText"/>
              <w:rPr>
                <w:lang w:val="en-CA"/>
              </w:rPr>
            </w:pPr>
            <w:r>
              <w:rPr>
                <w:i/>
                <w:lang w:val="en-CA"/>
              </w:rPr>
              <w:t>Final settlement statement(s)</w:t>
            </w:r>
            <w:r>
              <w:rPr>
                <w:lang w:val="en-CA"/>
              </w:rPr>
              <w:t xml:space="preserve"> re</w:t>
            </w:r>
            <w:r>
              <w:rPr>
                <w:lang w:val="en-CA"/>
              </w:rPr>
              <w:noBreakHyphen/>
              <w:t xml:space="preserve">issued by the </w:t>
            </w:r>
            <w:r>
              <w:rPr>
                <w:i/>
                <w:lang w:val="en-CA"/>
              </w:rPr>
              <w:t>IESO</w:t>
            </w:r>
            <w:r>
              <w:rPr>
                <w:lang w:val="en-CA"/>
              </w:rPr>
              <w:t>.</w:t>
            </w:r>
          </w:p>
        </w:tc>
      </w:tr>
      <w:tr w:rsidR="00855CB7" w14:paraId="5A57385B" w14:textId="77777777" w:rsidTr="007578A1">
        <w:tc>
          <w:tcPr>
            <w:tcW w:w="864" w:type="dxa"/>
          </w:tcPr>
          <w:p w14:paraId="14FA4836" w14:textId="77777777" w:rsidR="00855CB7" w:rsidRDefault="00855CB7">
            <w:pPr>
              <w:pStyle w:val="TableText"/>
              <w:rPr>
                <w:lang w:val="en-CA"/>
              </w:rPr>
            </w:pPr>
            <w:r>
              <w:rPr>
                <w:lang w:val="en-CA"/>
              </w:rPr>
              <w:t>5B.05</w:t>
            </w:r>
          </w:p>
        </w:tc>
        <w:tc>
          <w:tcPr>
            <w:tcW w:w="2160" w:type="dxa"/>
          </w:tcPr>
          <w:p w14:paraId="60B1060C" w14:textId="77777777" w:rsidR="00855CB7" w:rsidRDefault="00855CB7">
            <w:pPr>
              <w:pStyle w:val="TableText"/>
              <w:rPr>
                <w:lang w:val="en-CA"/>
              </w:rPr>
            </w:pPr>
            <w:r>
              <w:rPr>
                <w:lang w:val="en-CA"/>
              </w:rPr>
              <w:t xml:space="preserve">Download and review </w:t>
            </w:r>
            <w:r>
              <w:rPr>
                <w:i/>
                <w:lang w:val="en-CA"/>
              </w:rPr>
              <w:t>final settlement statement(s)</w:t>
            </w:r>
            <w:r>
              <w:rPr>
                <w:lang w:val="en-CA"/>
              </w:rPr>
              <w:t>.</w:t>
            </w:r>
          </w:p>
        </w:tc>
        <w:tc>
          <w:tcPr>
            <w:tcW w:w="3150" w:type="dxa"/>
          </w:tcPr>
          <w:p w14:paraId="0241F0AD" w14:textId="77777777" w:rsidR="00855CB7" w:rsidRDefault="00855CB7">
            <w:pPr>
              <w:pStyle w:val="TableText"/>
              <w:rPr>
                <w:lang w:val="en-CA"/>
              </w:rPr>
            </w:pPr>
            <w:r>
              <w:rPr>
                <w:lang w:val="en-CA"/>
              </w:rPr>
              <w:t xml:space="preserve">The </w:t>
            </w:r>
            <w:r>
              <w:rPr>
                <w:i/>
                <w:lang w:val="en-CA"/>
              </w:rPr>
              <w:t>market participant</w:t>
            </w:r>
            <w:r>
              <w:rPr>
                <w:lang w:val="en-CA"/>
              </w:rPr>
              <w:t xml:space="preserve"> downloads the </w:t>
            </w:r>
            <w:r>
              <w:rPr>
                <w:i/>
                <w:lang w:val="en-CA"/>
              </w:rPr>
              <w:t>final settlement statement(s)</w:t>
            </w:r>
            <w:r>
              <w:rPr>
                <w:lang w:val="en-CA"/>
              </w:rPr>
              <w:t xml:space="preserve"> from the </w:t>
            </w:r>
            <w:r w:rsidR="00B75586">
              <w:rPr>
                <w:lang w:val="en-CA"/>
              </w:rPr>
              <w:t>IESO Report Site</w:t>
            </w:r>
            <w:r>
              <w:rPr>
                <w:lang w:val="en-CA"/>
              </w:rPr>
              <w:t xml:space="preserve"> and reviews the statement for issues.</w:t>
            </w:r>
          </w:p>
          <w:p w14:paraId="36BAC90E" w14:textId="77777777" w:rsidR="00855CB7" w:rsidRDefault="00855CB7">
            <w:pPr>
              <w:pStyle w:val="TableText"/>
              <w:rPr>
                <w:lang w:val="en-CA"/>
              </w:rPr>
            </w:pPr>
            <w:r>
              <w:rPr>
                <w:lang w:val="en-CA"/>
              </w:rPr>
              <w:t>Where an issue is identified that</w:t>
            </w:r>
            <w:r w:rsidR="00533FF6">
              <w:rPr>
                <w:lang w:val="en-CA"/>
              </w:rPr>
              <w:t xml:space="preserve"> </w:t>
            </w:r>
            <w:r w:rsidR="00726B5C">
              <w:rPr>
                <w:lang w:val="en-CA"/>
              </w:rPr>
              <w:t xml:space="preserve">consists </w:t>
            </w:r>
            <w:r>
              <w:rPr>
                <w:lang w:val="en-CA"/>
              </w:rPr>
              <w:t xml:space="preserve">of an adjustment to the corresponding </w:t>
            </w:r>
            <w:r>
              <w:rPr>
                <w:i/>
                <w:lang w:val="en-CA"/>
              </w:rPr>
              <w:t>preliminary settlement statement</w:t>
            </w:r>
            <w:r>
              <w:rPr>
                <w:lang w:val="en-CA"/>
              </w:rPr>
              <w:t xml:space="preserve"> resulting from a </w:t>
            </w:r>
            <w:r>
              <w:rPr>
                <w:i/>
                <w:lang w:val="en-CA"/>
              </w:rPr>
              <w:t>notice of disagreement</w:t>
            </w:r>
            <w:r>
              <w:rPr>
                <w:lang w:val="en-CA"/>
              </w:rPr>
              <w:t xml:space="preserve"> and that does not reflect the agreement between </w:t>
            </w:r>
            <w:r w:rsidR="00720834">
              <w:rPr>
                <w:lang w:val="en-CA"/>
              </w:rPr>
              <w:t>us</w:t>
            </w:r>
            <w:r>
              <w:rPr>
                <w:lang w:val="en-CA"/>
              </w:rPr>
              <w:t xml:space="preserve"> and the </w:t>
            </w:r>
            <w:r>
              <w:rPr>
                <w:i/>
                <w:lang w:val="en-CA"/>
              </w:rPr>
              <w:t xml:space="preserve">market participant </w:t>
            </w:r>
            <w:r>
              <w:rPr>
                <w:lang w:val="en-CA"/>
              </w:rPr>
              <w:t>as to the adjustment</w:t>
            </w:r>
            <w:r w:rsidR="00F02ADD">
              <w:rPr>
                <w:lang w:val="en-CA"/>
              </w:rPr>
              <w:t>; or</w:t>
            </w:r>
            <w:r w:rsidR="009A7B63">
              <w:rPr>
                <w:lang w:val="en-CA"/>
              </w:rPr>
              <w:t xml:space="preserve"> </w:t>
            </w:r>
            <w:r w:rsidR="00F02ADD">
              <w:rPr>
                <w:lang w:val="en-CA"/>
              </w:rPr>
              <w:t xml:space="preserve">differs </w:t>
            </w:r>
            <w:r>
              <w:rPr>
                <w:lang w:val="en-CA"/>
              </w:rPr>
              <w:t xml:space="preserve">in amount from the same item or calculation set forth on the corresponding  </w:t>
            </w:r>
            <w:r>
              <w:rPr>
                <w:i/>
                <w:lang w:val="en-CA"/>
              </w:rPr>
              <w:t>preliminary settlement statement</w:t>
            </w:r>
            <w:r>
              <w:rPr>
                <w:lang w:val="en-CA"/>
              </w:rPr>
              <w:t xml:space="preserve"> and is not an item or calculation identified on the </w:t>
            </w:r>
            <w:r>
              <w:rPr>
                <w:i/>
                <w:lang w:val="en-CA"/>
              </w:rPr>
              <w:t>final settlement statement</w:t>
            </w:r>
            <w:r>
              <w:rPr>
                <w:lang w:val="en-CA"/>
              </w:rPr>
              <w:t xml:space="preserve"> as being associated with an adjustment flag (indicating that an adjustment has been made),</w:t>
            </w:r>
            <w:r w:rsidR="00533FF6">
              <w:rPr>
                <w:lang w:val="en-CA"/>
              </w:rPr>
              <w:t xml:space="preserve"> </w:t>
            </w:r>
            <w:r>
              <w:rPr>
                <w:lang w:val="en-CA"/>
              </w:rPr>
              <w:t xml:space="preserve">the </w:t>
            </w:r>
            <w:r>
              <w:rPr>
                <w:i/>
                <w:lang w:val="en-CA"/>
              </w:rPr>
              <w:t>market participant</w:t>
            </w:r>
            <w:r>
              <w:rPr>
                <w:lang w:val="en-CA"/>
              </w:rPr>
              <w:t xml:space="preserve"> may raise an inquiry with </w:t>
            </w:r>
            <w:r w:rsidR="00720834">
              <w:rPr>
                <w:lang w:val="en-CA"/>
              </w:rPr>
              <w:t>us</w:t>
            </w:r>
            <w:r>
              <w:rPr>
                <w:lang w:val="en-CA"/>
              </w:rPr>
              <w:t>.</w:t>
            </w:r>
          </w:p>
          <w:p w14:paraId="36BFFE5F" w14:textId="77777777" w:rsidR="00855CB7" w:rsidRDefault="00855CB7">
            <w:pPr>
              <w:pStyle w:val="TableText"/>
              <w:rPr>
                <w:lang w:val="en-CA"/>
              </w:rPr>
            </w:pPr>
            <w:r>
              <w:rPr>
                <w:lang w:val="en-CA"/>
              </w:rPr>
              <w:t xml:space="preserve">Alternatively, where an issue is not resolved, the </w:t>
            </w:r>
            <w:r>
              <w:rPr>
                <w:i/>
                <w:lang w:val="en-CA"/>
              </w:rPr>
              <w:t>market participant</w:t>
            </w:r>
            <w:r>
              <w:rPr>
                <w:lang w:val="en-CA"/>
              </w:rPr>
              <w:t xml:space="preserve"> may raise a dispute, within 20 </w:t>
            </w:r>
            <w:r>
              <w:rPr>
                <w:i/>
                <w:lang w:val="en-CA"/>
              </w:rPr>
              <w:t>business days</w:t>
            </w:r>
            <w:r>
              <w:rPr>
                <w:lang w:val="en-CA"/>
              </w:rPr>
              <w:t xml:space="preserve"> of the issue date of the </w:t>
            </w:r>
            <w:r>
              <w:rPr>
                <w:i/>
                <w:lang w:val="en-CA"/>
              </w:rPr>
              <w:t>final settlement statement</w:t>
            </w:r>
            <w:r>
              <w:rPr>
                <w:lang w:val="en-CA"/>
              </w:rPr>
              <w:t>.</w:t>
            </w:r>
          </w:p>
        </w:tc>
        <w:tc>
          <w:tcPr>
            <w:tcW w:w="2160" w:type="dxa"/>
          </w:tcPr>
          <w:p w14:paraId="7E8E5CA6" w14:textId="77777777" w:rsidR="00855CB7" w:rsidRDefault="00855CB7">
            <w:pPr>
              <w:pStyle w:val="TableText"/>
              <w:rPr>
                <w:lang w:val="en-CA"/>
              </w:rPr>
            </w:pPr>
            <w:r>
              <w:rPr>
                <w:lang w:val="en-CA"/>
              </w:rPr>
              <w:t>After Step 5B.05.</w:t>
            </w:r>
          </w:p>
        </w:tc>
        <w:tc>
          <w:tcPr>
            <w:tcW w:w="2160" w:type="dxa"/>
          </w:tcPr>
          <w:p w14:paraId="368539DA" w14:textId="77777777" w:rsidR="00855CB7" w:rsidRDefault="00855CB7">
            <w:pPr>
              <w:pStyle w:val="TableText"/>
              <w:rPr>
                <w:lang w:val="en-CA"/>
              </w:rPr>
            </w:pPr>
            <w:r>
              <w:rPr>
                <w:lang w:val="en-CA"/>
              </w:rPr>
              <w:t>None.</w:t>
            </w:r>
          </w:p>
        </w:tc>
        <w:tc>
          <w:tcPr>
            <w:tcW w:w="2160" w:type="dxa"/>
          </w:tcPr>
          <w:p w14:paraId="30092940" w14:textId="77777777" w:rsidR="00855CB7" w:rsidRDefault="00855CB7">
            <w:pPr>
              <w:pStyle w:val="TableText"/>
              <w:rPr>
                <w:lang w:val="en-CA"/>
              </w:rPr>
            </w:pPr>
            <w:r>
              <w:rPr>
                <w:lang w:val="en-CA"/>
              </w:rPr>
              <w:t>None.</w:t>
            </w:r>
          </w:p>
        </w:tc>
        <w:tc>
          <w:tcPr>
            <w:tcW w:w="2070" w:type="dxa"/>
          </w:tcPr>
          <w:p w14:paraId="6A8059E8" w14:textId="77777777" w:rsidR="00855CB7" w:rsidRDefault="00855CB7">
            <w:pPr>
              <w:pStyle w:val="TableText"/>
              <w:rPr>
                <w:lang w:val="en-CA"/>
              </w:rPr>
            </w:pPr>
            <w:r>
              <w:rPr>
                <w:i/>
                <w:lang w:val="en-CA"/>
              </w:rPr>
              <w:t>Final settlement statement(s)</w:t>
            </w:r>
            <w:r>
              <w:rPr>
                <w:lang w:val="en-CA"/>
              </w:rPr>
              <w:t xml:space="preserve"> downloaded.</w:t>
            </w:r>
          </w:p>
          <w:p w14:paraId="59061B6E" w14:textId="77777777" w:rsidR="00855CB7" w:rsidRDefault="00855CB7">
            <w:pPr>
              <w:pStyle w:val="TableText"/>
              <w:rPr>
                <w:lang w:val="en-CA"/>
              </w:rPr>
            </w:pPr>
            <w:r>
              <w:rPr>
                <w:lang w:val="en-CA"/>
              </w:rPr>
              <w:t>See “Market Manual 2: Market Administration, Part 2.1 Dispute Resolution”</w:t>
            </w:r>
            <w:r>
              <w:rPr>
                <w:i/>
                <w:lang w:val="en-CA"/>
              </w:rPr>
              <w:t xml:space="preserve"> </w:t>
            </w:r>
            <w:r>
              <w:rPr>
                <w:lang w:val="en-CA"/>
              </w:rPr>
              <w:t>for details of the dispute resolution process.</w:t>
            </w:r>
          </w:p>
        </w:tc>
      </w:tr>
      <w:tr w:rsidR="00855CB7" w14:paraId="147B63C6" w14:textId="77777777" w:rsidTr="007578A1">
        <w:tc>
          <w:tcPr>
            <w:tcW w:w="864" w:type="dxa"/>
          </w:tcPr>
          <w:p w14:paraId="5F19DC64" w14:textId="77777777" w:rsidR="00855CB7" w:rsidRDefault="00855CB7">
            <w:pPr>
              <w:pStyle w:val="TableText"/>
              <w:rPr>
                <w:lang w:val="en-CA"/>
              </w:rPr>
            </w:pPr>
            <w:r>
              <w:rPr>
                <w:lang w:val="en-CA"/>
              </w:rPr>
              <w:t>5B.06</w:t>
            </w:r>
          </w:p>
        </w:tc>
        <w:tc>
          <w:tcPr>
            <w:tcW w:w="2160" w:type="dxa"/>
          </w:tcPr>
          <w:p w14:paraId="7E28C04A" w14:textId="77777777" w:rsidR="00855CB7" w:rsidRDefault="00855CB7">
            <w:pPr>
              <w:pStyle w:val="TableText"/>
              <w:rPr>
                <w:lang w:val="en-CA"/>
              </w:rPr>
            </w:pPr>
            <w:r>
              <w:rPr>
                <w:lang w:val="en-CA"/>
              </w:rPr>
              <w:t xml:space="preserve">Raise and discuss informal disagreement on </w:t>
            </w:r>
            <w:r>
              <w:rPr>
                <w:i/>
                <w:lang w:val="en-CA"/>
              </w:rPr>
              <w:t>final settlement statement(s)</w:t>
            </w:r>
            <w:r>
              <w:rPr>
                <w:lang w:val="en-CA"/>
              </w:rPr>
              <w:t>.</w:t>
            </w:r>
          </w:p>
        </w:tc>
        <w:tc>
          <w:tcPr>
            <w:tcW w:w="3150" w:type="dxa"/>
          </w:tcPr>
          <w:p w14:paraId="7C65E086" w14:textId="77777777" w:rsidR="00855CB7" w:rsidRDefault="00855CB7">
            <w:pPr>
              <w:pStyle w:val="TableText"/>
              <w:rPr>
                <w:lang w:val="en-CA"/>
              </w:rPr>
            </w:pPr>
            <w:r>
              <w:rPr>
                <w:lang w:val="en-CA"/>
              </w:rPr>
              <w:t xml:space="preserve">The </w:t>
            </w:r>
            <w:r>
              <w:rPr>
                <w:i/>
                <w:lang w:val="en-CA"/>
              </w:rPr>
              <w:t>market participant</w:t>
            </w:r>
            <w:r>
              <w:rPr>
                <w:lang w:val="en-CA"/>
              </w:rPr>
              <w:t xml:space="preserve"> raises an informal disagreement on the </w:t>
            </w:r>
            <w:r>
              <w:rPr>
                <w:i/>
                <w:lang w:val="en-CA"/>
              </w:rPr>
              <w:t>final settlement statement(s)</w:t>
            </w:r>
            <w:r>
              <w:rPr>
                <w:lang w:val="en-CA"/>
              </w:rPr>
              <w:t xml:space="preserve"> (as outlined in Step 5B.05) with </w:t>
            </w:r>
            <w:r w:rsidR="00720834">
              <w:rPr>
                <w:lang w:val="en-CA"/>
              </w:rPr>
              <w:t>us</w:t>
            </w:r>
            <w:r>
              <w:rPr>
                <w:lang w:val="en-CA"/>
              </w:rPr>
              <w:t xml:space="preserve"> and discusses this with </w:t>
            </w:r>
            <w:r w:rsidR="00720834">
              <w:rPr>
                <w:lang w:val="en-CA"/>
              </w:rPr>
              <w:t>us</w:t>
            </w:r>
            <w:r>
              <w:rPr>
                <w:lang w:val="en-CA"/>
              </w:rPr>
              <w:t>.</w:t>
            </w:r>
          </w:p>
          <w:p w14:paraId="6B636871" w14:textId="77777777" w:rsidR="00855CB7" w:rsidRDefault="00855CB7">
            <w:pPr>
              <w:pStyle w:val="TableText"/>
              <w:rPr>
                <w:lang w:val="en-CA"/>
              </w:rPr>
            </w:pPr>
            <w:r>
              <w:rPr>
                <w:lang w:val="en-CA"/>
              </w:rPr>
              <w:t xml:space="preserve">If the issue is resolved, no further action is taken by the </w:t>
            </w:r>
            <w:r>
              <w:rPr>
                <w:i/>
                <w:lang w:val="en-CA"/>
              </w:rPr>
              <w:t>market participant</w:t>
            </w:r>
            <w:r>
              <w:rPr>
                <w:lang w:val="en-CA"/>
              </w:rPr>
              <w:t>.</w:t>
            </w:r>
          </w:p>
          <w:p w14:paraId="5FAAA951" w14:textId="77777777" w:rsidR="00855CB7" w:rsidRDefault="00855CB7">
            <w:pPr>
              <w:pStyle w:val="TableText"/>
              <w:rPr>
                <w:lang w:val="en-CA"/>
              </w:rPr>
            </w:pPr>
            <w:r>
              <w:rPr>
                <w:lang w:val="en-CA"/>
              </w:rPr>
              <w:t xml:space="preserve">If the issue is not resolved, the </w:t>
            </w:r>
            <w:r>
              <w:rPr>
                <w:i/>
                <w:lang w:val="en-CA"/>
              </w:rPr>
              <w:t>market participant</w:t>
            </w:r>
            <w:r>
              <w:rPr>
                <w:lang w:val="en-CA"/>
              </w:rPr>
              <w:t xml:space="preserve"> may decide to pursue the issue through the dispute resolution process, within 20 </w:t>
            </w:r>
            <w:r>
              <w:rPr>
                <w:i/>
                <w:lang w:val="en-CA"/>
              </w:rPr>
              <w:t>business days</w:t>
            </w:r>
            <w:r>
              <w:rPr>
                <w:lang w:val="en-CA"/>
              </w:rPr>
              <w:t xml:space="preserve"> of the issue date of the </w:t>
            </w:r>
            <w:r>
              <w:rPr>
                <w:i/>
                <w:lang w:val="en-CA"/>
              </w:rPr>
              <w:t>final settlement statement</w:t>
            </w:r>
            <w:r>
              <w:rPr>
                <w:lang w:val="en-CA"/>
              </w:rPr>
              <w:t>.</w:t>
            </w:r>
          </w:p>
        </w:tc>
        <w:tc>
          <w:tcPr>
            <w:tcW w:w="2160" w:type="dxa"/>
          </w:tcPr>
          <w:p w14:paraId="312E626A" w14:textId="77777777" w:rsidR="00855CB7" w:rsidRDefault="00855CB7">
            <w:pPr>
              <w:pStyle w:val="TableText"/>
              <w:rPr>
                <w:lang w:val="en-CA"/>
              </w:rPr>
            </w:pPr>
            <w:r>
              <w:rPr>
                <w:lang w:val="en-CA"/>
              </w:rPr>
              <w:t>Following Step 5B.05, when a disagreement is identified.</w:t>
            </w:r>
          </w:p>
        </w:tc>
        <w:tc>
          <w:tcPr>
            <w:tcW w:w="2160" w:type="dxa"/>
          </w:tcPr>
          <w:p w14:paraId="5B825C1D" w14:textId="77777777" w:rsidR="00855CB7" w:rsidRDefault="00855CB7">
            <w:pPr>
              <w:pStyle w:val="TableText"/>
              <w:rPr>
                <w:lang w:val="en-CA"/>
              </w:rPr>
            </w:pPr>
            <w:r>
              <w:rPr>
                <w:lang w:val="en-CA"/>
              </w:rPr>
              <w:t>Informal Disagreement, if required.</w:t>
            </w:r>
          </w:p>
        </w:tc>
        <w:tc>
          <w:tcPr>
            <w:tcW w:w="2160" w:type="dxa"/>
          </w:tcPr>
          <w:p w14:paraId="3314BC0C" w14:textId="77777777" w:rsidR="00855CB7" w:rsidRDefault="00855CB7">
            <w:pPr>
              <w:pStyle w:val="TableText"/>
              <w:rPr>
                <w:lang w:val="en-CA"/>
              </w:rPr>
            </w:pPr>
            <w:r>
              <w:rPr>
                <w:lang w:val="en-CA"/>
              </w:rPr>
              <w:t>Telephone, e-mail, fax.</w:t>
            </w:r>
          </w:p>
        </w:tc>
        <w:tc>
          <w:tcPr>
            <w:tcW w:w="2070" w:type="dxa"/>
          </w:tcPr>
          <w:p w14:paraId="3D7EE756" w14:textId="77777777" w:rsidR="00855CB7" w:rsidRDefault="00855CB7">
            <w:pPr>
              <w:pStyle w:val="TableText"/>
              <w:rPr>
                <w:lang w:val="en-CA"/>
              </w:rPr>
            </w:pPr>
            <w:r>
              <w:rPr>
                <w:lang w:val="en-CA"/>
              </w:rPr>
              <w:t>Issue resolved or submitted for dispute resolution.</w:t>
            </w:r>
          </w:p>
          <w:p w14:paraId="487D92F4" w14:textId="77777777" w:rsidR="00855CB7" w:rsidRDefault="00855CB7">
            <w:pPr>
              <w:pStyle w:val="TableText"/>
              <w:rPr>
                <w:lang w:val="en-CA"/>
              </w:rPr>
            </w:pPr>
            <w:r>
              <w:rPr>
                <w:lang w:val="en-CA"/>
              </w:rPr>
              <w:t>See “Market Manual 2: Market Administration, Part 2.1 Dispute Resolution”</w:t>
            </w:r>
            <w:r>
              <w:rPr>
                <w:i/>
                <w:lang w:val="en-CA"/>
              </w:rPr>
              <w:t xml:space="preserve"> </w:t>
            </w:r>
            <w:r>
              <w:rPr>
                <w:lang w:val="en-CA"/>
              </w:rPr>
              <w:t>for details of the dispute resolution process.</w:t>
            </w:r>
          </w:p>
        </w:tc>
      </w:tr>
      <w:tr w:rsidR="00855CB7" w14:paraId="7FA11EB7" w14:textId="77777777" w:rsidTr="007578A1">
        <w:trPr>
          <w:cantSplit/>
        </w:trPr>
        <w:tc>
          <w:tcPr>
            <w:tcW w:w="864" w:type="dxa"/>
          </w:tcPr>
          <w:p w14:paraId="5CAF6132" w14:textId="77777777" w:rsidR="00855CB7" w:rsidRDefault="00855CB7">
            <w:pPr>
              <w:pStyle w:val="TableText"/>
              <w:rPr>
                <w:lang w:val="en-CA"/>
              </w:rPr>
            </w:pPr>
            <w:r>
              <w:rPr>
                <w:lang w:val="en-CA"/>
              </w:rPr>
              <w:t>5B.07</w:t>
            </w:r>
          </w:p>
        </w:tc>
        <w:tc>
          <w:tcPr>
            <w:tcW w:w="2160" w:type="dxa"/>
          </w:tcPr>
          <w:p w14:paraId="4F3092D4" w14:textId="77777777" w:rsidR="00855CB7" w:rsidRDefault="00855CB7">
            <w:pPr>
              <w:pStyle w:val="TableText"/>
              <w:rPr>
                <w:lang w:val="en-CA"/>
              </w:rPr>
            </w:pPr>
            <w:r>
              <w:rPr>
                <w:lang w:val="en-CA"/>
              </w:rPr>
              <w:t>Seek resolution of informal disagreement, where possible.</w:t>
            </w:r>
          </w:p>
        </w:tc>
        <w:tc>
          <w:tcPr>
            <w:tcW w:w="3150" w:type="dxa"/>
          </w:tcPr>
          <w:p w14:paraId="157DBCCA" w14:textId="77777777" w:rsidR="00855CB7" w:rsidRDefault="00ED530F" w:rsidP="00ED530F">
            <w:pPr>
              <w:pStyle w:val="TableText"/>
              <w:rPr>
                <w:lang w:val="en-CA"/>
              </w:rPr>
            </w:pPr>
            <w:r>
              <w:rPr>
                <w:lang w:val="en-CA"/>
              </w:rPr>
              <w:t>W</w:t>
            </w:r>
            <w:r w:rsidRPr="007A6E66">
              <w:rPr>
                <w:lang w:val="en-CA"/>
              </w:rPr>
              <w:t>e</w:t>
            </w:r>
            <w:r w:rsidDel="00ED530F">
              <w:rPr>
                <w:lang w:val="en-CA"/>
              </w:rPr>
              <w:t xml:space="preserve"> </w:t>
            </w:r>
            <w:r w:rsidR="00855CB7">
              <w:rPr>
                <w:lang w:val="en-CA"/>
              </w:rPr>
              <w:t xml:space="preserve">seek a resolution of the informal disagreement raised by the </w:t>
            </w:r>
            <w:r w:rsidR="00855CB7">
              <w:rPr>
                <w:i/>
                <w:lang w:val="en-CA"/>
              </w:rPr>
              <w:t>market participant</w:t>
            </w:r>
            <w:r w:rsidR="00855CB7">
              <w:rPr>
                <w:lang w:val="en-CA"/>
              </w:rPr>
              <w:t>.</w:t>
            </w:r>
          </w:p>
        </w:tc>
        <w:tc>
          <w:tcPr>
            <w:tcW w:w="2160" w:type="dxa"/>
          </w:tcPr>
          <w:p w14:paraId="13C048D5" w14:textId="77777777" w:rsidR="00855CB7" w:rsidRDefault="00855CB7">
            <w:pPr>
              <w:pStyle w:val="TableText"/>
              <w:rPr>
                <w:lang w:val="en-CA"/>
              </w:rPr>
            </w:pPr>
            <w:r>
              <w:rPr>
                <w:lang w:val="en-CA"/>
              </w:rPr>
              <w:t>Following Step 5B.06.</w:t>
            </w:r>
          </w:p>
        </w:tc>
        <w:tc>
          <w:tcPr>
            <w:tcW w:w="2160" w:type="dxa"/>
          </w:tcPr>
          <w:p w14:paraId="52B6D6BD" w14:textId="77777777" w:rsidR="00855CB7" w:rsidRDefault="00855CB7">
            <w:pPr>
              <w:pStyle w:val="TableText"/>
              <w:rPr>
                <w:lang w:val="en-CA"/>
              </w:rPr>
            </w:pPr>
            <w:r>
              <w:rPr>
                <w:lang w:val="en-CA"/>
              </w:rPr>
              <w:t xml:space="preserve">Discussion with </w:t>
            </w:r>
            <w:r>
              <w:rPr>
                <w:i/>
                <w:lang w:val="en-CA"/>
              </w:rPr>
              <w:t>market participant</w:t>
            </w:r>
            <w:r>
              <w:rPr>
                <w:lang w:val="en-CA"/>
              </w:rPr>
              <w:t>.</w:t>
            </w:r>
          </w:p>
        </w:tc>
        <w:tc>
          <w:tcPr>
            <w:tcW w:w="2160" w:type="dxa"/>
          </w:tcPr>
          <w:p w14:paraId="4B58F5D0" w14:textId="77777777" w:rsidR="00855CB7" w:rsidRDefault="00855CB7">
            <w:pPr>
              <w:pStyle w:val="TableText"/>
              <w:rPr>
                <w:lang w:val="en-CA"/>
              </w:rPr>
            </w:pPr>
            <w:r>
              <w:rPr>
                <w:lang w:val="en-CA"/>
              </w:rPr>
              <w:t>Telephone, e-mail, fax.</w:t>
            </w:r>
          </w:p>
        </w:tc>
        <w:tc>
          <w:tcPr>
            <w:tcW w:w="2070" w:type="dxa"/>
          </w:tcPr>
          <w:p w14:paraId="2EDB0EA5" w14:textId="77777777" w:rsidR="00855CB7" w:rsidRDefault="00855CB7">
            <w:pPr>
              <w:pStyle w:val="TableText"/>
              <w:rPr>
                <w:lang w:val="en-CA"/>
              </w:rPr>
            </w:pPr>
            <w:r>
              <w:rPr>
                <w:lang w:val="en-CA"/>
              </w:rPr>
              <w:t>Issue resolved or submitted for dispute resolution.</w:t>
            </w:r>
          </w:p>
          <w:p w14:paraId="24CDA0DE" w14:textId="77777777" w:rsidR="00855CB7" w:rsidRDefault="00855CB7">
            <w:pPr>
              <w:pStyle w:val="TableText"/>
              <w:rPr>
                <w:lang w:val="en-CA"/>
              </w:rPr>
            </w:pPr>
            <w:r>
              <w:rPr>
                <w:lang w:val="en-CA"/>
              </w:rPr>
              <w:t>See “Market Manual 2: Dispute Resolution”</w:t>
            </w:r>
            <w:r>
              <w:rPr>
                <w:i/>
                <w:lang w:val="en-CA"/>
              </w:rPr>
              <w:t xml:space="preserve"> </w:t>
            </w:r>
            <w:r>
              <w:rPr>
                <w:lang w:val="en-CA"/>
              </w:rPr>
              <w:t>for details of the dispute resolution process.</w:t>
            </w:r>
          </w:p>
        </w:tc>
      </w:tr>
    </w:tbl>
    <w:p w14:paraId="632449EA" w14:textId="3845C9FC" w:rsidR="00855CB7" w:rsidRDefault="00ED530F">
      <w:pPr>
        <w:pStyle w:val="Heading2"/>
        <w:pageBreakBefore/>
        <w:spacing w:before="240"/>
        <w:rPr>
          <w:lang w:val="en-CA"/>
        </w:rPr>
      </w:pPr>
      <w:bookmarkStart w:id="1469" w:name="_Toc305082810"/>
      <w:bookmarkStart w:id="1470" w:name="_Toc305155120"/>
      <w:bookmarkStart w:id="1471" w:name="_Toc32038456"/>
      <w:bookmarkStart w:id="1472" w:name="_Toc175383920"/>
      <w:bookmarkStart w:id="1473" w:name="_Toc400369546"/>
      <w:bookmarkStart w:id="1474" w:name="_Toc35796384"/>
      <w:bookmarkStart w:id="1475" w:name="_Toc79657986"/>
      <w:bookmarkEnd w:id="1469"/>
      <w:bookmarkEnd w:id="1470"/>
      <w:r>
        <w:rPr>
          <w:lang w:val="en-CA"/>
        </w:rPr>
        <w:t xml:space="preserve">Designating </w:t>
      </w:r>
      <w:r w:rsidR="00855CB7">
        <w:rPr>
          <w:lang w:val="en-CA"/>
        </w:rPr>
        <w:t>Facility for Generation Station Service Rebate</w:t>
      </w:r>
      <w:bookmarkEnd w:id="1471"/>
      <w:bookmarkEnd w:id="1472"/>
      <w:bookmarkEnd w:id="1473"/>
      <w:bookmarkEnd w:id="1474"/>
      <w:r w:rsidR="00610869">
        <w:rPr>
          <w:lang w:val="en-CA"/>
        </w:rPr>
        <w:t xml:space="preserve"> or Electricity Storage Station Service Rebate</w:t>
      </w:r>
      <w:bookmarkEnd w:id="1475"/>
    </w:p>
    <w:p w14:paraId="02348488" w14:textId="77777777" w:rsidR="00855CB7" w:rsidRDefault="00855CB7">
      <w:pPr>
        <w:pStyle w:val="BodyText"/>
        <w:rPr>
          <w:lang w:val="en-CA"/>
        </w:rPr>
      </w:pPr>
      <w:r>
        <w:rPr>
          <w:i/>
          <w:snapToGrid w:val="0"/>
          <w:lang w:val="en-CA"/>
        </w:rPr>
        <w:t>Metered market participants</w:t>
      </w:r>
      <w:r>
        <w:rPr>
          <w:snapToGrid w:val="0"/>
          <w:lang w:val="en-CA"/>
        </w:rPr>
        <w:t xml:space="preserve"> should retrieve </w:t>
      </w:r>
      <w:r w:rsidR="00E33158">
        <w:rPr>
          <w:snapToGrid w:val="0"/>
          <w:lang w:val="en-CA"/>
        </w:rPr>
        <w:t>IMO_FORM_1419</w:t>
      </w:r>
      <w:r>
        <w:rPr>
          <w:snapToGrid w:val="0"/>
          <w:lang w:val="en-CA"/>
        </w:rPr>
        <w:t xml:space="preserve"> “Application for Designation of a Facility for Generation Station Service Rebate” in order to apply for a rebate. </w:t>
      </w:r>
      <w:r w:rsidR="00B97C8B">
        <w:rPr>
          <w:snapToGrid w:val="0"/>
          <w:lang w:val="en-CA"/>
        </w:rPr>
        <w:t xml:space="preserve"> </w:t>
      </w:r>
      <w:r>
        <w:rPr>
          <w:lang w:val="en-CA"/>
        </w:rPr>
        <w:t>The steps shown in the following table are illustrated in Section 2.3, Figure 2-3.</w:t>
      </w:r>
    </w:p>
    <w:p w14:paraId="33CD05D0" w14:textId="409C697B" w:rsidR="00F70997" w:rsidRDefault="007578A1">
      <w:pPr>
        <w:pStyle w:val="TableCaption"/>
        <w:rPr>
          <w:lang w:val="en-CA"/>
        </w:rPr>
      </w:pPr>
      <w:bookmarkStart w:id="1476" w:name="_Toc400369599"/>
      <w:bookmarkStart w:id="1477" w:name="_Toc35796432"/>
      <w:bookmarkStart w:id="1478" w:name="_Toc79657839"/>
      <w:r>
        <w:rPr>
          <w:lang w:val="en-CA"/>
        </w:rPr>
        <w:t>Table 3–3:  Procedural Steps for Designation of Facility for Generation Station Service Rebate</w:t>
      </w:r>
      <w:bookmarkEnd w:id="1476"/>
      <w:bookmarkEnd w:id="1477"/>
      <w:r w:rsidR="00A3214F">
        <w:rPr>
          <w:lang w:val="en-CA"/>
        </w:rPr>
        <w:t xml:space="preserve"> and Electricity Station Service Rebate</w:t>
      </w:r>
      <w:bookmarkEnd w:id="1478"/>
    </w:p>
    <w:tbl>
      <w:tblPr>
        <w:tblW w:w="14724"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Description w:val="Procedural Steps for Designation of Facility for Generation Station Service Rebate"/>
      </w:tblPr>
      <w:tblGrid>
        <w:gridCol w:w="864"/>
        <w:gridCol w:w="2160"/>
        <w:gridCol w:w="3150"/>
        <w:gridCol w:w="2160"/>
        <w:gridCol w:w="2160"/>
        <w:gridCol w:w="2160"/>
        <w:gridCol w:w="2070"/>
      </w:tblGrid>
      <w:tr w:rsidR="00855CB7" w14:paraId="2C5BFC78" w14:textId="77777777" w:rsidTr="007B06D7">
        <w:trPr>
          <w:cantSplit/>
          <w:tblHeader/>
        </w:trPr>
        <w:tc>
          <w:tcPr>
            <w:tcW w:w="864" w:type="dxa"/>
            <w:shd w:val="clear" w:color="auto" w:fill="D9D9D9" w:themeFill="background1" w:themeFillShade="D9"/>
            <w:vAlign w:val="center"/>
          </w:tcPr>
          <w:p w14:paraId="5B64BD14" w14:textId="77777777" w:rsidR="00855CB7" w:rsidRDefault="00855CB7" w:rsidP="009E6D86">
            <w:pPr>
              <w:pStyle w:val="TableHead"/>
              <w:keepNext/>
              <w:keepLines/>
              <w:rPr>
                <w:lang w:val="en-CA"/>
              </w:rPr>
            </w:pPr>
            <w:r>
              <w:rPr>
                <w:lang w:val="en-CA"/>
              </w:rPr>
              <w:t>Ref.</w:t>
            </w:r>
          </w:p>
        </w:tc>
        <w:tc>
          <w:tcPr>
            <w:tcW w:w="2160" w:type="dxa"/>
            <w:shd w:val="clear" w:color="auto" w:fill="D9D9D9" w:themeFill="background1" w:themeFillShade="D9"/>
            <w:vAlign w:val="center"/>
          </w:tcPr>
          <w:p w14:paraId="42B681CE" w14:textId="77777777" w:rsidR="00855CB7" w:rsidRDefault="00855CB7" w:rsidP="009E6D86">
            <w:pPr>
              <w:pStyle w:val="TableHead"/>
              <w:keepNext/>
              <w:keepLines/>
              <w:rPr>
                <w:lang w:val="en-CA"/>
              </w:rPr>
            </w:pPr>
            <w:r>
              <w:rPr>
                <w:lang w:val="en-CA"/>
              </w:rPr>
              <w:t>Task Name</w:t>
            </w:r>
          </w:p>
        </w:tc>
        <w:tc>
          <w:tcPr>
            <w:tcW w:w="3150" w:type="dxa"/>
            <w:shd w:val="clear" w:color="auto" w:fill="D9D9D9" w:themeFill="background1" w:themeFillShade="D9"/>
            <w:vAlign w:val="center"/>
          </w:tcPr>
          <w:p w14:paraId="6E9E97FF" w14:textId="77777777" w:rsidR="00855CB7" w:rsidRDefault="00855CB7" w:rsidP="009E6D86">
            <w:pPr>
              <w:pStyle w:val="TableHead"/>
              <w:keepNext/>
              <w:keepLines/>
              <w:rPr>
                <w:lang w:val="en-CA"/>
              </w:rPr>
            </w:pPr>
            <w:r>
              <w:rPr>
                <w:lang w:val="en-CA"/>
              </w:rPr>
              <w:t>Task Detail</w:t>
            </w:r>
          </w:p>
        </w:tc>
        <w:tc>
          <w:tcPr>
            <w:tcW w:w="2160" w:type="dxa"/>
            <w:shd w:val="clear" w:color="auto" w:fill="D9D9D9" w:themeFill="background1" w:themeFillShade="D9"/>
            <w:vAlign w:val="center"/>
          </w:tcPr>
          <w:p w14:paraId="5539FB82" w14:textId="77777777" w:rsidR="00855CB7" w:rsidRDefault="00855CB7" w:rsidP="009E6D86">
            <w:pPr>
              <w:pStyle w:val="TableHead"/>
              <w:keepNext/>
              <w:keepLines/>
              <w:rPr>
                <w:lang w:val="en-CA"/>
              </w:rPr>
            </w:pPr>
            <w:r>
              <w:rPr>
                <w:lang w:val="en-CA"/>
              </w:rPr>
              <w:t>When</w:t>
            </w:r>
          </w:p>
        </w:tc>
        <w:tc>
          <w:tcPr>
            <w:tcW w:w="2160" w:type="dxa"/>
            <w:shd w:val="clear" w:color="auto" w:fill="D9D9D9" w:themeFill="background1" w:themeFillShade="D9"/>
            <w:vAlign w:val="center"/>
          </w:tcPr>
          <w:p w14:paraId="2C729D65" w14:textId="77777777" w:rsidR="00855CB7" w:rsidRDefault="00855CB7" w:rsidP="009E6D86">
            <w:pPr>
              <w:pStyle w:val="TableHead"/>
              <w:keepNext/>
              <w:keepLines/>
              <w:rPr>
                <w:lang w:val="en-CA"/>
              </w:rPr>
            </w:pPr>
            <w:r>
              <w:rPr>
                <w:lang w:val="en-CA"/>
              </w:rPr>
              <w:t>Resulting Information</w:t>
            </w:r>
          </w:p>
        </w:tc>
        <w:tc>
          <w:tcPr>
            <w:tcW w:w="2160" w:type="dxa"/>
            <w:shd w:val="clear" w:color="auto" w:fill="D9D9D9" w:themeFill="background1" w:themeFillShade="D9"/>
            <w:vAlign w:val="center"/>
          </w:tcPr>
          <w:p w14:paraId="440CE623" w14:textId="77777777" w:rsidR="00855CB7" w:rsidRDefault="00855CB7" w:rsidP="009E6D86">
            <w:pPr>
              <w:pStyle w:val="TableHead"/>
              <w:keepNext/>
              <w:keepLines/>
              <w:rPr>
                <w:lang w:val="en-CA"/>
              </w:rPr>
            </w:pPr>
            <w:r>
              <w:rPr>
                <w:lang w:val="en-CA"/>
              </w:rPr>
              <w:t>Method</w:t>
            </w:r>
          </w:p>
        </w:tc>
        <w:tc>
          <w:tcPr>
            <w:tcW w:w="2070" w:type="dxa"/>
            <w:shd w:val="clear" w:color="auto" w:fill="D9D9D9" w:themeFill="background1" w:themeFillShade="D9"/>
            <w:vAlign w:val="center"/>
          </w:tcPr>
          <w:p w14:paraId="3DE59A44" w14:textId="77777777" w:rsidR="00855CB7" w:rsidRDefault="00855CB7" w:rsidP="009E6D86">
            <w:pPr>
              <w:pStyle w:val="TableHead"/>
              <w:keepNext/>
              <w:keepLines/>
              <w:rPr>
                <w:lang w:val="en-CA"/>
              </w:rPr>
            </w:pPr>
            <w:r>
              <w:rPr>
                <w:lang w:val="en-CA"/>
              </w:rPr>
              <w:t>Completion Events</w:t>
            </w:r>
          </w:p>
        </w:tc>
      </w:tr>
      <w:tr w:rsidR="00855CB7" w14:paraId="79EFFA0B" w14:textId="77777777" w:rsidTr="007578A1">
        <w:trPr>
          <w:cantSplit/>
        </w:trPr>
        <w:tc>
          <w:tcPr>
            <w:tcW w:w="864" w:type="dxa"/>
          </w:tcPr>
          <w:p w14:paraId="5FF1524C" w14:textId="77777777" w:rsidR="00855CB7" w:rsidRDefault="00855CB7">
            <w:pPr>
              <w:pStyle w:val="TableText"/>
              <w:rPr>
                <w:lang w:val="en-CA"/>
              </w:rPr>
            </w:pPr>
            <w:r>
              <w:rPr>
                <w:lang w:val="en-CA"/>
              </w:rPr>
              <w:t>5C.01</w:t>
            </w:r>
          </w:p>
        </w:tc>
        <w:tc>
          <w:tcPr>
            <w:tcW w:w="2160" w:type="dxa"/>
          </w:tcPr>
          <w:p w14:paraId="47EF0B1F" w14:textId="77777777" w:rsidR="00855CB7" w:rsidRDefault="00855CB7" w:rsidP="00ED530F">
            <w:pPr>
              <w:pStyle w:val="TableText"/>
              <w:rPr>
                <w:lang w:val="en-CA"/>
              </w:rPr>
            </w:pPr>
            <w:r>
              <w:rPr>
                <w:lang w:val="en-CA"/>
              </w:rPr>
              <w:t xml:space="preserve">Download </w:t>
            </w:r>
            <w:r w:rsidR="00E33158">
              <w:rPr>
                <w:lang w:val="en-CA"/>
              </w:rPr>
              <w:t xml:space="preserve">IMO_FORM_1419 </w:t>
            </w:r>
            <w:r>
              <w:rPr>
                <w:lang w:val="en-CA"/>
              </w:rPr>
              <w:t xml:space="preserve">from </w:t>
            </w:r>
            <w:r w:rsidR="00ED530F" w:rsidRPr="00ED530F">
              <w:rPr>
                <w:lang w:val="en-CA"/>
              </w:rPr>
              <w:t>our</w:t>
            </w:r>
            <w:r w:rsidR="00ED530F">
              <w:rPr>
                <w:i/>
                <w:lang w:val="en-CA"/>
              </w:rPr>
              <w:t xml:space="preserve"> </w:t>
            </w:r>
            <w:r w:rsidR="00ED530F">
              <w:rPr>
                <w:lang w:val="en-CA"/>
              </w:rPr>
              <w:t>w</w:t>
            </w:r>
            <w:r>
              <w:rPr>
                <w:lang w:val="en-CA"/>
              </w:rPr>
              <w:t xml:space="preserve">eb site, complete and submit to </w:t>
            </w:r>
            <w:r w:rsidR="00ED530F" w:rsidRPr="00ED530F">
              <w:rPr>
                <w:lang w:val="en-CA"/>
              </w:rPr>
              <w:t>us</w:t>
            </w:r>
            <w:r>
              <w:rPr>
                <w:i/>
                <w:lang w:val="en-CA"/>
              </w:rPr>
              <w:t>.</w:t>
            </w:r>
          </w:p>
        </w:tc>
        <w:tc>
          <w:tcPr>
            <w:tcW w:w="3150" w:type="dxa"/>
          </w:tcPr>
          <w:p w14:paraId="388A721D" w14:textId="77777777" w:rsidR="00855CB7" w:rsidRDefault="00855CB7" w:rsidP="00695ACA">
            <w:pPr>
              <w:pStyle w:val="TableText"/>
              <w:rPr>
                <w:lang w:val="en-CA"/>
              </w:rPr>
            </w:pPr>
            <w:r>
              <w:rPr>
                <w:i/>
                <w:lang w:val="en-CA"/>
              </w:rPr>
              <w:t>Metered market participant</w:t>
            </w:r>
            <w:r>
              <w:rPr>
                <w:lang w:val="en-CA"/>
              </w:rPr>
              <w:t xml:space="preserve"> downloads “Application for Designation of a Facility for Generation Station Service Rebate” (</w:t>
            </w:r>
            <w:r w:rsidR="00E33158">
              <w:rPr>
                <w:lang w:val="en-CA"/>
              </w:rPr>
              <w:t>IMO_FORM_1419</w:t>
            </w:r>
            <w:r>
              <w:rPr>
                <w:lang w:val="en-CA"/>
              </w:rPr>
              <w:t xml:space="preserve">) from </w:t>
            </w:r>
            <w:r w:rsidR="00695ACA" w:rsidRPr="00695ACA">
              <w:rPr>
                <w:lang w:val="en-CA"/>
              </w:rPr>
              <w:t>our web</w:t>
            </w:r>
            <w:r>
              <w:rPr>
                <w:lang w:val="en-CA"/>
              </w:rPr>
              <w:t xml:space="preserve"> site.  The </w:t>
            </w:r>
            <w:r>
              <w:rPr>
                <w:i/>
                <w:lang w:val="en-CA"/>
              </w:rPr>
              <w:t>metered market participant</w:t>
            </w:r>
            <w:r>
              <w:rPr>
                <w:lang w:val="en-CA"/>
              </w:rPr>
              <w:t xml:space="preserve"> completes the form and submits it </w:t>
            </w:r>
            <w:r w:rsidR="00ED530F">
              <w:rPr>
                <w:lang w:val="en-CA"/>
              </w:rPr>
              <w:t>to us</w:t>
            </w:r>
            <w:r>
              <w:rPr>
                <w:lang w:val="en-CA"/>
              </w:rPr>
              <w:t>.</w:t>
            </w:r>
          </w:p>
        </w:tc>
        <w:tc>
          <w:tcPr>
            <w:tcW w:w="2160" w:type="dxa"/>
          </w:tcPr>
          <w:p w14:paraId="324891CF" w14:textId="58D0C6AB" w:rsidR="00855CB7" w:rsidRDefault="00855CB7">
            <w:pPr>
              <w:pStyle w:val="TableText"/>
              <w:rPr>
                <w:lang w:val="en-CA"/>
              </w:rPr>
            </w:pPr>
            <w:r>
              <w:rPr>
                <w:lang w:val="en-CA"/>
              </w:rPr>
              <w:t xml:space="preserve">When the </w:t>
            </w:r>
            <w:r>
              <w:rPr>
                <w:i/>
                <w:lang w:val="en-CA"/>
              </w:rPr>
              <w:t>metered market participant</w:t>
            </w:r>
            <w:r>
              <w:rPr>
                <w:lang w:val="en-CA"/>
              </w:rPr>
              <w:t xml:space="preserve"> believes a </w:t>
            </w:r>
            <w:r>
              <w:rPr>
                <w:i/>
                <w:lang w:val="en-CA"/>
              </w:rPr>
              <w:t>generation facility</w:t>
            </w:r>
            <w:r>
              <w:rPr>
                <w:lang w:val="en-CA"/>
              </w:rPr>
              <w:t xml:space="preserve"> </w:t>
            </w:r>
            <w:r w:rsidR="00A3214F">
              <w:rPr>
                <w:lang w:val="en-CA"/>
              </w:rPr>
              <w:t xml:space="preserve">or </w:t>
            </w:r>
            <w:r w:rsidR="00A3214F">
              <w:rPr>
                <w:i/>
                <w:lang w:val="en-CA"/>
              </w:rPr>
              <w:t xml:space="preserve">electricity storage facility </w:t>
            </w:r>
            <w:r>
              <w:rPr>
                <w:lang w:val="en-CA"/>
              </w:rPr>
              <w:t xml:space="preserve">is eligible for rebate of </w:t>
            </w:r>
            <w:r>
              <w:rPr>
                <w:i/>
                <w:lang w:val="en-CA"/>
              </w:rPr>
              <w:t>generation station service</w:t>
            </w:r>
            <w:r w:rsidR="00A3214F">
              <w:rPr>
                <w:lang w:val="en-CA"/>
              </w:rPr>
              <w:t xml:space="preserve"> or </w:t>
            </w:r>
            <w:r w:rsidR="00A3214F" w:rsidRPr="00CB6F67">
              <w:rPr>
                <w:i/>
                <w:lang w:val="en-CA"/>
              </w:rPr>
              <w:t>electricity storage station service</w:t>
            </w:r>
          </w:p>
        </w:tc>
        <w:tc>
          <w:tcPr>
            <w:tcW w:w="2160" w:type="dxa"/>
          </w:tcPr>
          <w:p w14:paraId="250E92C9" w14:textId="17BB7DD7" w:rsidR="00855CB7" w:rsidRDefault="00855CB7">
            <w:pPr>
              <w:pStyle w:val="TableText"/>
              <w:rPr>
                <w:lang w:val="en-CA"/>
              </w:rPr>
            </w:pPr>
            <w:r>
              <w:rPr>
                <w:i/>
                <w:lang w:val="en-CA"/>
              </w:rPr>
              <w:t>Metered market participant</w:t>
            </w:r>
            <w:r>
              <w:rPr>
                <w:lang w:val="en-CA"/>
              </w:rPr>
              <w:t xml:space="preserve"> has applied for designation of a </w:t>
            </w:r>
            <w:r>
              <w:rPr>
                <w:i/>
                <w:lang w:val="en-CA"/>
              </w:rPr>
              <w:t>facility</w:t>
            </w:r>
            <w:r>
              <w:rPr>
                <w:lang w:val="en-CA"/>
              </w:rPr>
              <w:t xml:space="preserve"> as eligible for</w:t>
            </w:r>
            <w:r w:rsidR="00CB6F67">
              <w:rPr>
                <w:lang w:val="en-CA"/>
              </w:rPr>
              <w:t xml:space="preserve"> rebate of</w:t>
            </w:r>
            <w:r>
              <w:rPr>
                <w:lang w:val="en-CA"/>
              </w:rPr>
              <w:t xml:space="preserve"> </w:t>
            </w:r>
            <w:r>
              <w:rPr>
                <w:i/>
                <w:lang w:val="en-CA"/>
              </w:rPr>
              <w:t>generation station service</w:t>
            </w:r>
            <w:r w:rsidR="00A3214F">
              <w:rPr>
                <w:lang w:val="en-CA"/>
              </w:rPr>
              <w:t xml:space="preserve"> or </w:t>
            </w:r>
            <w:r w:rsidR="00A3214F" w:rsidRPr="00CB6F67">
              <w:rPr>
                <w:i/>
                <w:lang w:val="en-CA"/>
              </w:rPr>
              <w:t>electricity storage station service</w:t>
            </w:r>
          </w:p>
        </w:tc>
        <w:tc>
          <w:tcPr>
            <w:tcW w:w="2160" w:type="dxa"/>
          </w:tcPr>
          <w:p w14:paraId="3B21E1AA" w14:textId="77777777" w:rsidR="00855CB7" w:rsidRDefault="00855CB7">
            <w:pPr>
              <w:pStyle w:val="TableText"/>
              <w:rPr>
                <w:lang w:val="en-CA"/>
              </w:rPr>
            </w:pPr>
            <w:r>
              <w:rPr>
                <w:lang w:val="en-CA"/>
              </w:rPr>
              <w:t>Fax, mail or courier.</w:t>
            </w:r>
          </w:p>
        </w:tc>
        <w:tc>
          <w:tcPr>
            <w:tcW w:w="2070" w:type="dxa"/>
          </w:tcPr>
          <w:p w14:paraId="1DDB1CE3" w14:textId="77777777" w:rsidR="00855CB7" w:rsidRDefault="00855CB7">
            <w:pPr>
              <w:pStyle w:val="TableText"/>
              <w:rPr>
                <w:lang w:val="en-CA"/>
              </w:rPr>
            </w:pPr>
            <w:r>
              <w:rPr>
                <w:lang w:val="en-CA"/>
              </w:rPr>
              <w:t>Form submitted.</w:t>
            </w:r>
          </w:p>
        </w:tc>
      </w:tr>
      <w:tr w:rsidR="00855CB7" w14:paraId="0229E561" w14:textId="77777777" w:rsidTr="007578A1">
        <w:trPr>
          <w:cantSplit/>
        </w:trPr>
        <w:tc>
          <w:tcPr>
            <w:tcW w:w="864" w:type="dxa"/>
          </w:tcPr>
          <w:p w14:paraId="06586013" w14:textId="77777777" w:rsidR="00855CB7" w:rsidRDefault="00855CB7">
            <w:pPr>
              <w:pStyle w:val="TableText"/>
              <w:rPr>
                <w:lang w:val="en-CA"/>
              </w:rPr>
            </w:pPr>
            <w:r>
              <w:rPr>
                <w:lang w:val="en-CA"/>
              </w:rPr>
              <w:t>5C.02</w:t>
            </w:r>
          </w:p>
        </w:tc>
        <w:tc>
          <w:tcPr>
            <w:tcW w:w="2160" w:type="dxa"/>
          </w:tcPr>
          <w:p w14:paraId="076A77EC" w14:textId="77777777" w:rsidR="00855CB7" w:rsidRDefault="00855CB7">
            <w:pPr>
              <w:pStyle w:val="TableText"/>
              <w:rPr>
                <w:lang w:val="en-CA"/>
              </w:rPr>
            </w:pPr>
            <w:r>
              <w:rPr>
                <w:lang w:val="en-CA"/>
              </w:rPr>
              <w:t>Receive and review.  Send decision letter either accepting or rejecting submission.</w:t>
            </w:r>
          </w:p>
        </w:tc>
        <w:tc>
          <w:tcPr>
            <w:tcW w:w="3150" w:type="dxa"/>
          </w:tcPr>
          <w:p w14:paraId="1A8742FF" w14:textId="77777777" w:rsidR="00855CB7" w:rsidRDefault="00ED530F" w:rsidP="00ED530F">
            <w:pPr>
              <w:pStyle w:val="TableText"/>
              <w:rPr>
                <w:lang w:val="en-CA"/>
              </w:rPr>
            </w:pPr>
            <w:r>
              <w:rPr>
                <w:lang w:val="en-CA"/>
              </w:rPr>
              <w:t>W</w:t>
            </w:r>
            <w:r w:rsidRPr="007A6E66">
              <w:rPr>
                <w:lang w:val="en-CA"/>
              </w:rPr>
              <w:t>e</w:t>
            </w:r>
            <w:r w:rsidR="00855CB7">
              <w:rPr>
                <w:lang w:val="en-CA"/>
              </w:rPr>
              <w:t xml:space="preserve"> receive, review</w:t>
            </w:r>
            <w:r>
              <w:rPr>
                <w:lang w:val="en-CA"/>
              </w:rPr>
              <w:t xml:space="preserve"> </w:t>
            </w:r>
            <w:r w:rsidR="00855CB7">
              <w:rPr>
                <w:lang w:val="en-CA"/>
              </w:rPr>
              <w:t xml:space="preserve">and send a letter to the </w:t>
            </w:r>
            <w:r w:rsidR="00855CB7">
              <w:rPr>
                <w:i/>
                <w:lang w:val="en-CA"/>
              </w:rPr>
              <w:t>metered market participant</w:t>
            </w:r>
            <w:r w:rsidR="00855CB7">
              <w:rPr>
                <w:lang w:val="en-CA"/>
              </w:rPr>
              <w:t xml:space="preserve"> indicating whether the submission is complete or information is required (acceptance or rejection).</w:t>
            </w:r>
          </w:p>
        </w:tc>
        <w:tc>
          <w:tcPr>
            <w:tcW w:w="2160" w:type="dxa"/>
          </w:tcPr>
          <w:p w14:paraId="5221F532" w14:textId="77777777" w:rsidR="00855CB7" w:rsidRDefault="00855CB7">
            <w:pPr>
              <w:pStyle w:val="TableText"/>
              <w:rPr>
                <w:lang w:val="en-CA"/>
              </w:rPr>
            </w:pPr>
            <w:r>
              <w:rPr>
                <w:lang w:val="en-CA"/>
              </w:rPr>
              <w:t>After Step 5C.01.</w:t>
            </w:r>
          </w:p>
        </w:tc>
        <w:tc>
          <w:tcPr>
            <w:tcW w:w="2160" w:type="dxa"/>
          </w:tcPr>
          <w:p w14:paraId="7BC860B8" w14:textId="77777777" w:rsidR="00855CB7" w:rsidRDefault="00855CB7">
            <w:pPr>
              <w:pStyle w:val="TableText"/>
              <w:rPr>
                <w:lang w:val="en-CA"/>
              </w:rPr>
            </w:pPr>
            <w:r>
              <w:rPr>
                <w:lang w:val="en-CA"/>
              </w:rPr>
              <w:t xml:space="preserve">Application for designation of a </w:t>
            </w:r>
            <w:r>
              <w:rPr>
                <w:i/>
                <w:lang w:val="en-CA"/>
              </w:rPr>
              <w:t>facility</w:t>
            </w:r>
            <w:r>
              <w:rPr>
                <w:lang w:val="en-CA"/>
              </w:rPr>
              <w:t>.</w:t>
            </w:r>
          </w:p>
        </w:tc>
        <w:tc>
          <w:tcPr>
            <w:tcW w:w="2160" w:type="dxa"/>
          </w:tcPr>
          <w:p w14:paraId="51335FB7" w14:textId="77777777" w:rsidR="00855CB7" w:rsidRDefault="00855CB7">
            <w:pPr>
              <w:pStyle w:val="TableText"/>
              <w:rPr>
                <w:lang w:val="en-CA"/>
              </w:rPr>
            </w:pPr>
            <w:r>
              <w:rPr>
                <w:lang w:val="en-CA"/>
              </w:rPr>
              <w:t>Fax.</w:t>
            </w:r>
          </w:p>
        </w:tc>
        <w:tc>
          <w:tcPr>
            <w:tcW w:w="2070" w:type="dxa"/>
          </w:tcPr>
          <w:p w14:paraId="3AEBC679" w14:textId="77777777" w:rsidR="00855CB7" w:rsidRDefault="00855CB7">
            <w:pPr>
              <w:pStyle w:val="TableText"/>
              <w:rPr>
                <w:lang w:val="en-CA"/>
              </w:rPr>
            </w:pPr>
            <w:r>
              <w:rPr>
                <w:lang w:val="en-CA"/>
              </w:rPr>
              <w:t xml:space="preserve">Form received and reviewed.  A decision letter is sent to the </w:t>
            </w:r>
            <w:r>
              <w:rPr>
                <w:i/>
                <w:lang w:val="en-CA"/>
              </w:rPr>
              <w:t>metered market participant</w:t>
            </w:r>
            <w:r>
              <w:rPr>
                <w:lang w:val="en-CA"/>
              </w:rPr>
              <w:t xml:space="preserve"> either accepting or rejecting the submission.</w:t>
            </w:r>
          </w:p>
        </w:tc>
      </w:tr>
      <w:tr w:rsidR="00855CB7" w14:paraId="355D07B5" w14:textId="77777777" w:rsidTr="007578A1">
        <w:trPr>
          <w:cantSplit/>
        </w:trPr>
        <w:tc>
          <w:tcPr>
            <w:tcW w:w="864" w:type="dxa"/>
          </w:tcPr>
          <w:p w14:paraId="1C51706A" w14:textId="77777777" w:rsidR="00855CB7" w:rsidRDefault="00855CB7">
            <w:pPr>
              <w:pStyle w:val="TableText"/>
              <w:rPr>
                <w:lang w:val="en-CA"/>
              </w:rPr>
            </w:pPr>
            <w:r>
              <w:rPr>
                <w:lang w:val="en-CA"/>
              </w:rPr>
              <w:t>5C.03</w:t>
            </w:r>
          </w:p>
        </w:tc>
        <w:tc>
          <w:tcPr>
            <w:tcW w:w="2160" w:type="dxa"/>
          </w:tcPr>
          <w:p w14:paraId="7B52527F" w14:textId="77777777" w:rsidR="00855CB7" w:rsidRDefault="00855CB7">
            <w:pPr>
              <w:pStyle w:val="TableText"/>
              <w:rPr>
                <w:lang w:val="en-CA"/>
              </w:rPr>
            </w:pPr>
            <w:r>
              <w:rPr>
                <w:lang w:val="en-CA"/>
              </w:rPr>
              <w:t>Receive, review and respond to decision letter, if required.</w:t>
            </w:r>
          </w:p>
        </w:tc>
        <w:tc>
          <w:tcPr>
            <w:tcW w:w="3150" w:type="dxa"/>
          </w:tcPr>
          <w:p w14:paraId="2033C7A0" w14:textId="77777777" w:rsidR="00855CB7" w:rsidRDefault="00855CB7" w:rsidP="00ED530F">
            <w:pPr>
              <w:pStyle w:val="TableText"/>
              <w:rPr>
                <w:lang w:val="en-CA"/>
              </w:rPr>
            </w:pPr>
            <w:r>
              <w:rPr>
                <w:i/>
                <w:lang w:val="en-CA"/>
              </w:rPr>
              <w:t>Metered market participant</w:t>
            </w:r>
            <w:r>
              <w:rPr>
                <w:lang w:val="en-CA"/>
              </w:rPr>
              <w:t xml:space="preserve"> receives and reviews </w:t>
            </w:r>
            <w:r w:rsidR="00ED530F" w:rsidRPr="00ED530F">
              <w:rPr>
                <w:lang w:val="en-CA"/>
              </w:rPr>
              <w:t xml:space="preserve">our </w:t>
            </w:r>
            <w:r>
              <w:rPr>
                <w:lang w:val="en-CA"/>
              </w:rPr>
              <w:t xml:space="preserve">decision.  If more information is required, the </w:t>
            </w:r>
            <w:r>
              <w:rPr>
                <w:i/>
                <w:lang w:val="en-CA"/>
              </w:rPr>
              <w:t xml:space="preserve">metered market participant </w:t>
            </w:r>
            <w:r>
              <w:rPr>
                <w:lang w:val="en-CA"/>
              </w:rPr>
              <w:t>resubmits the application.</w:t>
            </w:r>
          </w:p>
        </w:tc>
        <w:tc>
          <w:tcPr>
            <w:tcW w:w="2160" w:type="dxa"/>
          </w:tcPr>
          <w:p w14:paraId="7D7E17C4" w14:textId="77777777" w:rsidR="00855CB7" w:rsidRDefault="00855CB7">
            <w:pPr>
              <w:pStyle w:val="TableText"/>
              <w:rPr>
                <w:lang w:val="en-CA"/>
              </w:rPr>
            </w:pPr>
            <w:r>
              <w:rPr>
                <w:lang w:val="en-CA"/>
              </w:rPr>
              <w:t>After receiving the decision letter.</w:t>
            </w:r>
          </w:p>
        </w:tc>
        <w:tc>
          <w:tcPr>
            <w:tcW w:w="2160" w:type="dxa"/>
          </w:tcPr>
          <w:p w14:paraId="6962C7D1" w14:textId="77777777" w:rsidR="00855CB7" w:rsidRDefault="00855CB7">
            <w:pPr>
              <w:pStyle w:val="TableText"/>
              <w:rPr>
                <w:lang w:val="en-CA"/>
              </w:rPr>
            </w:pPr>
            <w:r>
              <w:rPr>
                <w:lang w:val="en-CA"/>
              </w:rPr>
              <w:t>None.</w:t>
            </w:r>
          </w:p>
        </w:tc>
        <w:tc>
          <w:tcPr>
            <w:tcW w:w="2160" w:type="dxa"/>
          </w:tcPr>
          <w:p w14:paraId="0D988275" w14:textId="77777777" w:rsidR="00855CB7" w:rsidRDefault="00855CB7">
            <w:pPr>
              <w:pStyle w:val="TableText"/>
              <w:rPr>
                <w:lang w:val="en-CA"/>
              </w:rPr>
            </w:pPr>
            <w:r>
              <w:rPr>
                <w:lang w:val="en-CA"/>
              </w:rPr>
              <w:t>Fax, if required.</w:t>
            </w:r>
          </w:p>
        </w:tc>
        <w:tc>
          <w:tcPr>
            <w:tcW w:w="2070" w:type="dxa"/>
          </w:tcPr>
          <w:p w14:paraId="2ED17AB4" w14:textId="61194AC0" w:rsidR="00855CB7" w:rsidRDefault="00855CB7">
            <w:pPr>
              <w:pStyle w:val="TableText"/>
              <w:rPr>
                <w:lang w:val="en-CA"/>
              </w:rPr>
            </w:pPr>
            <w:r>
              <w:rPr>
                <w:i/>
                <w:lang w:val="en-CA"/>
              </w:rPr>
              <w:t>Metered market participant</w:t>
            </w:r>
            <w:r>
              <w:rPr>
                <w:lang w:val="en-CA"/>
              </w:rPr>
              <w:t xml:space="preserve"> received letter accepting or rejecting designation for </w:t>
            </w:r>
            <w:r>
              <w:rPr>
                <w:i/>
                <w:lang w:val="en-CA"/>
              </w:rPr>
              <w:t>generation station service</w:t>
            </w:r>
            <w:r>
              <w:rPr>
                <w:lang w:val="en-CA"/>
              </w:rPr>
              <w:t xml:space="preserve"> rebate</w:t>
            </w:r>
            <w:r w:rsidR="00A3214F">
              <w:rPr>
                <w:lang w:val="en-CA"/>
              </w:rPr>
              <w:t xml:space="preserve"> or </w:t>
            </w:r>
            <w:r w:rsidR="00A3214F" w:rsidRPr="00CB6F67">
              <w:rPr>
                <w:i/>
                <w:lang w:val="en-CA"/>
              </w:rPr>
              <w:t>electricity storage station service</w:t>
            </w:r>
            <w:r w:rsidR="00A3214F">
              <w:rPr>
                <w:lang w:val="en-CA"/>
              </w:rPr>
              <w:t xml:space="preserve"> rebate</w:t>
            </w:r>
            <w:r>
              <w:rPr>
                <w:lang w:val="en-CA"/>
              </w:rPr>
              <w:t>.</w:t>
            </w:r>
          </w:p>
        </w:tc>
      </w:tr>
    </w:tbl>
    <w:p w14:paraId="4CFD8D0F" w14:textId="33C3C0B3" w:rsidR="00855CB7" w:rsidRDefault="001466C5">
      <w:pPr>
        <w:pStyle w:val="Heading2"/>
        <w:pageBreakBefore/>
        <w:spacing w:before="240"/>
        <w:rPr>
          <w:lang w:val="en-CA"/>
        </w:rPr>
      </w:pPr>
      <w:bookmarkStart w:id="1479" w:name="_Toc32038457"/>
      <w:bookmarkStart w:id="1480" w:name="_Toc175383921"/>
      <w:bookmarkStart w:id="1481" w:name="_Toc400369547"/>
      <w:bookmarkStart w:id="1482" w:name="_Toc35796385"/>
      <w:bookmarkStart w:id="1483" w:name="_Toc79657987"/>
      <w:r>
        <w:rPr>
          <w:lang w:val="en-CA"/>
        </w:rPr>
        <w:t>Intentionally Left Blank</w:t>
      </w:r>
      <w:bookmarkEnd w:id="1479"/>
      <w:bookmarkEnd w:id="1480"/>
      <w:bookmarkEnd w:id="1481"/>
      <w:bookmarkEnd w:id="1482"/>
      <w:bookmarkEnd w:id="1483"/>
    </w:p>
    <w:p w14:paraId="36195E47" w14:textId="77777777" w:rsidR="00CA25FD" w:rsidRDefault="00CA25FD">
      <w:pPr>
        <w:pStyle w:val="BodyText"/>
        <w:rPr>
          <w:lang w:val="en-CA"/>
        </w:rPr>
      </w:pPr>
    </w:p>
    <w:p w14:paraId="06429DDE" w14:textId="77777777" w:rsidR="008D6AD0" w:rsidRDefault="008D6AD0">
      <w:pPr>
        <w:pStyle w:val="BodyText"/>
        <w:rPr>
          <w:lang w:val="en-CA"/>
        </w:rPr>
      </w:pPr>
    </w:p>
    <w:p w14:paraId="44AEF97B" w14:textId="77777777" w:rsidR="00CA25FD" w:rsidRDefault="001466C5">
      <w:pPr>
        <w:pStyle w:val="TableCaption"/>
        <w:keepNext/>
        <w:keepLines/>
        <w:rPr>
          <w:lang w:val="en-CA"/>
        </w:rPr>
      </w:pPr>
      <w:bookmarkStart w:id="1484" w:name="_Toc400369600"/>
      <w:bookmarkStart w:id="1485" w:name="_Toc35796433"/>
      <w:bookmarkStart w:id="1486" w:name="_Toc79657840"/>
      <w:r>
        <w:rPr>
          <w:lang w:val="en-CA"/>
        </w:rPr>
        <w:t>Table 3–4:  Intentionally Left Blank</w:t>
      </w:r>
      <w:bookmarkEnd w:id="1484"/>
      <w:bookmarkEnd w:id="1485"/>
      <w:bookmarkEnd w:id="1486"/>
    </w:p>
    <w:p w14:paraId="07A5C77E" w14:textId="77777777" w:rsidR="00855CB7" w:rsidRDefault="00855CB7">
      <w:pPr>
        <w:pStyle w:val="EndofText"/>
        <w:rPr>
          <w:noProof w:val="0"/>
        </w:rPr>
      </w:pPr>
    </w:p>
    <w:p w14:paraId="7DE2DE26" w14:textId="3279B8DC" w:rsidR="00855CB7" w:rsidRDefault="002839F0">
      <w:pPr>
        <w:pStyle w:val="Heading2"/>
        <w:pageBreakBefore/>
        <w:spacing w:before="240"/>
        <w:rPr>
          <w:lang w:val="en-CA"/>
        </w:rPr>
      </w:pPr>
      <w:bookmarkStart w:id="1487" w:name="_Toc79657988"/>
      <w:r>
        <w:rPr>
          <w:lang w:val="en-CA"/>
        </w:rPr>
        <w:t>Intentionally Left Blank</w:t>
      </w:r>
      <w:bookmarkEnd w:id="1487"/>
    </w:p>
    <w:p w14:paraId="111554A4" w14:textId="77777777" w:rsidR="002839F0" w:rsidRDefault="002839F0">
      <w:pPr>
        <w:pStyle w:val="TableCaption"/>
        <w:rPr>
          <w:snapToGrid w:val="0"/>
          <w:lang w:val="en-CA"/>
        </w:rPr>
      </w:pPr>
    </w:p>
    <w:p w14:paraId="033A96EB" w14:textId="0CFD8463" w:rsidR="00F70997" w:rsidRDefault="007578A1">
      <w:pPr>
        <w:pStyle w:val="TableCaption"/>
        <w:rPr>
          <w:lang w:val="en-CA"/>
        </w:rPr>
      </w:pPr>
      <w:bookmarkStart w:id="1488" w:name="_Toc400369601"/>
      <w:bookmarkStart w:id="1489" w:name="_Toc35796434"/>
      <w:bookmarkStart w:id="1490" w:name="_Toc79657841"/>
      <w:r>
        <w:rPr>
          <w:lang w:val="en-CA"/>
        </w:rPr>
        <w:t xml:space="preserve">Table 3–5:  </w:t>
      </w:r>
      <w:bookmarkEnd w:id="1488"/>
      <w:bookmarkEnd w:id="1489"/>
      <w:r w:rsidR="002839F0">
        <w:rPr>
          <w:lang w:val="en-CA"/>
        </w:rPr>
        <w:t>Intentionally Left Blank</w:t>
      </w:r>
      <w:bookmarkEnd w:id="1490"/>
    </w:p>
    <w:p w14:paraId="2FD7E6C2" w14:textId="4830A1C5" w:rsidR="00855CB7" w:rsidRDefault="00855CB7">
      <w:pPr>
        <w:pStyle w:val="EndofText"/>
        <w:rPr>
          <w:noProof w:val="0"/>
        </w:rPr>
      </w:pPr>
    </w:p>
    <w:p w14:paraId="08BC6FD4" w14:textId="6C524921" w:rsidR="00855CB7" w:rsidRDefault="002839F0">
      <w:pPr>
        <w:pStyle w:val="Heading2"/>
        <w:pageBreakBefore/>
        <w:spacing w:before="240"/>
        <w:rPr>
          <w:lang w:val="en-CA"/>
        </w:rPr>
      </w:pPr>
      <w:bookmarkStart w:id="1491" w:name="_Toc79657989"/>
      <w:r>
        <w:rPr>
          <w:lang w:val="en-CA"/>
        </w:rPr>
        <w:t>Intentionally Left Blank</w:t>
      </w:r>
      <w:bookmarkEnd w:id="1491"/>
    </w:p>
    <w:p w14:paraId="01759F74" w14:textId="77777777" w:rsidR="002839F0" w:rsidRPr="002839F0" w:rsidRDefault="002839F0" w:rsidP="002839F0">
      <w:pPr>
        <w:pStyle w:val="BodyText"/>
        <w:rPr>
          <w:lang w:val="en-CA"/>
        </w:rPr>
      </w:pPr>
    </w:p>
    <w:p w14:paraId="10720ACC" w14:textId="79ECC60B" w:rsidR="00F70997" w:rsidRDefault="007578A1">
      <w:pPr>
        <w:pStyle w:val="TableCaption"/>
        <w:rPr>
          <w:lang w:val="en-CA"/>
        </w:rPr>
      </w:pPr>
      <w:bookmarkStart w:id="1492" w:name="_Toc400369602"/>
      <w:bookmarkStart w:id="1493" w:name="_Toc35796435"/>
      <w:bookmarkStart w:id="1494" w:name="_Toc79657842"/>
      <w:r>
        <w:rPr>
          <w:lang w:val="en-CA"/>
        </w:rPr>
        <w:t xml:space="preserve">Table 3–6:  </w:t>
      </w:r>
      <w:bookmarkEnd w:id="1492"/>
      <w:bookmarkEnd w:id="1493"/>
      <w:r w:rsidR="002839F0">
        <w:rPr>
          <w:lang w:val="en-CA"/>
        </w:rPr>
        <w:t>Intentionally Left Blank</w:t>
      </w:r>
      <w:bookmarkEnd w:id="1494"/>
    </w:p>
    <w:p w14:paraId="79E5A696" w14:textId="77777777" w:rsidR="00855CB7" w:rsidRDefault="00855CB7">
      <w:pPr>
        <w:pStyle w:val="EndofText"/>
        <w:jc w:val="left"/>
        <w:rPr>
          <w:noProof w:val="0"/>
        </w:rPr>
      </w:pPr>
    </w:p>
    <w:p w14:paraId="7A34B2F6" w14:textId="202B3851" w:rsidR="00DA3379" w:rsidRDefault="00A064A8" w:rsidP="00DA3379">
      <w:pPr>
        <w:pStyle w:val="Heading2"/>
        <w:pageBreakBefore/>
        <w:spacing w:before="0"/>
        <w:rPr>
          <w:lang w:val="en-CA"/>
        </w:rPr>
      </w:pPr>
      <w:bookmarkStart w:id="1495" w:name="_Toc35796388"/>
      <w:bookmarkStart w:id="1496" w:name="_Toc32038460"/>
      <w:bookmarkStart w:id="1497" w:name="_Toc175383924"/>
      <w:bookmarkStart w:id="1498" w:name="_Toc400369550"/>
      <w:bookmarkStart w:id="1499" w:name="_Toc79657990"/>
      <w:r>
        <w:rPr>
          <w:lang w:val="en-CA"/>
        </w:rPr>
        <w:t>Intentionally Left Blank</w:t>
      </w:r>
      <w:bookmarkEnd w:id="1495"/>
      <w:bookmarkEnd w:id="1496"/>
      <w:bookmarkEnd w:id="1497"/>
      <w:bookmarkEnd w:id="1498"/>
      <w:bookmarkEnd w:id="1499"/>
    </w:p>
    <w:p w14:paraId="52C28BEA" w14:textId="77777777" w:rsidR="007A7D6F" w:rsidRDefault="007A7D6F" w:rsidP="007A7D6F">
      <w:pPr>
        <w:rPr>
          <w:lang w:val="en-CA"/>
        </w:rPr>
      </w:pPr>
      <w:bookmarkStart w:id="1500" w:name="_Toc175383925"/>
      <w:bookmarkStart w:id="1501" w:name="_Toc400369551"/>
    </w:p>
    <w:p w14:paraId="0C7E764A" w14:textId="77777777" w:rsidR="007A7D6F" w:rsidRDefault="007A7D6F" w:rsidP="007A7D6F">
      <w:pPr>
        <w:rPr>
          <w:lang w:val="en-CA"/>
        </w:rPr>
      </w:pPr>
    </w:p>
    <w:p w14:paraId="6A8CA609" w14:textId="0ED9F901" w:rsidR="007A7D6F" w:rsidRDefault="00DA1C34" w:rsidP="00DA1C34">
      <w:pPr>
        <w:pStyle w:val="TableCaption"/>
        <w:rPr>
          <w:lang w:val="en-CA"/>
        </w:rPr>
      </w:pPr>
      <w:bookmarkStart w:id="1502" w:name="_Toc35796436"/>
      <w:bookmarkStart w:id="1503" w:name="_Toc79657843"/>
      <w:r w:rsidRPr="00DA1C34">
        <w:rPr>
          <w:lang w:val="en-CA"/>
        </w:rPr>
        <w:t>Table 3–</w:t>
      </w:r>
      <w:r w:rsidR="00892574">
        <w:rPr>
          <w:lang w:val="en-CA"/>
        </w:rPr>
        <w:t>7</w:t>
      </w:r>
      <w:r w:rsidRPr="00DA1C34">
        <w:rPr>
          <w:lang w:val="en-CA"/>
        </w:rPr>
        <w:t>:  Intentionally Left Blank</w:t>
      </w:r>
      <w:bookmarkEnd w:id="1502"/>
      <w:bookmarkEnd w:id="1503"/>
    </w:p>
    <w:p w14:paraId="30CA871B" w14:textId="77777777" w:rsidR="00DA1C34" w:rsidRDefault="00DA1C34" w:rsidP="00DA1C34">
      <w:pPr>
        <w:rPr>
          <w:lang w:val="en-CA" w:eastAsia="en-US"/>
        </w:rPr>
      </w:pPr>
    </w:p>
    <w:p w14:paraId="6F459A14" w14:textId="77777777" w:rsidR="008A6678" w:rsidRDefault="008A6678" w:rsidP="008A6678">
      <w:pPr>
        <w:pStyle w:val="Heading2"/>
        <w:pageBreakBefore/>
        <w:spacing w:before="240"/>
        <w:rPr>
          <w:lang w:val="en-CA"/>
        </w:rPr>
      </w:pPr>
      <w:bookmarkStart w:id="1504" w:name="_Toc79657991"/>
      <w:bookmarkStart w:id="1505" w:name="_Toc32038462"/>
      <w:bookmarkStart w:id="1506" w:name="_Toc175383926"/>
      <w:bookmarkStart w:id="1507" w:name="_Toc400369552"/>
      <w:bookmarkStart w:id="1508" w:name="_Toc35796390"/>
      <w:bookmarkEnd w:id="1500"/>
      <w:bookmarkEnd w:id="1501"/>
      <w:r>
        <w:rPr>
          <w:lang w:val="en-CA"/>
        </w:rPr>
        <w:t>Intentionally Left Blank</w:t>
      </w:r>
      <w:bookmarkEnd w:id="1504"/>
    </w:p>
    <w:p w14:paraId="5C34D285" w14:textId="77777777" w:rsidR="008A6678" w:rsidRDefault="008A6678" w:rsidP="008A6678">
      <w:pPr>
        <w:pStyle w:val="BodyText"/>
        <w:rPr>
          <w:lang w:val="en-CA"/>
        </w:rPr>
      </w:pPr>
    </w:p>
    <w:p w14:paraId="717D2FD3" w14:textId="77777777" w:rsidR="008A6678" w:rsidRPr="00DF65EC" w:rsidRDefault="008A6678" w:rsidP="008A6678">
      <w:pPr>
        <w:pStyle w:val="BodyText"/>
        <w:rPr>
          <w:lang w:val="en-CA"/>
        </w:rPr>
      </w:pPr>
    </w:p>
    <w:tbl>
      <w:tblPr>
        <w:tblW w:w="14724" w:type="dxa"/>
        <w:tblInd w:w="-792" w:type="dxa"/>
        <w:tblLayout w:type="fixed"/>
        <w:tblCellMar>
          <w:left w:w="72" w:type="dxa"/>
          <w:right w:w="72" w:type="dxa"/>
        </w:tblCellMar>
        <w:tblLook w:val="0000" w:firstRow="0" w:lastRow="0" w:firstColumn="0" w:lastColumn="0" w:noHBand="0" w:noVBand="0"/>
      </w:tblPr>
      <w:tblGrid>
        <w:gridCol w:w="14724"/>
      </w:tblGrid>
      <w:tr w:rsidR="008A6678" w14:paraId="30332322" w14:textId="77777777" w:rsidTr="00B442BA">
        <w:trPr>
          <w:cantSplit/>
          <w:tblHeader/>
        </w:trPr>
        <w:tc>
          <w:tcPr>
            <w:tcW w:w="14724" w:type="dxa"/>
          </w:tcPr>
          <w:p w14:paraId="6AA0A6FD" w14:textId="77777777" w:rsidR="008A6678" w:rsidRDefault="008A6678" w:rsidP="00B442BA">
            <w:pPr>
              <w:pStyle w:val="TableCaption"/>
              <w:keepNext/>
              <w:keepLines/>
              <w:rPr>
                <w:lang w:val="en-CA"/>
              </w:rPr>
            </w:pPr>
            <w:bookmarkStart w:id="1509" w:name="_Toc79657844"/>
            <w:r>
              <w:rPr>
                <w:lang w:val="en-CA"/>
              </w:rPr>
              <w:t>Table 3–8:  Intentionally Left Blank</w:t>
            </w:r>
            <w:bookmarkEnd w:id="1509"/>
          </w:p>
        </w:tc>
      </w:tr>
    </w:tbl>
    <w:p w14:paraId="04EBA3D1" w14:textId="77777777" w:rsidR="00855CB7" w:rsidRDefault="00855CB7">
      <w:pPr>
        <w:pStyle w:val="Heading2"/>
        <w:pageBreakBefore/>
        <w:spacing w:before="240"/>
        <w:rPr>
          <w:lang w:val="en-CA"/>
        </w:rPr>
      </w:pPr>
      <w:bookmarkStart w:id="1510" w:name="_Toc79657992"/>
      <w:r>
        <w:rPr>
          <w:lang w:val="en-CA"/>
        </w:rPr>
        <w:t>Declaration of Designated Consumers</w:t>
      </w:r>
      <w:bookmarkEnd w:id="1505"/>
      <w:bookmarkEnd w:id="1506"/>
      <w:bookmarkEnd w:id="1507"/>
      <w:bookmarkEnd w:id="1508"/>
      <w:bookmarkEnd w:id="1510"/>
    </w:p>
    <w:p w14:paraId="5EF839C7" w14:textId="77777777" w:rsidR="00855CB7" w:rsidRDefault="00855CB7">
      <w:pPr>
        <w:pStyle w:val="BodyText"/>
        <w:rPr>
          <w:snapToGrid w:val="0"/>
          <w:lang w:val="en-CA"/>
        </w:rPr>
      </w:pPr>
      <w:r w:rsidRPr="00B02B60">
        <w:rPr>
          <w:i/>
          <w:snapToGrid w:val="0"/>
          <w:lang w:val="en-CA"/>
        </w:rPr>
        <w:t>Market</w:t>
      </w:r>
      <w:r>
        <w:rPr>
          <w:i/>
          <w:snapToGrid w:val="0"/>
          <w:lang w:val="en-CA"/>
        </w:rPr>
        <w:t xml:space="preserve"> participants</w:t>
      </w:r>
      <w:r>
        <w:rPr>
          <w:snapToGrid w:val="0"/>
          <w:lang w:val="en-CA"/>
        </w:rPr>
        <w:t xml:space="preserve"> meeting the ‘designated </w:t>
      </w:r>
      <w:r w:rsidRPr="00323413">
        <w:rPr>
          <w:snapToGrid w:val="0"/>
          <w:lang w:val="en-CA"/>
        </w:rPr>
        <w:t>consumer’</w:t>
      </w:r>
      <w:r>
        <w:rPr>
          <w:snapToGrid w:val="0"/>
          <w:lang w:val="en-CA"/>
        </w:rPr>
        <w:t xml:space="preserve"> criteria (as defined in “Bill 4</w:t>
      </w:r>
      <w:r w:rsidR="001C5CFA">
        <w:rPr>
          <w:snapToGrid w:val="0"/>
          <w:lang w:val="en-CA"/>
        </w:rPr>
        <w:t xml:space="preserve"> </w:t>
      </w:r>
      <w:r w:rsidR="00DA3379" w:rsidRPr="00DA3379">
        <w:rPr>
          <w:i/>
          <w:snapToGrid w:val="0"/>
          <w:lang w:val="en-CA"/>
        </w:rPr>
        <w:t>An Act to amend the</w:t>
      </w:r>
      <w:r w:rsidR="001C5CFA">
        <w:rPr>
          <w:snapToGrid w:val="0"/>
          <w:lang w:val="en-CA"/>
        </w:rPr>
        <w:t xml:space="preserve"> </w:t>
      </w:r>
      <w:r w:rsidR="00CC00BC" w:rsidRPr="00CC00BC">
        <w:rPr>
          <w:i/>
          <w:snapToGrid w:val="0"/>
          <w:lang w:val="en-CA"/>
        </w:rPr>
        <w:t>Ontario Energy Board Act, 1998</w:t>
      </w:r>
      <w:r w:rsidR="00B02B60">
        <w:rPr>
          <w:snapToGrid w:val="0"/>
          <w:lang w:val="en-CA"/>
        </w:rPr>
        <w:t xml:space="preserve"> </w:t>
      </w:r>
      <w:r w:rsidR="00DA3379" w:rsidRPr="00DA3379">
        <w:rPr>
          <w:i/>
          <w:snapToGrid w:val="0"/>
          <w:lang w:val="en-CA"/>
        </w:rPr>
        <w:t>with respect to energy pricing</w:t>
      </w:r>
      <w:r w:rsidR="00B02B60">
        <w:rPr>
          <w:snapToGrid w:val="0"/>
          <w:lang w:val="en-CA"/>
        </w:rPr>
        <w:t xml:space="preserve">” </w:t>
      </w:r>
      <w:r>
        <w:rPr>
          <w:snapToGrid w:val="0"/>
          <w:lang w:val="en-CA"/>
        </w:rPr>
        <w:t xml:space="preserve">and the </w:t>
      </w:r>
      <w:r w:rsidRPr="007136F0">
        <w:rPr>
          <w:snapToGrid w:val="0"/>
          <w:lang w:val="en-CA"/>
        </w:rPr>
        <w:t>regulations</w:t>
      </w:r>
      <w:r>
        <w:rPr>
          <w:snapToGrid w:val="0"/>
          <w:lang w:val="en-CA"/>
        </w:rPr>
        <w:t xml:space="preserve">) may inform </w:t>
      </w:r>
      <w:r w:rsidR="00D60C6C">
        <w:rPr>
          <w:snapToGrid w:val="0"/>
          <w:lang w:val="en-CA"/>
        </w:rPr>
        <w:t>us</w:t>
      </w:r>
      <w:r>
        <w:rPr>
          <w:i/>
          <w:snapToGrid w:val="0"/>
          <w:lang w:val="en-CA"/>
        </w:rPr>
        <w:t xml:space="preserve"> </w:t>
      </w:r>
      <w:r>
        <w:rPr>
          <w:snapToGrid w:val="0"/>
          <w:lang w:val="en-CA"/>
        </w:rPr>
        <w:t xml:space="preserve">of </w:t>
      </w:r>
      <w:r w:rsidR="00D60C6C">
        <w:rPr>
          <w:snapToGrid w:val="0"/>
          <w:lang w:val="en-CA"/>
        </w:rPr>
        <w:t>this.</w:t>
      </w:r>
    </w:p>
    <w:p w14:paraId="73CD719D" w14:textId="77777777" w:rsidR="00855CB7" w:rsidRDefault="00855CB7">
      <w:pPr>
        <w:pStyle w:val="BodyText"/>
        <w:rPr>
          <w:lang w:val="en-CA"/>
        </w:rPr>
      </w:pPr>
      <w:r>
        <w:rPr>
          <w:lang w:val="en-CA"/>
        </w:rPr>
        <w:t>The steps shown in the following table are illustrated in Section 2.9, Figure 2-9.</w:t>
      </w:r>
    </w:p>
    <w:p w14:paraId="2B8C8A93" w14:textId="77777777" w:rsidR="00F70997" w:rsidRDefault="007578A1">
      <w:pPr>
        <w:pStyle w:val="TableCaption"/>
        <w:rPr>
          <w:lang w:val="en-CA"/>
        </w:rPr>
      </w:pPr>
      <w:bookmarkStart w:id="1511" w:name="_Toc400369605"/>
      <w:bookmarkStart w:id="1512" w:name="_Toc35796438"/>
      <w:bookmarkStart w:id="1513" w:name="_Toc79657845"/>
      <w:r>
        <w:rPr>
          <w:lang w:val="en-CA"/>
        </w:rPr>
        <w:t>Table 3–9:  Procedural Steps for Declaration of Designated Consumers</w:t>
      </w:r>
      <w:bookmarkEnd w:id="1511"/>
      <w:bookmarkEnd w:id="1512"/>
      <w:bookmarkEnd w:id="1513"/>
    </w:p>
    <w:tbl>
      <w:tblPr>
        <w:tblW w:w="14724"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Description w:val="Procedural Steps for Declaration of Designated Consumers"/>
      </w:tblPr>
      <w:tblGrid>
        <w:gridCol w:w="864"/>
        <w:gridCol w:w="2160"/>
        <w:gridCol w:w="3150"/>
        <w:gridCol w:w="2160"/>
        <w:gridCol w:w="2160"/>
        <w:gridCol w:w="2160"/>
        <w:gridCol w:w="2070"/>
      </w:tblGrid>
      <w:tr w:rsidR="00855CB7" w14:paraId="2A0C04B7" w14:textId="77777777" w:rsidTr="007B06D7">
        <w:trPr>
          <w:cantSplit/>
          <w:tblHeader/>
        </w:trPr>
        <w:tc>
          <w:tcPr>
            <w:tcW w:w="864" w:type="dxa"/>
            <w:shd w:val="clear" w:color="auto" w:fill="D9D9D9" w:themeFill="background1" w:themeFillShade="D9"/>
            <w:vAlign w:val="center"/>
          </w:tcPr>
          <w:p w14:paraId="49ACEAAA" w14:textId="77777777" w:rsidR="00855CB7" w:rsidRDefault="00855CB7" w:rsidP="000D70BE">
            <w:pPr>
              <w:pStyle w:val="TableHead"/>
              <w:keepNext/>
              <w:keepLines/>
              <w:rPr>
                <w:lang w:val="en-CA"/>
              </w:rPr>
            </w:pPr>
            <w:r>
              <w:rPr>
                <w:lang w:val="en-CA"/>
              </w:rPr>
              <w:t>Ref.</w:t>
            </w:r>
          </w:p>
        </w:tc>
        <w:tc>
          <w:tcPr>
            <w:tcW w:w="2160" w:type="dxa"/>
            <w:shd w:val="clear" w:color="auto" w:fill="D9D9D9" w:themeFill="background1" w:themeFillShade="D9"/>
            <w:vAlign w:val="center"/>
          </w:tcPr>
          <w:p w14:paraId="09B35D9E" w14:textId="77777777" w:rsidR="00855CB7" w:rsidRDefault="00855CB7" w:rsidP="000D70BE">
            <w:pPr>
              <w:pStyle w:val="TableHead"/>
              <w:keepNext/>
              <w:keepLines/>
              <w:rPr>
                <w:lang w:val="en-CA"/>
              </w:rPr>
            </w:pPr>
            <w:r>
              <w:rPr>
                <w:lang w:val="en-CA"/>
              </w:rPr>
              <w:t>Task Name</w:t>
            </w:r>
          </w:p>
        </w:tc>
        <w:tc>
          <w:tcPr>
            <w:tcW w:w="3150" w:type="dxa"/>
            <w:shd w:val="clear" w:color="auto" w:fill="D9D9D9" w:themeFill="background1" w:themeFillShade="D9"/>
            <w:vAlign w:val="center"/>
          </w:tcPr>
          <w:p w14:paraId="411B326B" w14:textId="77777777" w:rsidR="00855CB7" w:rsidRDefault="00855CB7" w:rsidP="000D70BE">
            <w:pPr>
              <w:pStyle w:val="TableHead"/>
              <w:keepNext/>
              <w:keepLines/>
              <w:rPr>
                <w:lang w:val="en-CA"/>
              </w:rPr>
            </w:pPr>
            <w:r>
              <w:rPr>
                <w:lang w:val="en-CA"/>
              </w:rPr>
              <w:t>Task Detail</w:t>
            </w:r>
          </w:p>
        </w:tc>
        <w:tc>
          <w:tcPr>
            <w:tcW w:w="2160" w:type="dxa"/>
            <w:shd w:val="clear" w:color="auto" w:fill="D9D9D9" w:themeFill="background1" w:themeFillShade="D9"/>
            <w:vAlign w:val="center"/>
          </w:tcPr>
          <w:p w14:paraId="4B69F94E" w14:textId="77777777" w:rsidR="00855CB7" w:rsidRDefault="00855CB7" w:rsidP="000D70BE">
            <w:pPr>
              <w:pStyle w:val="TableHead"/>
              <w:keepNext/>
              <w:keepLines/>
              <w:rPr>
                <w:lang w:val="en-CA"/>
              </w:rPr>
            </w:pPr>
            <w:r>
              <w:rPr>
                <w:lang w:val="en-CA"/>
              </w:rPr>
              <w:t>When</w:t>
            </w:r>
          </w:p>
        </w:tc>
        <w:tc>
          <w:tcPr>
            <w:tcW w:w="2160" w:type="dxa"/>
            <w:shd w:val="clear" w:color="auto" w:fill="D9D9D9" w:themeFill="background1" w:themeFillShade="D9"/>
            <w:vAlign w:val="center"/>
          </w:tcPr>
          <w:p w14:paraId="3B8DF549" w14:textId="77777777" w:rsidR="00855CB7" w:rsidRDefault="00855CB7" w:rsidP="000D70BE">
            <w:pPr>
              <w:pStyle w:val="TableHead"/>
              <w:keepNext/>
              <w:keepLines/>
              <w:rPr>
                <w:lang w:val="en-CA"/>
              </w:rPr>
            </w:pPr>
            <w:r>
              <w:rPr>
                <w:lang w:val="en-CA"/>
              </w:rPr>
              <w:t>Resulting Information</w:t>
            </w:r>
          </w:p>
        </w:tc>
        <w:tc>
          <w:tcPr>
            <w:tcW w:w="2160" w:type="dxa"/>
            <w:shd w:val="clear" w:color="auto" w:fill="D9D9D9" w:themeFill="background1" w:themeFillShade="D9"/>
            <w:vAlign w:val="center"/>
          </w:tcPr>
          <w:p w14:paraId="5007C417" w14:textId="77777777" w:rsidR="00855CB7" w:rsidRDefault="00855CB7" w:rsidP="000D70BE">
            <w:pPr>
              <w:pStyle w:val="TableHead"/>
              <w:keepNext/>
              <w:keepLines/>
              <w:rPr>
                <w:lang w:val="en-CA"/>
              </w:rPr>
            </w:pPr>
            <w:r>
              <w:rPr>
                <w:lang w:val="en-CA"/>
              </w:rPr>
              <w:t>Method</w:t>
            </w:r>
          </w:p>
        </w:tc>
        <w:tc>
          <w:tcPr>
            <w:tcW w:w="2070" w:type="dxa"/>
            <w:shd w:val="clear" w:color="auto" w:fill="D9D9D9" w:themeFill="background1" w:themeFillShade="D9"/>
            <w:vAlign w:val="center"/>
          </w:tcPr>
          <w:p w14:paraId="54FA86A3" w14:textId="77777777" w:rsidR="00855CB7" w:rsidRDefault="00855CB7" w:rsidP="000D70BE">
            <w:pPr>
              <w:pStyle w:val="TableHead"/>
              <w:keepNext/>
              <w:keepLines/>
              <w:rPr>
                <w:lang w:val="en-CA"/>
              </w:rPr>
            </w:pPr>
            <w:r>
              <w:rPr>
                <w:lang w:val="en-CA"/>
              </w:rPr>
              <w:t>Completion Events</w:t>
            </w:r>
          </w:p>
        </w:tc>
      </w:tr>
      <w:tr w:rsidR="00855CB7" w14:paraId="06041BBF" w14:textId="77777777" w:rsidTr="007578A1">
        <w:trPr>
          <w:cantSplit/>
        </w:trPr>
        <w:tc>
          <w:tcPr>
            <w:tcW w:w="864" w:type="dxa"/>
          </w:tcPr>
          <w:p w14:paraId="2A1DB0BB" w14:textId="77777777" w:rsidR="00855CB7" w:rsidRDefault="00855CB7">
            <w:pPr>
              <w:pStyle w:val="TableText"/>
              <w:rPr>
                <w:lang w:val="en-CA"/>
              </w:rPr>
            </w:pPr>
            <w:r>
              <w:rPr>
                <w:lang w:val="en-CA"/>
              </w:rPr>
              <w:t>5I.01</w:t>
            </w:r>
          </w:p>
        </w:tc>
        <w:tc>
          <w:tcPr>
            <w:tcW w:w="2160" w:type="dxa"/>
          </w:tcPr>
          <w:p w14:paraId="5011BE04" w14:textId="77777777" w:rsidR="00855CB7" w:rsidRDefault="00855CB7" w:rsidP="00D60C6C">
            <w:pPr>
              <w:pStyle w:val="TableText"/>
              <w:rPr>
                <w:lang w:val="en-CA"/>
              </w:rPr>
            </w:pPr>
            <w:r>
              <w:rPr>
                <w:lang w:val="en-CA"/>
              </w:rPr>
              <w:t xml:space="preserve">Download, complete and submit </w:t>
            </w:r>
            <w:r w:rsidR="00E33158">
              <w:rPr>
                <w:lang w:val="en-CA"/>
              </w:rPr>
              <w:t xml:space="preserve">IMO_FORM_1507 </w:t>
            </w:r>
            <w:r>
              <w:rPr>
                <w:lang w:val="en-CA"/>
              </w:rPr>
              <w:t xml:space="preserve">“Declaration of Designated Consumer” to </w:t>
            </w:r>
            <w:r w:rsidR="00D60C6C" w:rsidRPr="00D60C6C">
              <w:rPr>
                <w:lang w:val="en-CA"/>
              </w:rPr>
              <w:t>us</w:t>
            </w:r>
            <w:r>
              <w:rPr>
                <w:i/>
                <w:lang w:val="en-CA"/>
              </w:rPr>
              <w:t>.</w:t>
            </w:r>
          </w:p>
        </w:tc>
        <w:tc>
          <w:tcPr>
            <w:tcW w:w="3150" w:type="dxa"/>
          </w:tcPr>
          <w:p w14:paraId="53B36F40" w14:textId="77777777" w:rsidR="00855CB7" w:rsidRDefault="00855CB7">
            <w:pPr>
              <w:pStyle w:val="TableText"/>
              <w:rPr>
                <w:lang w:val="en-CA"/>
              </w:rPr>
            </w:pPr>
            <w:r>
              <w:rPr>
                <w:i/>
                <w:lang w:val="en-CA"/>
              </w:rPr>
              <w:t>Market participants</w:t>
            </w:r>
            <w:r>
              <w:rPr>
                <w:lang w:val="en-CA"/>
              </w:rPr>
              <w:t xml:space="preserve"> download </w:t>
            </w:r>
            <w:r w:rsidR="00E33158">
              <w:rPr>
                <w:lang w:val="en-CA"/>
              </w:rPr>
              <w:t xml:space="preserve">IMO_FORM_1507 </w:t>
            </w:r>
            <w:r>
              <w:rPr>
                <w:lang w:val="en-CA"/>
              </w:rPr>
              <w:t xml:space="preserve">from </w:t>
            </w:r>
            <w:r w:rsidR="00D60C6C">
              <w:rPr>
                <w:lang w:val="en-CA"/>
              </w:rPr>
              <w:t>our</w:t>
            </w:r>
            <w:r>
              <w:rPr>
                <w:lang w:val="en-CA"/>
              </w:rPr>
              <w:t xml:space="preserve"> </w:t>
            </w:r>
            <w:r w:rsidR="00D60C6C">
              <w:rPr>
                <w:lang w:val="en-CA"/>
              </w:rPr>
              <w:t>w</w:t>
            </w:r>
            <w:r>
              <w:rPr>
                <w:lang w:val="en-CA"/>
              </w:rPr>
              <w:t xml:space="preserve">eb site, complete the Form and submit it to </w:t>
            </w:r>
            <w:r w:rsidR="00D60C6C">
              <w:rPr>
                <w:lang w:val="en-CA"/>
              </w:rPr>
              <w:t>us</w:t>
            </w:r>
            <w:r>
              <w:rPr>
                <w:lang w:val="en-CA"/>
              </w:rPr>
              <w:t>.</w:t>
            </w:r>
          </w:p>
          <w:p w14:paraId="25BFD540" w14:textId="77777777" w:rsidR="00855CB7" w:rsidRDefault="00855CB7">
            <w:pPr>
              <w:pStyle w:val="TableText"/>
              <w:rPr>
                <w:lang w:val="en-CA"/>
              </w:rPr>
            </w:pPr>
            <w:r>
              <w:rPr>
                <w:lang w:val="en-CA"/>
              </w:rPr>
              <w:t>The sender ensures the proper signatures are included.</w:t>
            </w:r>
          </w:p>
        </w:tc>
        <w:tc>
          <w:tcPr>
            <w:tcW w:w="2160" w:type="dxa"/>
          </w:tcPr>
          <w:p w14:paraId="4B64BA69" w14:textId="77777777" w:rsidR="00855CB7" w:rsidRDefault="00855CB7">
            <w:pPr>
              <w:pStyle w:val="TableText"/>
              <w:rPr>
                <w:b/>
                <w:lang w:val="en-CA"/>
              </w:rPr>
            </w:pPr>
            <w:r>
              <w:rPr>
                <w:lang w:val="en-CA"/>
              </w:rPr>
              <w:t xml:space="preserve">As a </w:t>
            </w:r>
            <w:r>
              <w:rPr>
                <w:i/>
                <w:lang w:val="en-CA"/>
              </w:rPr>
              <w:t xml:space="preserve">market participant </w:t>
            </w:r>
            <w:r>
              <w:rPr>
                <w:lang w:val="en-CA"/>
              </w:rPr>
              <w:t>becomes eligible.</w:t>
            </w:r>
          </w:p>
        </w:tc>
        <w:tc>
          <w:tcPr>
            <w:tcW w:w="2160" w:type="dxa"/>
          </w:tcPr>
          <w:p w14:paraId="725036E4" w14:textId="77777777" w:rsidR="00855CB7" w:rsidRDefault="00855CB7">
            <w:pPr>
              <w:pStyle w:val="TableText"/>
              <w:rPr>
                <w:lang w:val="en-CA"/>
              </w:rPr>
            </w:pPr>
            <w:r>
              <w:rPr>
                <w:lang w:val="en-CA"/>
              </w:rPr>
              <w:t xml:space="preserve">Declaration of designated </w:t>
            </w:r>
            <w:r w:rsidRPr="00323413">
              <w:rPr>
                <w:lang w:val="en-CA"/>
              </w:rPr>
              <w:t xml:space="preserve">consumer </w:t>
            </w:r>
            <w:r>
              <w:rPr>
                <w:lang w:val="en-CA"/>
              </w:rPr>
              <w:t>is made.</w:t>
            </w:r>
          </w:p>
        </w:tc>
        <w:tc>
          <w:tcPr>
            <w:tcW w:w="2160" w:type="dxa"/>
          </w:tcPr>
          <w:p w14:paraId="0A56C67D" w14:textId="77777777" w:rsidR="00855CB7" w:rsidRDefault="00855CB7">
            <w:pPr>
              <w:pStyle w:val="TableText"/>
              <w:rPr>
                <w:lang w:val="en-CA"/>
              </w:rPr>
            </w:pPr>
            <w:r>
              <w:rPr>
                <w:lang w:val="en-CA"/>
              </w:rPr>
              <w:t>Email, followed by Fax with signature of signing authority.</w:t>
            </w:r>
          </w:p>
        </w:tc>
        <w:tc>
          <w:tcPr>
            <w:tcW w:w="2070" w:type="dxa"/>
          </w:tcPr>
          <w:p w14:paraId="3E094E0D" w14:textId="77777777" w:rsidR="00855CB7" w:rsidRDefault="00855CB7" w:rsidP="00891C47">
            <w:pPr>
              <w:pStyle w:val="TableText"/>
              <w:rPr>
                <w:lang w:val="en-CA"/>
              </w:rPr>
            </w:pPr>
            <w:r>
              <w:rPr>
                <w:lang w:val="en-CA"/>
              </w:rPr>
              <w:t xml:space="preserve">Declaration information is sent </w:t>
            </w:r>
            <w:r w:rsidR="00891C47">
              <w:rPr>
                <w:lang w:val="en-CA"/>
              </w:rPr>
              <w:t>to us.</w:t>
            </w:r>
          </w:p>
        </w:tc>
      </w:tr>
      <w:tr w:rsidR="00855CB7" w14:paraId="4531EC6A" w14:textId="77777777" w:rsidTr="007578A1">
        <w:trPr>
          <w:cantSplit/>
        </w:trPr>
        <w:tc>
          <w:tcPr>
            <w:tcW w:w="864" w:type="dxa"/>
          </w:tcPr>
          <w:p w14:paraId="66A92BC0" w14:textId="77777777" w:rsidR="00855CB7" w:rsidRDefault="00855CB7">
            <w:pPr>
              <w:pStyle w:val="TableText"/>
              <w:rPr>
                <w:lang w:val="en-CA"/>
              </w:rPr>
            </w:pPr>
            <w:r>
              <w:rPr>
                <w:lang w:val="en-CA"/>
              </w:rPr>
              <w:t>5I.02</w:t>
            </w:r>
          </w:p>
        </w:tc>
        <w:tc>
          <w:tcPr>
            <w:tcW w:w="2160" w:type="dxa"/>
          </w:tcPr>
          <w:p w14:paraId="03005BE4" w14:textId="77777777" w:rsidR="00855CB7" w:rsidRDefault="00855CB7" w:rsidP="00E33158">
            <w:pPr>
              <w:pStyle w:val="TableText"/>
              <w:rPr>
                <w:lang w:val="en-CA"/>
              </w:rPr>
            </w:pPr>
            <w:r>
              <w:rPr>
                <w:lang w:val="en-CA"/>
              </w:rPr>
              <w:t xml:space="preserve">Receive and acknowledge receipt of </w:t>
            </w:r>
            <w:r w:rsidR="00F30D1F">
              <w:rPr>
                <w:lang w:val="en-CA"/>
              </w:rPr>
              <w:t>IMO</w:t>
            </w:r>
            <w:r w:rsidR="00E33158">
              <w:rPr>
                <w:lang w:val="en-CA"/>
              </w:rPr>
              <w:t>_</w:t>
            </w:r>
            <w:r w:rsidR="00F30D1F">
              <w:rPr>
                <w:lang w:val="en-CA"/>
              </w:rPr>
              <w:t>FORM</w:t>
            </w:r>
            <w:r w:rsidR="00E33158">
              <w:rPr>
                <w:lang w:val="en-CA"/>
              </w:rPr>
              <w:t>_</w:t>
            </w:r>
            <w:r>
              <w:rPr>
                <w:lang w:val="en-CA"/>
              </w:rPr>
              <w:t>1507.</w:t>
            </w:r>
          </w:p>
        </w:tc>
        <w:tc>
          <w:tcPr>
            <w:tcW w:w="3150" w:type="dxa"/>
          </w:tcPr>
          <w:p w14:paraId="3FD1E5F6" w14:textId="77777777" w:rsidR="00855CB7" w:rsidRDefault="00D60C6C">
            <w:pPr>
              <w:pStyle w:val="TableText"/>
              <w:rPr>
                <w:lang w:val="en-CA"/>
              </w:rPr>
            </w:pPr>
            <w:r>
              <w:rPr>
                <w:lang w:val="en-CA"/>
              </w:rPr>
              <w:t>W</w:t>
            </w:r>
            <w:r w:rsidRPr="007A6E66">
              <w:rPr>
                <w:lang w:val="en-CA"/>
              </w:rPr>
              <w:t>e</w:t>
            </w:r>
            <w:r w:rsidDel="00D60C6C">
              <w:rPr>
                <w:lang w:val="en-CA"/>
              </w:rPr>
              <w:t xml:space="preserve"> </w:t>
            </w:r>
            <w:r w:rsidR="00855CB7">
              <w:rPr>
                <w:lang w:val="en-CA"/>
              </w:rPr>
              <w:t xml:space="preserve">receive and send an acknowledgement of receipt of the </w:t>
            </w:r>
            <w:r w:rsidR="00E33158">
              <w:rPr>
                <w:lang w:val="en-CA"/>
              </w:rPr>
              <w:t xml:space="preserve">IMO_FORM_1507 </w:t>
            </w:r>
            <w:r w:rsidR="00855CB7">
              <w:rPr>
                <w:lang w:val="en-CA"/>
              </w:rPr>
              <w:t xml:space="preserve">from eligible </w:t>
            </w:r>
            <w:r w:rsidR="00855CB7">
              <w:rPr>
                <w:i/>
                <w:lang w:val="en-CA"/>
              </w:rPr>
              <w:t>market participants</w:t>
            </w:r>
            <w:r w:rsidR="00855CB7">
              <w:rPr>
                <w:lang w:val="en-CA"/>
              </w:rPr>
              <w:t>.</w:t>
            </w:r>
          </w:p>
          <w:p w14:paraId="726FE7AE" w14:textId="77777777" w:rsidR="00855CB7" w:rsidRDefault="00855CB7">
            <w:pPr>
              <w:pStyle w:val="TableText"/>
              <w:rPr>
                <w:lang w:val="en-CA"/>
              </w:rPr>
            </w:pPr>
            <w:r>
              <w:rPr>
                <w:lang w:val="en-CA"/>
              </w:rPr>
              <w:t xml:space="preserve">In the event further information is required, the </w:t>
            </w:r>
            <w:r>
              <w:rPr>
                <w:i/>
                <w:lang w:val="en-CA"/>
              </w:rPr>
              <w:t>market participant</w:t>
            </w:r>
            <w:r>
              <w:rPr>
                <w:lang w:val="en-CA"/>
              </w:rPr>
              <w:t xml:space="preserve"> is requested to re-submit the form.</w:t>
            </w:r>
          </w:p>
        </w:tc>
        <w:tc>
          <w:tcPr>
            <w:tcW w:w="2160" w:type="dxa"/>
          </w:tcPr>
          <w:p w14:paraId="4A1802D5" w14:textId="77777777" w:rsidR="00855CB7" w:rsidRDefault="00855CB7">
            <w:pPr>
              <w:pStyle w:val="TableText"/>
              <w:rPr>
                <w:lang w:val="en-CA"/>
              </w:rPr>
            </w:pPr>
            <w:r>
              <w:rPr>
                <w:lang w:val="en-CA"/>
              </w:rPr>
              <w:t>Upon receipt of information.</w:t>
            </w:r>
          </w:p>
        </w:tc>
        <w:tc>
          <w:tcPr>
            <w:tcW w:w="2160" w:type="dxa"/>
          </w:tcPr>
          <w:p w14:paraId="163192B4" w14:textId="77777777" w:rsidR="00855CB7" w:rsidRDefault="00855CB7">
            <w:pPr>
              <w:pStyle w:val="TableText"/>
              <w:rPr>
                <w:lang w:val="en-CA"/>
              </w:rPr>
            </w:pPr>
            <w:r>
              <w:rPr>
                <w:lang w:val="en-CA"/>
              </w:rPr>
              <w:t>Acknowledgement.</w:t>
            </w:r>
          </w:p>
        </w:tc>
        <w:tc>
          <w:tcPr>
            <w:tcW w:w="2160" w:type="dxa"/>
          </w:tcPr>
          <w:p w14:paraId="06D5B765" w14:textId="77777777" w:rsidR="00855CB7" w:rsidRDefault="00855CB7">
            <w:pPr>
              <w:pStyle w:val="TableText"/>
              <w:rPr>
                <w:b/>
                <w:lang w:val="en-CA"/>
              </w:rPr>
            </w:pPr>
            <w:r>
              <w:rPr>
                <w:lang w:val="en-CA"/>
              </w:rPr>
              <w:t>Email.</w:t>
            </w:r>
          </w:p>
        </w:tc>
        <w:tc>
          <w:tcPr>
            <w:tcW w:w="2070" w:type="dxa"/>
          </w:tcPr>
          <w:p w14:paraId="4FE9536A" w14:textId="77777777" w:rsidR="00855CB7" w:rsidRDefault="00855CB7" w:rsidP="00891C47">
            <w:pPr>
              <w:pStyle w:val="TableText"/>
              <w:rPr>
                <w:lang w:val="en-CA"/>
              </w:rPr>
            </w:pPr>
            <w:r>
              <w:rPr>
                <w:lang w:val="en-CA"/>
              </w:rPr>
              <w:t xml:space="preserve">Information received by </w:t>
            </w:r>
            <w:r w:rsidR="00891C47">
              <w:rPr>
                <w:lang w:val="en-CA"/>
              </w:rPr>
              <w:t>us</w:t>
            </w:r>
            <w:r>
              <w:rPr>
                <w:i/>
                <w:lang w:val="en-CA"/>
              </w:rPr>
              <w:t xml:space="preserve"> </w:t>
            </w:r>
            <w:r>
              <w:rPr>
                <w:lang w:val="en-CA"/>
              </w:rPr>
              <w:t xml:space="preserve">and acknowledgement sent to </w:t>
            </w:r>
            <w:r>
              <w:rPr>
                <w:i/>
                <w:lang w:val="en-CA"/>
              </w:rPr>
              <w:t>market participant.</w:t>
            </w:r>
          </w:p>
        </w:tc>
      </w:tr>
      <w:tr w:rsidR="00855CB7" w14:paraId="65B84C4D" w14:textId="77777777" w:rsidTr="007578A1">
        <w:trPr>
          <w:cantSplit/>
        </w:trPr>
        <w:tc>
          <w:tcPr>
            <w:tcW w:w="864" w:type="dxa"/>
          </w:tcPr>
          <w:p w14:paraId="27476F5B" w14:textId="77777777" w:rsidR="00855CB7" w:rsidRDefault="00855CB7">
            <w:pPr>
              <w:pStyle w:val="TableText"/>
              <w:rPr>
                <w:lang w:val="en-CA"/>
              </w:rPr>
            </w:pPr>
            <w:r>
              <w:rPr>
                <w:lang w:val="en-CA"/>
              </w:rPr>
              <w:t>5I.03</w:t>
            </w:r>
          </w:p>
        </w:tc>
        <w:tc>
          <w:tcPr>
            <w:tcW w:w="2160" w:type="dxa"/>
          </w:tcPr>
          <w:p w14:paraId="7A87CF85" w14:textId="77777777" w:rsidR="00855CB7" w:rsidRDefault="00855CB7">
            <w:pPr>
              <w:pStyle w:val="TableText"/>
              <w:rPr>
                <w:lang w:val="en-CA"/>
              </w:rPr>
            </w:pPr>
            <w:r>
              <w:rPr>
                <w:lang w:val="en-CA"/>
              </w:rPr>
              <w:t>Receive acknowledgement.</w:t>
            </w:r>
          </w:p>
        </w:tc>
        <w:tc>
          <w:tcPr>
            <w:tcW w:w="3150" w:type="dxa"/>
          </w:tcPr>
          <w:p w14:paraId="47311CE0" w14:textId="77777777" w:rsidR="00855CB7" w:rsidRDefault="00855CB7" w:rsidP="00D60C6C">
            <w:pPr>
              <w:pStyle w:val="TableText"/>
              <w:rPr>
                <w:lang w:val="en-CA"/>
              </w:rPr>
            </w:pPr>
            <w:r>
              <w:rPr>
                <w:i/>
                <w:lang w:val="en-CA"/>
              </w:rPr>
              <w:t xml:space="preserve">Market participants </w:t>
            </w:r>
            <w:r>
              <w:rPr>
                <w:lang w:val="en-CA"/>
              </w:rPr>
              <w:t xml:space="preserve">receive acknowledgement of </w:t>
            </w:r>
            <w:r w:rsidR="00D60C6C">
              <w:rPr>
                <w:lang w:val="en-CA"/>
              </w:rPr>
              <w:t xml:space="preserve">our </w:t>
            </w:r>
            <w:r>
              <w:rPr>
                <w:lang w:val="en-CA"/>
              </w:rPr>
              <w:t xml:space="preserve">receipt of </w:t>
            </w:r>
            <w:r w:rsidR="00F30D1F">
              <w:rPr>
                <w:lang w:val="en-CA"/>
              </w:rPr>
              <w:t>IMO</w:t>
            </w:r>
            <w:r w:rsidR="00E33158">
              <w:rPr>
                <w:lang w:val="en-CA"/>
              </w:rPr>
              <w:t>_</w:t>
            </w:r>
            <w:r w:rsidR="00F30D1F">
              <w:rPr>
                <w:lang w:val="en-CA"/>
              </w:rPr>
              <w:t>FORM</w:t>
            </w:r>
            <w:r w:rsidR="00E33158">
              <w:rPr>
                <w:lang w:val="en-CA"/>
              </w:rPr>
              <w:t>_</w:t>
            </w:r>
            <w:r>
              <w:rPr>
                <w:lang w:val="en-CA"/>
              </w:rPr>
              <w:t>1507</w:t>
            </w:r>
            <w:r w:rsidR="00D60C6C">
              <w:rPr>
                <w:lang w:val="en-CA"/>
              </w:rPr>
              <w:t>.</w:t>
            </w:r>
          </w:p>
        </w:tc>
        <w:tc>
          <w:tcPr>
            <w:tcW w:w="2160" w:type="dxa"/>
          </w:tcPr>
          <w:p w14:paraId="422D8515" w14:textId="77777777" w:rsidR="00855CB7" w:rsidRDefault="00855CB7">
            <w:pPr>
              <w:pStyle w:val="TableText"/>
              <w:rPr>
                <w:lang w:val="en-CA"/>
              </w:rPr>
            </w:pPr>
            <w:r>
              <w:rPr>
                <w:lang w:val="en-CA"/>
              </w:rPr>
              <w:t>After step 5I.02.</w:t>
            </w:r>
          </w:p>
        </w:tc>
        <w:tc>
          <w:tcPr>
            <w:tcW w:w="2160" w:type="dxa"/>
          </w:tcPr>
          <w:p w14:paraId="675749F2" w14:textId="77777777" w:rsidR="00855CB7" w:rsidRDefault="00855CB7">
            <w:pPr>
              <w:pStyle w:val="TableText"/>
              <w:rPr>
                <w:lang w:val="en-CA"/>
              </w:rPr>
            </w:pPr>
            <w:r>
              <w:rPr>
                <w:lang w:val="en-CA"/>
              </w:rPr>
              <w:t>None.</w:t>
            </w:r>
          </w:p>
        </w:tc>
        <w:tc>
          <w:tcPr>
            <w:tcW w:w="2160" w:type="dxa"/>
          </w:tcPr>
          <w:p w14:paraId="1ABCC885" w14:textId="77777777" w:rsidR="00855CB7" w:rsidRDefault="00855CB7">
            <w:pPr>
              <w:pStyle w:val="TableText"/>
              <w:rPr>
                <w:lang w:val="en-CA"/>
              </w:rPr>
            </w:pPr>
            <w:r>
              <w:rPr>
                <w:lang w:val="en-CA"/>
              </w:rPr>
              <w:t>Email.</w:t>
            </w:r>
          </w:p>
        </w:tc>
        <w:tc>
          <w:tcPr>
            <w:tcW w:w="2070" w:type="dxa"/>
          </w:tcPr>
          <w:p w14:paraId="5765569B" w14:textId="77777777" w:rsidR="00855CB7" w:rsidRDefault="00855CB7">
            <w:pPr>
              <w:pStyle w:val="TableText"/>
              <w:rPr>
                <w:i/>
                <w:lang w:val="en-CA"/>
              </w:rPr>
            </w:pPr>
            <w:r>
              <w:rPr>
                <w:lang w:val="en-CA"/>
              </w:rPr>
              <w:t>Acknowledgement</w:t>
            </w:r>
            <w:r>
              <w:rPr>
                <w:i/>
                <w:lang w:val="en-CA"/>
              </w:rPr>
              <w:t xml:space="preserve"> </w:t>
            </w:r>
            <w:r>
              <w:rPr>
                <w:lang w:val="en-CA"/>
              </w:rPr>
              <w:t>received.</w:t>
            </w:r>
          </w:p>
        </w:tc>
      </w:tr>
    </w:tbl>
    <w:p w14:paraId="6A541790" w14:textId="77777777" w:rsidR="00855CB7" w:rsidRDefault="00855CB7">
      <w:pPr>
        <w:pStyle w:val="BodyText"/>
        <w:rPr>
          <w:lang w:val="en-CA"/>
        </w:rPr>
      </w:pPr>
    </w:p>
    <w:p w14:paraId="3718D73D" w14:textId="77777777" w:rsidR="00855CB7" w:rsidRDefault="001C5CFA">
      <w:pPr>
        <w:pStyle w:val="Heading2"/>
        <w:pageBreakBefore/>
        <w:spacing w:before="240"/>
        <w:rPr>
          <w:lang w:val="en-CA"/>
        </w:rPr>
      </w:pPr>
      <w:bookmarkStart w:id="1514" w:name="_Toc32038463"/>
      <w:bookmarkStart w:id="1515" w:name="_Toc175383927"/>
      <w:bookmarkStart w:id="1516" w:name="_Toc400369553"/>
      <w:bookmarkStart w:id="1517" w:name="_Toc35796391"/>
      <w:bookmarkStart w:id="1518" w:name="_Toc79657993"/>
      <w:r>
        <w:rPr>
          <w:lang w:val="en-CA"/>
        </w:rPr>
        <w:t>Intentionally Left Blank</w:t>
      </w:r>
      <w:bookmarkEnd w:id="1514"/>
      <w:bookmarkEnd w:id="1515"/>
      <w:bookmarkEnd w:id="1516"/>
      <w:bookmarkEnd w:id="1517"/>
      <w:bookmarkEnd w:id="1518"/>
    </w:p>
    <w:p w14:paraId="4F061687" w14:textId="77777777" w:rsidR="001C5CFA" w:rsidRDefault="001C5CFA" w:rsidP="001C5CFA">
      <w:pPr>
        <w:pStyle w:val="BodyText"/>
        <w:rPr>
          <w:lang w:val="en-CA"/>
        </w:rPr>
      </w:pPr>
    </w:p>
    <w:p w14:paraId="379B0AF1" w14:textId="77777777" w:rsidR="008D6AD0" w:rsidRDefault="008D6AD0" w:rsidP="001C5CFA">
      <w:pPr>
        <w:pStyle w:val="BodyText"/>
        <w:rPr>
          <w:lang w:val="en-CA"/>
        </w:rPr>
      </w:pPr>
    </w:p>
    <w:tbl>
      <w:tblPr>
        <w:tblW w:w="14724" w:type="dxa"/>
        <w:tblInd w:w="-792" w:type="dxa"/>
        <w:tblLayout w:type="fixed"/>
        <w:tblCellMar>
          <w:left w:w="72" w:type="dxa"/>
          <w:right w:w="72" w:type="dxa"/>
        </w:tblCellMar>
        <w:tblLook w:val="0000" w:firstRow="0" w:lastRow="0" w:firstColumn="0" w:lastColumn="0" w:noHBand="0" w:noVBand="0"/>
      </w:tblPr>
      <w:tblGrid>
        <w:gridCol w:w="14724"/>
      </w:tblGrid>
      <w:tr w:rsidR="001C5CFA" w14:paraId="52FD61E8" w14:textId="77777777" w:rsidTr="001C5CFA">
        <w:trPr>
          <w:cantSplit/>
          <w:tblHeader/>
        </w:trPr>
        <w:tc>
          <w:tcPr>
            <w:tcW w:w="14724" w:type="dxa"/>
          </w:tcPr>
          <w:p w14:paraId="51FF877B" w14:textId="77777777" w:rsidR="001C5CFA" w:rsidRDefault="001C5CFA" w:rsidP="001C5CFA">
            <w:pPr>
              <w:pStyle w:val="TableCaption"/>
              <w:keepNext/>
              <w:keepLines/>
              <w:rPr>
                <w:lang w:val="en-CA"/>
              </w:rPr>
            </w:pPr>
            <w:bookmarkStart w:id="1519" w:name="_Toc400369606"/>
            <w:bookmarkStart w:id="1520" w:name="_Toc35796439"/>
            <w:bookmarkStart w:id="1521" w:name="_Toc79657846"/>
            <w:r>
              <w:rPr>
                <w:lang w:val="en-CA"/>
              </w:rPr>
              <w:t>Table 3–10:  Intentionally Left Blank</w:t>
            </w:r>
            <w:bookmarkEnd w:id="1519"/>
            <w:bookmarkEnd w:id="1520"/>
            <w:bookmarkEnd w:id="1521"/>
          </w:p>
        </w:tc>
      </w:tr>
    </w:tbl>
    <w:p w14:paraId="5DA1F485" w14:textId="77777777" w:rsidR="001C5CFA" w:rsidRDefault="001C5CFA">
      <w:bookmarkStart w:id="1522" w:name="_Toc25814748"/>
      <w:bookmarkStart w:id="1523" w:name="_Toc173213652"/>
    </w:p>
    <w:p w14:paraId="292E7A18" w14:textId="77777777" w:rsidR="00855CB7" w:rsidRDefault="00891C47" w:rsidP="003853C6">
      <w:pPr>
        <w:pStyle w:val="Heading2"/>
        <w:pageBreakBefore/>
        <w:numPr>
          <w:ilvl w:val="1"/>
          <w:numId w:val="26"/>
        </w:numPr>
        <w:spacing w:before="240"/>
        <w:rPr>
          <w:lang w:val="en-CA"/>
        </w:rPr>
      </w:pPr>
      <w:bookmarkStart w:id="1524" w:name="_Toc175383928"/>
      <w:bookmarkStart w:id="1525" w:name="_Toc400369554"/>
      <w:bookmarkStart w:id="1526" w:name="_Toc35796392"/>
      <w:bookmarkStart w:id="1527" w:name="_Toc79657994"/>
      <w:bookmarkEnd w:id="1522"/>
      <w:bookmarkEnd w:id="1523"/>
      <w:r>
        <w:rPr>
          <w:lang w:val="en-CA"/>
        </w:rPr>
        <w:t>Submitting</w:t>
      </w:r>
      <w:r w:rsidR="00855CB7">
        <w:rPr>
          <w:lang w:val="en-CA"/>
        </w:rPr>
        <w:t xml:space="preserve"> Transmission Service Charges for Embedded Generation</w:t>
      </w:r>
      <w:bookmarkEnd w:id="1524"/>
      <w:bookmarkEnd w:id="1525"/>
      <w:bookmarkEnd w:id="1526"/>
      <w:bookmarkEnd w:id="1527"/>
    </w:p>
    <w:p w14:paraId="770EB425" w14:textId="77777777" w:rsidR="00855CB7" w:rsidRDefault="00855CB7">
      <w:pPr>
        <w:pStyle w:val="BodyText"/>
        <w:rPr>
          <w:lang w:val="en-CA"/>
        </w:rPr>
      </w:pPr>
      <w:r>
        <w:rPr>
          <w:snapToGrid w:val="0"/>
          <w:lang w:val="en-CA"/>
        </w:rPr>
        <w:t>For</w:t>
      </w:r>
      <w:r>
        <w:rPr>
          <w:snapToGrid w:val="0"/>
          <w:lang w:val="en-CA" w:eastAsia="en-US"/>
        </w:rPr>
        <w:t xml:space="preserve"> each </w:t>
      </w:r>
      <w:r>
        <w:rPr>
          <w:i/>
        </w:rPr>
        <w:t>embedded generation facility</w:t>
      </w:r>
      <w:r>
        <w:t xml:space="preserve"> for which a </w:t>
      </w:r>
      <w:r>
        <w:rPr>
          <w:i/>
        </w:rPr>
        <w:t>metering point</w:t>
      </w:r>
      <w:r>
        <w:t xml:space="preserve"> has been registered under the Alternative Metering Installation Standards for E</w:t>
      </w:r>
      <w:r w:rsidR="001C02E3">
        <w:t>mbedded Generation Facilities (Chapter 6, S</w:t>
      </w:r>
      <w:r>
        <w:t>ection 4.5</w:t>
      </w:r>
      <w:r w:rsidR="0091432D" w:rsidRPr="0091432D">
        <w:rPr>
          <w:lang w:val="en-CA"/>
        </w:rPr>
        <w:t xml:space="preserve"> </w:t>
      </w:r>
      <w:r w:rsidR="0091432D">
        <w:rPr>
          <w:lang w:val="en-CA"/>
        </w:rPr>
        <w:t xml:space="preserve">of the </w:t>
      </w:r>
      <w:r w:rsidR="00752CC8" w:rsidRPr="00752CC8">
        <w:rPr>
          <w:i/>
          <w:lang w:val="en-CA"/>
        </w:rPr>
        <w:t>market rules</w:t>
      </w:r>
      <w:r>
        <w:t xml:space="preserve">) </w:t>
      </w:r>
      <w:r>
        <w:rPr>
          <w:i/>
          <w:snapToGrid w:val="0"/>
          <w:lang w:val="en-CA" w:eastAsia="en-US"/>
        </w:rPr>
        <w:t>transmission customers</w:t>
      </w:r>
      <w:r>
        <w:rPr>
          <w:snapToGrid w:val="0"/>
          <w:lang w:val="en-CA" w:eastAsia="en-US"/>
        </w:rPr>
        <w:t xml:space="preserve"> will </w:t>
      </w:r>
      <w:r w:rsidR="00640862">
        <w:rPr>
          <w:snapToGrid w:val="0"/>
          <w:lang w:val="en-CA" w:eastAsia="en-US"/>
        </w:rPr>
        <w:t>submit</w:t>
      </w:r>
      <w:r>
        <w:t xml:space="preserve"> </w:t>
      </w:r>
      <w:r>
        <w:rPr>
          <w:snapToGrid w:val="0"/>
          <w:lang w:val="en-CA" w:eastAsia="en-US"/>
        </w:rPr>
        <w:t xml:space="preserve">adjustment dollar values for the applicable </w:t>
      </w:r>
      <w:r>
        <w:rPr>
          <w:i/>
          <w:snapToGrid w:val="0"/>
          <w:lang w:val="en-CA" w:eastAsia="en-US"/>
        </w:rPr>
        <w:t>transmission service charges</w:t>
      </w:r>
      <w:r>
        <w:rPr>
          <w:snapToGrid w:val="0"/>
          <w:lang w:val="en-CA" w:eastAsia="en-US"/>
        </w:rPr>
        <w:t xml:space="preserve">. </w:t>
      </w:r>
      <w:r w:rsidR="00DC0E09" w:rsidRPr="00DC0E09">
        <w:rPr>
          <w:i/>
          <w:snapToGrid w:val="0"/>
          <w:lang w:val="en-CA" w:eastAsia="en-US"/>
        </w:rPr>
        <w:t>Settlement</w:t>
      </w:r>
      <w:r w:rsidR="009E0083">
        <w:rPr>
          <w:snapToGrid w:val="0"/>
          <w:lang w:val="en-CA" w:eastAsia="en-US"/>
        </w:rPr>
        <w:t xml:space="preserve"> data </w:t>
      </w:r>
      <w:r>
        <w:rPr>
          <w:snapToGrid w:val="0"/>
          <w:lang w:val="en-CA" w:eastAsia="en-US"/>
        </w:rPr>
        <w:t xml:space="preserve">must be submitted </w:t>
      </w:r>
      <w:r w:rsidR="005C6516">
        <w:rPr>
          <w:snapToGrid w:val="0"/>
          <w:lang w:val="en-CA" w:eastAsia="en-US"/>
        </w:rPr>
        <w:t>via Online IESO</w:t>
      </w:r>
      <w:r w:rsidR="009E0083">
        <w:rPr>
          <w:snapToGrid w:val="0"/>
          <w:lang w:val="en-CA" w:eastAsia="en-US"/>
        </w:rPr>
        <w:t xml:space="preserve"> </w:t>
      </w:r>
      <w:r>
        <w:rPr>
          <w:snapToGrid w:val="0"/>
          <w:lang w:val="en-CA" w:eastAsia="en-US"/>
        </w:rPr>
        <w:t>within three months of the calendar year end.  I</w:t>
      </w:r>
      <w:r>
        <w:t xml:space="preserve">n the event that the </w:t>
      </w:r>
      <w:r>
        <w:rPr>
          <w:i/>
        </w:rPr>
        <w:t>IESO</w:t>
      </w:r>
      <w:r>
        <w:t xml:space="preserve"> does not receive this information in a timely manner, </w:t>
      </w:r>
      <w:r w:rsidR="00891C47">
        <w:t>we</w:t>
      </w:r>
      <w:r>
        <w:t xml:space="preserve"> will use the installed </w:t>
      </w:r>
      <w:r>
        <w:rPr>
          <w:i/>
        </w:rPr>
        <w:t>maximum continuous rating</w:t>
      </w:r>
      <w:r>
        <w:t xml:space="preserve"> (as registered) for the </w:t>
      </w:r>
      <w:r>
        <w:rPr>
          <w:i/>
        </w:rPr>
        <w:t>embedded generation facilities</w:t>
      </w:r>
      <w:r>
        <w:t xml:space="preserve"> to determine an adjustment amount</w:t>
      </w:r>
      <w:r>
        <w:rPr>
          <w:lang w:val="en-CA"/>
        </w:rPr>
        <w:t>.</w:t>
      </w:r>
    </w:p>
    <w:p w14:paraId="0A21EFF2" w14:textId="77777777" w:rsidR="00855CB7" w:rsidRDefault="00855CB7">
      <w:pPr>
        <w:pStyle w:val="BodyText"/>
        <w:rPr>
          <w:lang w:val="en-CA"/>
        </w:rPr>
      </w:pPr>
      <w:r>
        <w:rPr>
          <w:lang w:val="en-CA"/>
        </w:rPr>
        <w:t>Steps shown in the following table are illustrated in Section 2.11, Figure 2-11.</w:t>
      </w:r>
    </w:p>
    <w:p w14:paraId="52FEDE2C" w14:textId="77777777" w:rsidR="00F70997" w:rsidRDefault="00170852">
      <w:pPr>
        <w:pStyle w:val="TableCaption"/>
        <w:rPr>
          <w:lang w:val="en-CA"/>
        </w:rPr>
      </w:pPr>
      <w:bookmarkStart w:id="1528" w:name="_Toc400369607"/>
      <w:bookmarkStart w:id="1529" w:name="_Toc35796440"/>
      <w:bookmarkStart w:id="1530" w:name="_Toc79657847"/>
      <w:r>
        <w:rPr>
          <w:lang w:val="en-CA"/>
        </w:rPr>
        <w:t>Table 3–11:  Procedural Steps for Submission of Transmission Service Charges for Embedded Generation</w:t>
      </w:r>
      <w:bookmarkEnd w:id="1528"/>
      <w:bookmarkEnd w:id="1529"/>
      <w:bookmarkEnd w:id="1530"/>
    </w:p>
    <w:tbl>
      <w:tblPr>
        <w:tblW w:w="14724"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Description w:val="Procedural Steps for Submission of Transmission Service Charges for Embedded Generation"/>
      </w:tblPr>
      <w:tblGrid>
        <w:gridCol w:w="864"/>
        <w:gridCol w:w="2160"/>
        <w:gridCol w:w="3150"/>
        <w:gridCol w:w="2160"/>
        <w:gridCol w:w="2160"/>
        <w:gridCol w:w="2160"/>
        <w:gridCol w:w="2070"/>
      </w:tblGrid>
      <w:tr w:rsidR="00855CB7" w14:paraId="33A047D0" w14:textId="77777777" w:rsidTr="00D9320F">
        <w:trPr>
          <w:tblHeader/>
        </w:trPr>
        <w:tc>
          <w:tcPr>
            <w:tcW w:w="864" w:type="dxa"/>
            <w:tcBorders>
              <w:bottom w:val="single" w:sz="4" w:space="0" w:color="auto"/>
            </w:tcBorders>
            <w:shd w:val="clear" w:color="auto" w:fill="D9D9D9" w:themeFill="background1" w:themeFillShade="D9"/>
            <w:vAlign w:val="center"/>
          </w:tcPr>
          <w:p w14:paraId="169E0DDC" w14:textId="77777777" w:rsidR="00855CB7" w:rsidRDefault="00855CB7" w:rsidP="000D70BE">
            <w:pPr>
              <w:pStyle w:val="TableHead"/>
              <w:keepNext/>
              <w:keepLines/>
              <w:rPr>
                <w:lang w:val="en-CA"/>
              </w:rPr>
            </w:pPr>
            <w:r>
              <w:rPr>
                <w:lang w:val="en-CA"/>
              </w:rPr>
              <w:t>Ref.</w:t>
            </w:r>
          </w:p>
        </w:tc>
        <w:tc>
          <w:tcPr>
            <w:tcW w:w="2160" w:type="dxa"/>
            <w:tcBorders>
              <w:bottom w:val="single" w:sz="4" w:space="0" w:color="auto"/>
            </w:tcBorders>
            <w:shd w:val="clear" w:color="auto" w:fill="D9D9D9" w:themeFill="background1" w:themeFillShade="D9"/>
            <w:vAlign w:val="center"/>
          </w:tcPr>
          <w:p w14:paraId="48867C86" w14:textId="77777777" w:rsidR="00855CB7" w:rsidRDefault="00855CB7" w:rsidP="000D70BE">
            <w:pPr>
              <w:pStyle w:val="TableHead"/>
              <w:keepNext/>
              <w:keepLines/>
              <w:rPr>
                <w:lang w:val="en-CA"/>
              </w:rPr>
            </w:pPr>
            <w:r>
              <w:rPr>
                <w:lang w:val="en-CA"/>
              </w:rPr>
              <w:t>Task Name</w:t>
            </w:r>
          </w:p>
        </w:tc>
        <w:tc>
          <w:tcPr>
            <w:tcW w:w="3150" w:type="dxa"/>
            <w:tcBorders>
              <w:bottom w:val="single" w:sz="4" w:space="0" w:color="auto"/>
            </w:tcBorders>
            <w:shd w:val="clear" w:color="auto" w:fill="D9D9D9" w:themeFill="background1" w:themeFillShade="D9"/>
            <w:vAlign w:val="center"/>
          </w:tcPr>
          <w:p w14:paraId="6A640515" w14:textId="77777777" w:rsidR="00855CB7" w:rsidRDefault="00855CB7" w:rsidP="000D70BE">
            <w:pPr>
              <w:pStyle w:val="TableHead"/>
              <w:keepNext/>
              <w:keepLines/>
              <w:rPr>
                <w:lang w:val="en-CA"/>
              </w:rPr>
            </w:pPr>
            <w:r>
              <w:rPr>
                <w:lang w:val="en-CA"/>
              </w:rPr>
              <w:t>Task Detail</w:t>
            </w:r>
          </w:p>
        </w:tc>
        <w:tc>
          <w:tcPr>
            <w:tcW w:w="2160" w:type="dxa"/>
            <w:tcBorders>
              <w:bottom w:val="single" w:sz="4" w:space="0" w:color="auto"/>
            </w:tcBorders>
            <w:shd w:val="clear" w:color="auto" w:fill="D9D9D9" w:themeFill="background1" w:themeFillShade="D9"/>
            <w:vAlign w:val="center"/>
          </w:tcPr>
          <w:p w14:paraId="1A23DFC2" w14:textId="77777777" w:rsidR="00855CB7" w:rsidRDefault="00855CB7" w:rsidP="000D70BE">
            <w:pPr>
              <w:pStyle w:val="TableHead"/>
              <w:keepNext/>
              <w:keepLines/>
              <w:rPr>
                <w:lang w:val="en-CA"/>
              </w:rPr>
            </w:pPr>
            <w:r>
              <w:rPr>
                <w:lang w:val="en-CA"/>
              </w:rPr>
              <w:t>When</w:t>
            </w:r>
          </w:p>
        </w:tc>
        <w:tc>
          <w:tcPr>
            <w:tcW w:w="2160" w:type="dxa"/>
            <w:tcBorders>
              <w:bottom w:val="single" w:sz="4" w:space="0" w:color="auto"/>
            </w:tcBorders>
            <w:shd w:val="clear" w:color="auto" w:fill="D9D9D9" w:themeFill="background1" w:themeFillShade="D9"/>
            <w:vAlign w:val="center"/>
          </w:tcPr>
          <w:p w14:paraId="6D4BC2E1" w14:textId="77777777" w:rsidR="00855CB7" w:rsidRDefault="00855CB7" w:rsidP="000D70BE">
            <w:pPr>
              <w:pStyle w:val="TableHead"/>
              <w:keepNext/>
              <w:keepLines/>
              <w:rPr>
                <w:lang w:val="en-CA"/>
              </w:rPr>
            </w:pPr>
            <w:r>
              <w:rPr>
                <w:lang w:val="en-CA"/>
              </w:rPr>
              <w:t>Resulting Information</w:t>
            </w:r>
          </w:p>
        </w:tc>
        <w:tc>
          <w:tcPr>
            <w:tcW w:w="2160" w:type="dxa"/>
            <w:tcBorders>
              <w:bottom w:val="single" w:sz="4" w:space="0" w:color="auto"/>
            </w:tcBorders>
            <w:shd w:val="clear" w:color="auto" w:fill="D9D9D9" w:themeFill="background1" w:themeFillShade="D9"/>
            <w:vAlign w:val="center"/>
          </w:tcPr>
          <w:p w14:paraId="0E8034CB" w14:textId="77777777" w:rsidR="00855CB7" w:rsidRDefault="00855CB7" w:rsidP="000D70BE">
            <w:pPr>
              <w:pStyle w:val="TableHead"/>
              <w:keepNext/>
              <w:keepLines/>
              <w:rPr>
                <w:lang w:val="en-CA"/>
              </w:rPr>
            </w:pPr>
            <w:r>
              <w:rPr>
                <w:lang w:val="en-CA"/>
              </w:rPr>
              <w:t>Method</w:t>
            </w:r>
          </w:p>
        </w:tc>
        <w:tc>
          <w:tcPr>
            <w:tcW w:w="2070" w:type="dxa"/>
            <w:tcBorders>
              <w:bottom w:val="single" w:sz="4" w:space="0" w:color="auto"/>
            </w:tcBorders>
            <w:shd w:val="clear" w:color="auto" w:fill="D9D9D9" w:themeFill="background1" w:themeFillShade="D9"/>
            <w:vAlign w:val="center"/>
          </w:tcPr>
          <w:p w14:paraId="6775F762" w14:textId="77777777" w:rsidR="00855CB7" w:rsidRDefault="00855CB7" w:rsidP="000D70BE">
            <w:pPr>
              <w:pStyle w:val="TableHead"/>
              <w:keepNext/>
              <w:keepLines/>
              <w:rPr>
                <w:lang w:val="en-CA"/>
              </w:rPr>
            </w:pPr>
            <w:r>
              <w:rPr>
                <w:lang w:val="en-CA"/>
              </w:rPr>
              <w:t>Completion Events</w:t>
            </w:r>
          </w:p>
        </w:tc>
      </w:tr>
      <w:tr w:rsidR="00855CB7" w14:paraId="78754575" w14:textId="77777777" w:rsidTr="00D9320F">
        <w:tc>
          <w:tcPr>
            <w:tcW w:w="864" w:type="dxa"/>
            <w:tcBorders>
              <w:bottom w:val="single" w:sz="4" w:space="0" w:color="auto"/>
            </w:tcBorders>
          </w:tcPr>
          <w:p w14:paraId="26EFCEE8" w14:textId="77777777" w:rsidR="00855CB7" w:rsidRDefault="00855CB7">
            <w:pPr>
              <w:pStyle w:val="TableText"/>
              <w:rPr>
                <w:lang w:val="en-CA"/>
              </w:rPr>
            </w:pPr>
            <w:r>
              <w:rPr>
                <w:lang w:val="en-CA"/>
              </w:rPr>
              <w:t>5K.01</w:t>
            </w:r>
          </w:p>
        </w:tc>
        <w:tc>
          <w:tcPr>
            <w:tcW w:w="2160" w:type="dxa"/>
            <w:tcBorders>
              <w:bottom w:val="single" w:sz="4" w:space="0" w:color="auto"/>
            </w:tcBorders>
          </w:tcPr>
          <w:p w14:paraId="58E153AD" w14:textId="77777777" w:rsidR="00855CB7" w:rsidRDefault="009E0083" w:rsidP="005C6516">
            <w:pPr>
              <w:pStyle w:val="TableText"/>
              <w:rPr>
                <w:lang w:val="en-CA"/>
              </w:rPr>
            </w:pPr>
            <w:r>
              <w:rPr>
                <w:lang w:val="en-CA"/>
              </w:rPr>
              <w:t>S</w:t>
            </w:r>
            <w:r w:rsidR="00855CB7">
              <w:rPr>
                <w:lang w:val="en-CA"/>
              </w:rPr>
              <w:t xml:space="preserve">ubmit Transmission Service Charges for Embedded Generation </w:t>
            </w:r>
            <w:r w:rsidR="00EF4607">
              <w:rPr>
                <w:lang w:val="en-CA"/>
              </w:rPr>
              <w:t xml:space="preserve">online </w:t>
            </w:r>
            <w:r>
              <w:rPr>
                <w:lang w:val="en-CA"/>
              </w:rPr>
              <w:t xml:space="preserve">via </w:t>
            </w:r>
            <w:r w:rsidR="005C6516">
              <w:rPr>
                <w:lang w:val="en-CA"/>
              </w:rPr>
              <w:t>Online IESO</w:t>
            </w:r>
            <w:r w:rsidRPr="009E0083">
              <w:rPr>
                <w:lang w:val="en-CA"/>
              </w:rPr>
              <w:t>.</w:t>
            </w:r>
          </w:p>
        </w:tc>
        <w:tc>
          <w:tcPr>
            <w:tcW w:w="3150" w:type="dxa"/>
            <w:tcBorders>
              <w:bottom w:val="single" w:sz="4" w:space="0" w:color="auto"/>
            </w:tcBorders>
          </w:tcPr>
          <w:p w14:paraId="5753F2EE" w14:textId="77777777" w:rsidR="009E0083" w:rsidRDefault="00855CB7">
            <w:pPr>
              <w:pStyle w:val="TableText"/>
            </w:pPr>
            <w:r>
              <w:rPr>
                <w:i/>
                <w:lang w:val="en-CA"/>
              </w:rPr>
              <w:t>Transmission Customers</w:t>
            </w:r>
            <w:r>
              <w:rPr>
                <w:lang w:val="en-CA"/>
              </w:rPr>
              <w:t xml:space="preserve"> </w:t>
            </w:r>
            <w:r w:rsidR="009E0083">
              <w:rPr>
                <w:lang w:val="en-CA"/>
              </w:rPr>
              <w:t xml:space="preserve">submit information </w:t>
            </w:r>
            <w:r w:rsidR="005C6516" w:rsidRPr="005C6516">
              <w:rPr>
                <w:lang w:val="en-CA"/>
              </w:rPr>
              <w:t>via the Submit Settlement Claim action available through Online IESO</w:t>
            </w:r>
            <w:r w:rsidR="009E0083">
              <w:rPr>
                <w:lang w:val="en-CA"/>
              </w:rPr>
              <w:t xml:space="preserve">. </w:t>
            </w:r>
          </w:p>
          <w:p w14:paraId="4A9B818E" w14:textId="77777777" w:rsidR="00855CB7" w:rsidRDefault="00855CB7">
            <w:pPr>
              <w:pStyle w:val="TableText"/>
              <w:rPr>
                <w:lang w:val="en-CA"/>
              </w:rPr>
            </w:pPr>
            <w:r>
              <w:t xml:space="preserve">Line and Transformation Connection Service Charges need to be calculated for all </w:t>
            </w:r>
            <w:r>
              <w:rPr>
                <w:i/>
              </w:rPr>
              <w:t>delivery points</w:t>
            </w:r>
            <w:r>
              <w:t xml:space="preserve"> with </w:t>
            </w:r>
            <w:r>
              <w:rPr>
                <w:i/>
              </w:rPr>
              <w:t>embedded generation facilities</w:t>
            </w:r>
            <w:r>
              <w:t xml:space="preserve"> registered under the Alternative Metering Installation Standards for Embedded Generation Facilities</w:t>
            </w:r>
            <w:r w:rsidR="00F65B31">
              <w:t>.</w:t>
            </w:r>
          </w:p>
          <w:p w14:paraId="4AC61068" w14:textId="77777777" w:rsidR="00855CB7" w:rsidRDefault="00855CB7">
            <w:pPr>
              <w:pStyle w:val="TableText"/>
              <w:rPr>
                <w:lang w:val="en-CA"/>
              </w:rPr>
            </w:pPr>
            <w:r>
              <w:rPr>
                <w:lang w:val="en-CA"/>
              </w:rPr>
              <w:t xml:space="preserve">The sender ensures adjustment amounts are agreed to by the </w:t>
            </w:r>
            <w:r w:rsidRPr="002E6CAB">
              <w:rPr>
                <w:i/>
                <w:lang w:val="en-CA"/>
              </w:rPr>
              <w:t>transmitter</w:t>
            </w:r>
            <w:r>
              <w:rPr>
                <w:lang w:val="en-CA"/>
              </w:rPr>
              <w:t>.</w:t>
            </w:r>
          </w:p>
        </w:tc>
        <w:tc>
          <w:tcPr>
            <w:tcW w:w="2160" w:type="dxa"/>
            <w:tcBorders>
              <w:bottom w:val="single" w:sz="4" w:space="0" w:color="auto"/>
            </w:tcBorders>
          </w:tcPr>
          <w:p w14:paraId="2B704E3C" w14:textId="77777777" w:rsidR="00855CB7" w:rsidRDefault="00855CB7">
            <w:pPr>
              <w:pStyle w:val="TableText"/>
              <w:rPr>
                <w:b/>
                <w:lang w:val="en-CA"/>
              </w:rPr>
            </w:pPr>
            <w:r>
              <w:rPr>
                <w:lang w:val="en-CA"/>
              </w:rPr>
              <w:t>Annually, as soon as possible after the last day of the calendar year and no later than three months after calendar year end.</w:t>
            </w:r>
          </w:p>
        </w:tc>
        <w:tc>
          <w:tcPr>
            <w:tcW w:w="2160" w:type="dxa"/>
            <w:tcBorders>
              <w:bottom w:val="single" w:sz="4" w:space="0" w:color="auto"/>
            </w:tcBorders>
          </w:tcPr>
          <w:p w14:paraId="0E760F38" w14:textId="77777777" w:rsidR="00855CB7" w:rsidRDefault="00855CB7">
            <w:pPr>
              <w:pStyle w:val="TableBullet"/>
              <w:numPr>
                <w:ilvl w:val="0"/>
                <w:numId w:val="0"/>
              </w:numPr>
              <w:rPr>
                <w:lang w:val="en-CA"/>
              </w:rPr>
            </w:pPr>
            <w:r>
              <w:rPr>
                <w:snapToGrid w:val="0"/>
                <w:lang w:val="en-CA" w:eastAsia="en-US"/>
              </w:rPr>
              <w:t xml:space="preserve">Annual adjustment dollar values for the applicable </w:t>
            </w:r>
            <w:r>
              <w:rPr>
                <w:i/>
                <w:snapToGrid w:val="0"/>
                <w:lang w:val="en-CA" w:eastAsia="en-US"/>
              </w:rPr>
              <w:t xml:space="preserve">transmission service charges </w:t>
            </w:r>
            <w:r>
              <w:rPr>
                <w:snapToGrid w:val="0"/>
                <w:lang w:val="en-CA" w:eastAsia="en-US"/>
              </w:rPr>
              <w:t xml:space="preserve">associated </w:t>
            </w:r>
            <w:r>
              <w:t xml:space="preserve">with </w:t>
            </w:r>
            <w:r>
              <w:rPr>
                <w:i/>
              </w:rPr>
              <w:t>embedded generation facilities</w:t>
            </w:r>
            <w:r>
              <w:t xml:space="preserve"> registered under the Alternative Metering Installation Standards for Embedded Generation Facilities</w:t>
            </w:r>
            <w:r>
              <w:rPr>
                <w:lang w:val="en-CA"/>
              </w:rPr>
              <w:t>.</w:t>
            </w:r>
          </w:p>
        </w:tc>
        <w:tc>
          <w:tcPr>
            <w:tcW w:w="2160" w:type="dxa"/>
            <w:tcBorders>
              <w:bottom w:val="single" w:sz="4" w:space="0" w:color="auto"/>
            </w:tcBorders>
          </w:tcPr>
          <w:p w14:paraId="62328C64" w14:textId="77777777" w:rsidR="00855CB7" w:rsidRDefault="00855CB7" w:rsidP="005C6516">
            <w:pPr>
              <w:pStyle w:val="TableText"/>
              <w:rPr>
                <w:lang w:val="en-CA"/>
              </w:rPr>
            </w:pPr>
            <w:r>
              <w:rPr>
                <w:lang w:val="en-CA"/>
              </w:rPr>
              <w:t xml:space="preserve">Submitted via </w:t>
            </w:r>
            <w:r w:rsidR="005C6516">
              <w:rPr>
                <w:lang w:val="en-CA"/>
              </w:rPr>
              <w:t>Online IESO</w:t>
            </w:r>
            <w:r w:rsidR="009E0083">
              <w:rPr>
                <w:lang w:val="en-CA"/>
              </w:rPr>
              <w:t>.</w:t>
            </w:r>
          </w:p>
        </w:tc>
        <w:tc>
          <w:tcPr>
            <w:tcW w:w="2070" w:type="dxa"/>
            <w:tcBorders>
              <w:bottom w:val="single" w:sz="4" w:space="0" w:color="auto"/>
            </w:tcBorders>
          </w:tcPr>
          <w:p w14:paraId="4840C93F" w14:textId="77777777" w:rsidR="00855CB7" w:rsidRDefault="00855CB7" w:rsidP="00891C47">
            <w:pPr>
              <w:pStyle w:val="TableText"/>
              <w:rPr>
                <w:lang w:val="en-CA"/>
              </w:rPr>
            </w:pPr>
            <w:r>
              <w:rPr>
                <w:lang w:val="en-CA"/>
              </w:rPr>
              <w:t xml:space="preserve">Annual adjustment information is sent </w:t>
            </w:r>
            <w:r w:rsidR="00891C47">
              <w:rPr>
                <w:lang w:val="en-CA"/>
              </w:rPr>
              <w:t>to us.</w:t>
            </w:r>
          </w:p>
        </w:tc>
      </w:tr>
      <w:tr w:rsidR="00855CB7" w14:paraId="5C45E14F" w14:textId="77777777" w:rsidTr="00170852">
        <w:trPr>
          <w:cantSplit/>
        </w:trPr>
        <w:tc>
          <w:tcPr>
            <w:tcW w:w="864" w:type="dxa"/>
            <w:tcBorders>
              <w:top w:val="single" w:sz="4" w:space="0" w:color="auto"/>
            </w:tcBorders>
          </w:tcPr>
          <w:p w14:paraId="45F695F6" w14:textId="77777777" w:rsidR="00855CB7" w:rsidRDefault="00855CB7">
            <w:pPr>
              <w:pStyle w:val="TableText"/>
              <w:rPr>
                <w:lang w:val="en-CA"/>
              </w:rPr>
            </w:pPr>
            <w:r>
              <w:rPr>
                <w:lang w:val="en-CA"/>
              </w:rPr>
              <w:t>5K.02</w:t>
            </w:r>
          </w:p>
        </w:tc>
        <w:tc>
          <w:tcPr>
            <w:tcW w:w="2160" w:type="dxa"/>
            <w:tcBorders>
              <w:top w:val="single" w:sz="4" w:space="0" w:color="auto"/>
            </w:tcBorders>
          </w:tcPr>
          <w:p w14:paraId="1FE3CCF8" w14:textId="77777777" w:rsidR="00855CB7" w:rsidRDefault="00855CB7">
            <w:pPr>
              <w:pStyle w:val="TableText"/>
              <w:rPr>
                <w:lang w:val="en-CA"/>
              </w:rPr>
            </w:pPr>
            <w:r>
              <w:rPr>
                <w:lang w:val="en-CA"/>
              </w:rPr>
              <w:t xml:space="preserve">Receipt of </w:t>
            </w:r>
            <w:r w:rsidR="009E0083">
              <w:rPr>
                <w:lang w:val="en-CA"/>
              </w:rPr>
              <w:t>online data submission.</w:t>
            </w:r>
          </w:p>
        </w:tc>
        <w:tc>
          <w:tcPr>
            <w:tcW w:w="3150" w:type="dxa"/>
            <w:tcBorders>
              <w:top w:val="single" w:sz="4" w:space="0" w:color="auto"/>
            </w:tcBorders>
          </w:tcPr>
          <w:p w14:paraId="013B0E54" w14:textId="77777777" w:rsidR="00855CB7" w:rsidRDefault="00374E1A">
            <w:pPr>
              <w:pStyle w:val="TableText"/>
              <w:rPr>
                <w:lang w:val="en-CA"/>
              </w:rPr>
            </w:pPr>
            <w:r>
              <w:rPr>
                <w:lang w:val="en-CA"/>
              </w:rPr>
              <w:t xml:space="preserve">We </w:t>
            </w:r>
            <w:r w:rsidR="00855CB7">
              <w:rPr>
                <w:lang w:val="en-CA"/>
              </w:rPr>
              <w:t>receive</w:t>
            </w:r>
            <w:r w:rsidR="009E0083">
              <w:rPr>
                <w:lang w:val="en-CA"/>
              </w:rPr>
              <w:t xml:space="preserve"> the online data submission </w:t>
            </w:r>
            <w:r w:rsidR="00855CB7">
              <w:rPr>
                <w:lang w:val="en-CA"/>
              </w:rPr>
              <w:t xml:space="preserve">from </w:t>
            </w:r>
            <w:r w:rsidR="00855CB7">
              <w:rPr>
                <w:i/>
                <w:lang w:val="en-CA"/>
              </w:rPr>
              <w:t>transmission customers</w:t>
            </w:r>
            <w:r w:rsidR="00855CB7">
              <w:rPr>
                <w:lang w:val="en-CA"/>
              </w:rPr>
              <w:t>.</w:t>
            </w:r>
          </w:p>
          <w:p w14:paraId="51A163E3" w14:textId="77777777" w:rsidR="00855CB7" w:rsidRDefault="00855CB7">
            <w:pPr>
              <w:pStyle w:val="TableText"/>
              <w:rPr>
                <w:lang w:val="en-CA"/>
              </w:rPr>
            </w:pPr>
            <w:r>
              <w:rPr>
                <w:lang w:val="en-CA"/>
              </w:rPr>
              <w:t xml:space="preserve">In the event further information is required, the </w:t>
            </w:r>
            <w:r>
              <w:rPr>
                <w:i/>
                <w:lang w:val="en-CA"/>
              </w:rPr>
              <w:t xml:space="preserve">distributor </w:t>
            </w:r>
            <w:r>
              <w:rPr>
                <w:lang w:val="en-CA"/>
              </w:rPr>
              <w:t>is requested to re-submit the form.</w:t>
            </w:r>
          </w:p>
        </w:tc>
        <w:tc>
          <w:tcPr>
            <w:tcW w:w="2160" w:type="dxa"/>
            <w:tcBorders>
              <w:top w:val="single" w:sz="4" w:space="0" w:color="auto"/>
            </w:tcBorders>
          </w:tcPr>
          <w:p w14:paraId="3781DE39" w14:textId="77777777" w:rsidR="00855CB7" w:rsidRDefault="00855CB7">
            <w:pPr>
              <w:pStyle w:val="TableText"/>
              <w:rPr>
                <w:lang w:val="en-CA"/>
              </w:rPr>
            </w:pPr>
          </w:p>
        </w:tc>
        <w:tc>
          <w:tcPr>
            <w:tcW w:w="2160" w:type="dxa"/>
            <w:tcBorders>
              <w:top w:val="single" w:sz="4" w:space="0" w:color="auto"/>
            </w:tcBorders>
          </w:tcPr>
          <w:p w14:paraId="0C36FF16" w14:textId="77777777" w:rsidR="00855CB7" w:rsidRDefault="00855CB7">
            <w:pPr>
              <w:pStyle w:val="TableText"/>
              <w:rPr>
                <w:lang w:val="en-CA"/>
              </w:rPr>
            </w:pPr>
          </w:p>
        </w:tc>
        <w:tc>
          <w:tcPr>
            <w:tcW w:w="2160" w:type="dxa"/>
            <w:tcBorders>
              <w:top w:val="single" w:sz="4" w:space="0" w:color="auto"/>
            </w:tcBorders>
          </w:tcPr>
          <w:p w14:paraId="34E4A252" w14:textId="77777777" w:rsidR="00855CB7" w:rsidRDefault="005C6516">
            <w:pPr>
              <w:pStyle w:val="TableText"/>
              <w:rPr>
                <w:lang w:val="en-CA"/>
              </w:rPr>
            </w:pPr>
            <w:r>
              <w:rPr>
                <w:i/>
                <w:lang w:val="en-CA"/>
              </w:rPr>
              <w:t>Online IESO</w:t>
            </w:r>
            <w:r w:rsidR="00E16C59">
              <w:rPr>
                <w:lang w:val="en-CA"/>
              </w:rPr>
              <w:t>.</w:t>
            </w:r>
          </w:p>
        </w:tc>
        <w:tc>
          <w:tcPr>
            <w:tcW w:w="2070" w:type="dxa"/>
            <w:tcBorders>
              <w:top w:val="single" w:sz="4" w:space="0" w:color="auto"/>
            </w:tcBorders>
          </w:tcPr>
          <w:p w14:paraId="4233E786" w14:textId="77777777" w:rsidR="00855CB7" w:rsidRDefault="00855CB7" w:rsidP="00891C47">
            <w:pPr>
              <w:pStyle w:val="TableText"/>
              <w:rPr>
                <w:lang w:val="en-CA"/>
              </w:rPr>
            </w:pPr>
            <w:r>
              <w:rPr>
                <w:lang w:val="en-CA"/>
              </w:rPr>
              <w:t xml:space="preserve">Information received by </w:t>
            </w:r>
            <w:r w:rsidR="00891C47">
              <w:rPr>
                <w:lang w:val="en-CA"/>
              </w:rPr>
              <w:t>us.</w:t>
            </w:r>
          </w:p>
        </w:tc>
      </w:tr>
      <w:tr w:rsidR="00855CB7" w14:paraId="4DE16706" w14:textId="77777777" w:rsidTr="00170852">
        <w:trPr>
          <w:cantSplit/>
        </w:trPr>
        <w:tc>
          <w:tcPr>
            <w:tcW w:w="864" w:type="dxa"/>
          </w:tcPr>
          <w:p w14:paraId="7FE18789" w14:textId="77777777" w:rsidR="00855CB7" w:rsidRDefault="00855CB7">
            <w:pPr>
              <w:pStyle w:val="TableText"/>
              <w:rPr>
                <w:lang w:val="en-CA"/>
              </w:rPr>
            </w:pPr>
            <w:r>
              <w:rPr>
                <w:lang w:val="en-CA"/>
              </w:rPr>
              <w:t>5K.03</w:t>
            </w:r>
          </w:p>
        </w:tc>
        <w:tc>
          <w:tcPr>
            <w:tcW w:w="2160" w:type="dxa"/>
          </w:tcPr>
          <w:p w14:paraId="0A198BEF" w14:textId="77777777" w:rsidR="00855CB7" w:rsidRDefault="00855CB7" w:rsidP="00891C47">
            <w:pPr>
              <w:pStyle w:val="TableText"/>
              <w:rPr>
                <w:lang w:val="en-CA"/>
              </w:rPr>
            </w:pPr>
            <w:r>
              <w:rPr>
                <w:lang w:val="en-CA"/>
              </w:rPr>
              <w:t xml:space="preserve">If </w:t>
            </w:r>
            <w:r w:rsidR="009E0083">
              <w:rPr>
                <w:lang w:val="en-CA"/>
              </w:rPr>
              <w:t xml:space="preserve">the online data submission </w:t>
            </w:r>
            <w:r>
              <w:rPr>
                <w:lang w:val="en-CA"/>
              </w:rPr>
              <w:t xml:space="preserve">is not received within 3 months of the calendar year end, </w:t>
            </w:r>
            <w:r w:rsidR="00891C47">
              <w:rPr>
                <w:lang w:val="en-CA"/>
              </w:rPr>
              <w:t>we will</w:t>
            </w:r>
            <w:r>
              <w:rPr>
                <w:lang w:val="en-CA"/>
              </w:rPr>
              <w:t xml:space="preserve"> use the installed </w:t>
            </w:r>
            <w:r w:rsidRPr="006F2251">
              <w:rPr>
                <w:i/>
                <w:lang w:val="en-CA"/>
              </w:rPr>
              <w:t>maximum continuous rating</w:t>
            </w:r>
            <w:r>
              <w:rPr>
                <w:lang w:val="en-CA"/>
              </w:rPr>
              <w:t xml:space="preserve"> for the embedded </w:t>
            </w:r>
            <w:r w:rsidRPr="00AA3D99">
              <w:rPr>
                <w:i/>
                <w:lang w:val="en-CA"/>
              </w:rPr>
              <w:t>generation facilities</w:t>
            </w:r>
            <w:r w:rsidR="00E16C59">
              <w:rPr>
                <w:i/>
                <w:lang w:val="en-CA"/>
              </w:rPr>
              <w:t>.</w:t>
            </w:r>
          </w:p>
        </w:tc>
        <w:tc>
          <w:tcPr>
            <w:tcW w:w="3150" w:type="dxa"/>
          </w:tcPr>
          <w:p w14:paraId="1119F85D" w14:textId="77777777" w:rsidR="00855CB7" w:rsidRDefault="00855CB7" w:rsidP="00374E1A">
            <w:pPr>
              <w:pStyle w:val="TableText"/>
              <w:rPr>
                <w:lang w:val="en-CA"/>
              </w:rPr>
            </w:pPr>
            <w:r>
              <w:rPr>
                <w:lang w:val="en-CA"/>
              </w:rPr>
              <w:t xml:space="preserve">In the event that </w:t>
            </w:r>
            <w:r w:rsidR="009E0083">
              <w:rPr>
                <w:lang w:val="en-CA"/>
              </w:rPr>
              <w:t>w</w:t>
            </w:r>
            <w:r w:rsidR="00374E1A">
              <w:rPr>
                <w:lang w:val="en-CA"/>
              </w:rPr>
              <w:t xml:space="preserve">e </w:t>
            </w:r>
            <w:r>
              <w:rPr>
                <w:lang w:val="en-CA"/>
              </w:rPr>
              <w:t xml:space="preserve">do not receive a </w:t>
            </w:r>
            <w:r w:rsidR="009E0083">
              <w:rPr>
                <w:lang w:val="en-CA"/>
              </w:rPr>
              <w:t xml:space="preserve">data submission </w:t>
            </w:r>
            <w:r>
              <w:rPr>
                <w:lang w:val="en-CA"/>
              </w:rPr>
              <w:t xml:space="preserve">within three months of the calendar year end, </w:t>
            </w:r>
            <w:r w:rsidR="00374E1A">
              <w:rPr>
                <w:lang w:val="en-CA"/>
              </w:rPr>
              <w:t xml:space="preserve">We will </w:t>
            </w:r>
            <w:r>
              <w:rPr>
                <w:lang w:val="en-CA"/>
              </w:rPr>
              <w:t xml:space="preserve">use the installed </w:t>
            </w:r>
            <w:r>
              <w:rPr>
                <w:i/>
                <w:lang w:val="en-CA"/>
              </w:rPr>
              <w:t>maximum continuous rating</w:t>
            </w:r>
            <w:r>
              <w:rPr>
                <w:lang w:val="en-CA"/>
              </w:rPr>
              <w:t xml:space="preserve"> for the </w:t>
            </w:r>
            <w:r>
              <w:rPr>
                <w:i/>
                <w:lang w:val="en-CA"/>
              </w:rPr>
              <w:t>embedded generation facilities</w:t>
            </w:r>
            <w:r>
              <w:rPr>
                <w:lang w:val="en-CA"/>
              </w:rPr>
              <w:t xml:space="preserve"> (provided to </w:t>
            </w:r>
            <w:r w:rsidR="00374E1A">
              <w:rPr>
                <w:lang w:val="en-CA"/>
              </w:rPr>
              <w:t>us</w:t>
            </w:r>
            <w:r>
              <w:rPr>
                <w:lang w:val="en-CA"/>
              </w:rPr>
              <w:t xml:space="preserve"> at the time of the </w:t>
            </w:r>
            <w:r>
              <w:rPr>
                <w:i/>
                <w:lang w:val="en-CA"/>
              </w:rPr>
              <w:t>meter point</w:t>
            </w:r>
            <w:r>
              <w:rPr>
                <w:lang w:val="en-CA"/>
              </w:rPr>
              <w:t xml:space="preserve"> registration) to calculate the applicable </w:t>
            </w:r>
            <w:r>
              <w:rPr>
                <w:i/>
                <w:lang w:val="en-CA"/>
              </w:rPr>
              <w:t>transmission service charges</w:t>
            </w:r>
            <w:r>
              <w:rPr>
                <w:lang w:val="en-CA"/>
              </w:rPr>
              <w:t>.</w:t>
            </w:r>
          </w:p>
        </w:tc>
        <w:tc>
          <w:tcPr>
            <w:tcW w:w="2160" w:type="dxa"/>
          </w:tcPr>
          <w:p w14:paraId="2C59C587" w14:textId="77777777" w:rsidR="00855CB7" w:rsidRDefault="00855CB7">
            <w:pPr>
              <w:pStyle w:val="TableText"/>
              <w:rPr>
                <w:lang w:val="en-CA"/>
              </w:rPr>
            </w:pPr>
            <w:r>
              <w:rPr>
                <w:lang w:val="en-CA"/>
              </w:rPr>
              <w:t xml:space="preserve">Annually, as soon as possible after the expiration date (three months after calendar year end) for </w:t>
            </w:r>
            <w:r>
              <w:rPr>
                <w:i/>
                <w:lang w:val="en-CA"/>
              </w:rPr>
              <w:t>transmission customer</w:t>
            </w:r>
            <w:r>
              <w:rPr>
                <w:lang w:val="en-CA"/>
              </w:rPr>
              <w:t xml:space="preserve"> submissions has expired. </w:t>
            </w:r>
          </w:p>
        </w:tc>
        <w:tc>
          <w:tcPr>
            <w:tcW w:w="2160" w:type="dxa"/>
          </w:tcPr>
          <w:p w14:paraId="0AFB994C" w14:textId="77777777" w:rsidR="00855CB7" w:rsidRDefault="00855CB7">
            <w:pPr>
              <w:pStyle w:val="TableText"/>
              <w:rPr>
                <w:lang w:val="en-CA"/>
              </w:rPr>
            </w:pPr>
            <w:r>
              <w:rPr>
                <w:snapToGrid w:val="0"/>
                <w:lang w:val="en-CA" w:eastAsia="en-US"/>
              </w:rPr>
              <w:t xml:space="preserve">Annual adjustment dollar values for the applicable </w:t>
            </w:r>
            <w:r>
              <w:rPr>
                <w:i/>
                <w:snapToGrid w:val="0"/>
                <w:lang w:val="en-CA" w:eastAsia="en-US"/>
              </w:rPr>
              <w:t xml:space="preserve">transmission service charges </w:t>
            </w:r>
            <w:r>
              <w:rPr>
                <w:snapToGrid w:val="0"/>
                <w:lang w:val="en-CA" w:eastAsia="en-US"/>
              </w:rPr>
              <w:t xml:space="preserve">associated </w:t>
            </w:r>
            <w:r>
              <w:t xml:space="preserve">with </w:t>
            </w:r>
            <w:r>
              <w:rPr>
                <w:i/>
              </w:rPr>
              <w:t>embedded generation facilities</w:t>
            </w:r>
            <w:r>
              <w:t xml:space="preserve"> registered under the Alternative Metering Installation Standards for Embedded Generation Facilities</w:t>
            </w:r>
          </w:p>
        </w:tc>
        <w:tc>
          <w:tcPr>
            <w:tcW w:w="2160" w:type="dxa"/>
          </w:tcPr>
          <w:p w14:paraId="7134B67F" w14:textId="77777777" w:rsidR="00855CB7" w:rsidRDefault="00855CB7">
            <w:pPr>
              <w:pStyle w:val="TableText"/>
              <w:rPr>
                <w:lang w:val="en-CA"/>
              </w:rPr>
            </w:pPr>
            <w:r>
              <w:rPr>
                <w:lang w:val="en-CA"/>
              </w:rPr>
              <w:t xml:space="preserve">Internal </w:t>
            </w:r>
            <w:r>
              <w:rPr>
                <w:i/>
                <w:lang w:val="en-CA"/>
              </w:rPr>
              <w:t>IESO</w:t>
            </w:r>
            <w:r>
              <w:rPr>
                <w:lang w:val="en-CA"/>
              </w:rPr>
              <w:t xml:space="preserve"> calculation.</w:t>
            </w:r>
          </w:p>
        </w:tc>
        <w:tc>
          <w:tcPr>
            <w:tcW w:w="2070" w:type="dxa"/>
          </w:tcPr>
          <w:p w14:paraId="0E4A27B1" w14:textId="77777777" w:rsidR="00855CB7" w:rsidRDefault="00855CB7" w:rsidP="00891C47">
            <w:pPr>
              <w:pStyle w:val="TableText"/>
              <w:rPr>
                <w:lang w:val="en-CA"/>
              </w:rPr>
            </w:pPr>
            <w:r>
              <w:rPr>
                <w:lang w:val="en-CA"/>
              </w:rPr>
              <w:t xml:space="preserve">Annual adjustment information is calculated by </w:t>
            </w:r>
            <w:r w:rsidR="00891C47">
              <w:rPr>
                <w:lang w:val="en-CA"/>
              </w:rPr>
              <w:t>us.</w:t>
            </w:r>
          </w:p>
        </w:tc>
      </w:tr>
    </w:tbl>
    <w:p w14:paraId="5B3A3415" w14:textId="77777777" w:rsidR="00855CB7" w:rsidRDefault="00855CB7">
      <w:pPr>
        <w:pStyle w:val="BodyText"/>
      </w:pPr>
    </w:p>
    <w:p w14:paraId="62ED00D7" w14:textId="77777777" w:rsidR="00855CB7" w:rsidRDefault="00855CB7">
      <w:pPr>
        <w:pStyle w:val="Heading2"/>
      </w:pPr>
      <w:r>
        <w:br w:type="page"/>
      </w:r>
      <w:bookmarkStart w:id="1531" w:name="_Toc175383929"/>
      <w:bookmarkStart w:id="1532" w:name="_Toc400369555"/>
      <w:bookmarkStart w:id="1533" w:name="_Toc35796393"/>
      <w:bookmarkStart w:id="1534" w:name="_Toc79657995"/>
      <w:r w:rsidR="00891C47">
        <w:t xml:space="preserve">Submitting </w:t>
      </w:r>
      <w:r>
        <w:t>NUG Adjustment Amount Information</w:t>
      </w:r>
      <w:bookmarkEnd w:id="1531"/>
      <w:bookmarkEnd w:id="1532"/>
      <w:bookmarkEnd w:id="1533"/>
      <w:bookmarkEnd w:id="1534"/>
    </w:p>
    <w:p w14:paraId="39461192" w14:textId="77777777" w:rsidR="00855CB7" w:rsidRDefault="00855CB7">
      <w:pPr>
        <w:pStyle w:val="BodyText"/>
      </w:pPr>
      <w:r>
        <w:rPr>
          <w:snapToGrid w:val="0"/>
        </w:rPr>
        <w:t xml:space="preserve">Each month, </w:t>
      </w:r>
      <w:r>
        <w:rPr>
          <w:i/>
          <w:snapToGrid w:val="0"/>
        </w:rPr>
        <w:t>OEFC</w:t>
      </w:r>
      <w:r>
        <w:rPr>
          <w:snapToGrid w:val="0"/>
        </w:rPr>
        <w:t xml:space="preserve"> submits information to the </w:t>
      </w:r>
      <w:r>
        <w:rPr>
          <w:i/>
          <w:snapToGrid w:val="0"/>
        </w:rPr>
        <w:t>IESO</w:t>
      </w:r>
      <w:r>
        <w:rPr>
          <w:snapToGrid w:val="0"/>
        </w:rPr>
        <w:t xml:space="preserve"> for the difference between NUG contract costs and wholesale market</w:t>
      </w:r>
      <w:r>
        <w:rPr>
          <w:i/>
          <w:snapToGrid w:val="0"/>
        </w:rPr>
        <w:t xml:space="preserve"> </w:t>
      </w:r>
      <w:r>
        <w:rPr>
          <w:snapToGrid w:val="0"/>
        </w:rPr>
        <w:t>payments for NUGs</w:t>
      </w:r>
      <w:r>
        <w:t>.</w:t>
      </w:r>
    </w:p>
    <w:p w14:paraId="501CE33B" w14:textId="77777777" w:rsidR="00855CB7" w:rsidRDefault="00855CB7">
      <w:pPr>
        <w:pStyle w:val="BodyText"/>
      </w:pPr>
      <w:r>
        <w:t>Steps shown in the following table are illustrated in Section 2.12, Figure 2-12.</w:t>
      </w:r>
    </w:p>
    <w:p w14:paraId="7F463C6D" w14:textId="77777777" w:rsidR="00F70997" w:rsidRDefault="00170852">
      <w:pPr>
        <w:pStyle w:val="TableCaption"/>
      </w:pPr>
      <w:bookmarkStart w:id="1535" w:name="_Toc400369608"/>
      <w:bookmarkStart w:id="1536" w:name="_Toc35796441"/>
      <w:bookmarkStart w:id="1537" w:name="_Toc79657848"/>
      <w:r>
        <w:t>Table 3–12:  Submission of NUG Adjustment Amount Information</w:t>
      </w:r>
      <w:bookmarkEnd w:id="1535"/>
      <w:bookmarkEnd w:id="1536"/>
      <w:bookmarkEnd w:id="1537"/>
    </w:p>
    <w:tbl>
      <w:tblPr>
        <w:tblW w:w="14634"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Description w:val="Submission of NUG Adjustment Amount Information"/>
      </w:tblPr>
      <w:tblGrid>
        <w:gridCol w:w="1224"/>
        <w:gridCol w:w="1800"/>
        <w:gridCol w:w="2790"/>
        <w:gridCol w:w="1980"/>
        <w:gridCol w:w="2070"/>
        <w:gridCol w:w="2700"/>
        <w:gridCol w:w="2070"/>
      </w:tblGrid>
      <w:tr w:rsidR="00855CB7" w14:paraId="3A304017" w14:textId="77777777" w:rsidTr="007B06D7">
        <w:trPr>
          <w:cantSplit/>
          <w:tblHeader/>
        </w:trPr>
        <w:tc>
          <w:tcPr>
            <w:tcW w:w="1224" w:type="dxa"/>
            <w:shd w:val="clear" w:color="auto" w:fill="D9D9D9" w:themeFill="background1" w:themeFillShade="D9"/>
            <w:vAlign w:val="center"/>
          </w:tcPr>
          <w:p w14:paraId="44891450" w14:textId="77777777" w:rsidR="00855CB7" w:rsidRDefault="00855CB7" w:rsidP="000D70BE">
            <w:pPr>
              <w:pStyle w:val="TableHead"/>
              <w:keepNext/>
              <w:keepLines/>
            </w:pPr>
            <w:r>
              <w:t>Ref.</w:t>
            </w:r>
          </w:p>
        </w:tc>
        <w:tc>
          <w:tcPr>
            <w:tcW w:w="1800" w:type="dxa"/>
            <w:shd w:val="clear" w:color="auto" w:fill="D9D9D9" w:themeFill="background1" w:themeFillShade="D9"/>
            <w:vAlign w:val="center"/>
          </w:tcPr>
          <w:p w14:paraId="59DD1E7F" w14:textId="77777777" w:rsidR="00855CB7" w:rsidRDefault="00855CB7" w:rsidP="000D70BE">
            <w:pPr>
              <w:pStyle w:val="TableHead"/>
              <w:keepNext/>
              <w:keepLines/>
            </w:pPr>
            <w:r>
              <w:t>Task Name</w:t>
            </w:r>
          </w:p>
        </w:tc>
        <w:tc>
          <w:tcPr>
            <w:tcW w:w="2790" w:type="dxa"/>
            <w:shd w:val="clear" w:color="auto" w:fill="D9D9D9" w:themeFill="background1" w:themeFillShade="D9"/>
            <w:vAlign w:val="center"/>
          </w:tcPr>
          <w:p w14:paraId="12E7DB63" w14:textId="77777777" w:rsidR="00855CB7" w:rsidRDefault="00855CB7" w:rsidP="000D70BE">
            <w:pPr>
              <w:pStyle w:val="TableHead"/>
              <w:keepNext/>
              <w:keepLines/>
            </w:pPr>
            <w:r>
              <w:t>Task Detail</w:t>
            </w:r>
          </w:p>
        </w:tc>
        <w:tc>
          <w:tcPr>
            <w:tcW w:w="1980" w:type="dxa"/>
            <w:shd w:val="clear" w:color="auto" w:fill="D9D9D9" w:themeFill="background1" w:themeFillShade="D9"/>
            <w:vAlign w:val="center"/>
          </w:tcPr>
          <w:p w14:paraId="63D811FF" w14:textId="77777777" w:rsidR="00855CB7" w:rsidRDefault="00855CB7" w:rsidP="000D70BE">
            <w:pPr>
              <w:pStyle w:val="TableHead"/>
              <w:keepNext/>
              <w:keepLines/>
            </w:pPr>
            <w:r>
              <w:t>When</w:t>
            </w:r>
          </w:p>
        </w:tc>
        <w:tc>
          <w:tcPr>
            <w:tcW w:w="2070" w:type="dxa"/>
            <w:shd w:val="clear" w:color="auto" w:fill="D9D9D9" w:themeFill="background1" w:themeFillShade="D9"/>
            <w:vAlign w:val="center"/>
          </w:tcPr>
          <w:p w14:paraId="733743D8" w14:textId="77777777" w:rsidR="00855CB7" w:rsidRDefault="00855CB7" w:rsidP="000D70BE">
            <w:pPr>
              <w:pStyle w:val="TableHead"/>
              <w:keepNext/>
              <w:keepLines/>
            </w:pPr>
            <w:r>
              <w:t>Resulting Information</w:t>
            </w:r>
          </w:p>
        </w:tc>
        <w:tc>
          <w:tcPr>
            <w:tcW w:w="2700" w:type="dxa"/>
            <w:shd w:val="clear" w:color="auto" w:fill="D9D9D9" w:themeFill="background1" w:themeFillShade="D9"/>
            <w:vAlign w:val="center"/>
          </w:tcPr>
          <w:p w14:paraId="2A329800" w14:textId="77777777" w:rsidR="00855CB7" w:rsidRDefault="00855CB7" w:rsidP="000D70BE">
            <w:pPr>
              <w:pStyle w:val="TableHead"/>
              <w:keepNext/>
              <w:keepLines/>
            </w:pPr>
            <w:r>
              <w:t>Method</w:t>
            </w:r>
          </w:p>
        </w:tc>
        <w:tc>
          <w:tcPr>
            <w:tcW w:w="2070" w:type="dxa"/>
            <w:shd w:val="clear" w:color="auto" w:fill="D9D9D9" w:themeFill="background1" w:themeFillShade="D9"/>
            <w:vAlign w:val="center"/>
          </w:tcPr>
          <w:p w14:paraId="71FE0C71" w14:textId="77777777" w:rsidR="00855CB7" w:rsidRDefault="00855CB7" w:rsidP="000D70BE">
            <w:pPr>
              <w:pStyle w:val="TableHead"/>
              <w:keepNext/>
              <w:keepLines/>
            </w:pPr>
            <w:r>
              <w:t>Completion Events</w:t>
            </w:r>
          </w:p>
        </w:tc>
      </w:tr>
      <w:tr w:rsidR="00855CB7" w14:paraId="2E4DA689" w14:textId="77777777" w:rsidTr="00170852">
        <w:trPr>
          <w:cantSplit/>
        </w:trPr>
        <w:tc>
          <w:tcPr>
            <w:tcW w:w="1224" w:type="dxa"/>
          </w:tcPr>
          <w:p w14:paraId="681781B4" w14:textId="77777777" w:rsidR="00855CB7" w:rsidRDefault="00855CB7">
            <w:pPr>
              <w:pStyle w:val="TableText"/>
            </w:pPr>
            <w:r>
              <w:t>5I.01</w:t>
            </w:r>
          </w:p>
        </w:tc>
        <w:tc>
          <w:tcPr>
            <w:tcW w:w="1800" w:type="dxa"/>
          </w:tcPr>
          <w:p w14:paraId="68D7BDF0" w14:textId="77777777" w:rsidR="00E26C7B" w:rsidRDefault="008D2CF3" w:rsidP="005C6516">
            <w:pPr>
              <w:pStyle w:val="TableText"/>
            </w:pPr>
            <w:r>
              <w:t xml:space="preserve">Submit </w:t>
            </w:r>
            <w:r w:rsidR="00855CB7">
              <w:t xml:space="preserve">“NUG Adjustment Amount Information” </w:t>
            </w:r>
            <w:r>
              <w:t xml:space="preserve">via </w:t>
            </w:r>
            <w:r w:rsidR="005C6516">
              <w:t>Online IESO</w:t>
            </w:r>
            <w:r>
              <w:t>.</w:t>
            </w:r>
          </w:p>
        </w:tc>
        <w:tc>
          <w:tcPr>
            <w:tcW w:w="2790" w:type="dxa"/>
          </w:tcPr>
          <w:p w14:paraId="379EA171" w14:textId="77777777" w:rsidR="00E26C7B" w:rsidRDefault="00855CB7">
            <w:pPr>
              <w:pStyle w:val="TableText"/>
            </w:pPr>
            <w:r>
              <w:rPr>
                <w:i/>
              </w:rPr>
              <w:t>OEFC</w:t>
            </w:r>
            <w:r>
              <w:t xml:space="preserve"> </w:t>
            </w:r>
            <w:r w:rsidR="008D2CF3">
              <w:rPr>
                <w:lang w:val="en-CA"/>
              </w:rPr>
              <w:t>submit</w:t>
            </w:r>
            <w:r w:rsidR="00CB3635">
              <w:rPr>
                <w:lang w:val="en-CA"/>
              </w:rPr>
              <w:t>s</w:t>
            </w:r>
            <w:r w:rsidR="008D2CF3">
              <w:rPr>
                <w:lang w:val="en-CA"/>
              </w:rPr>
              <w:t xml:space="preserve"> information </w:t>
            </w:r>
            <w:r w:rsidR="005C6516" w:rsidRPr="005C6516">
              <w:rPr>
                <w:lang w:val="en-CA"/>
              </w:rPr>
              <w:t>via the Submit Settlement Claim action available through Online IESO</w:t>
            </w:r>
            <w:r w:rsidR="008D2CF3">
              <w:rPr>
                <w:lang w:val="en-CA"/>
              </w:rPr>
              <w:t>.</w:t>
            </w:r>
          </w:p>
        </w:tc>
        <w:tc>
          <w:tcPr>
            <w:tcW w:w="1980" w:type="dxa"/>
          </w:tcPr>
          <w:p w14:paraId="5BA42C30" w14:textId="77777777" w:rsidR="00855CB7" w:rsidRDefault="00855CB7">
            <w:pPr>
              <w:pStyle w:val="TableText"/>
              <w:rPr>
                <w:b/>
              </w:rPr>
            </w:pPr>
            <w:r>
              <w:t xml:space="preserve">Within four </w:t>
            </w:r>
            <w:r>
              <w:rPr>
                <w:i/>
              </w:rPr>
              <w:t>business</w:t>
            </w:r>
            <w:r>
              <w:t xml:space="preserve"> </w:t>
            </w:r>
            <w:r>
              <w:rPr>
                <w:i/>
              </w:rPr>
              <w:t>days</w:t>
            </w:r>
            <w:r>
              <w:t xml:space="preserve"> after the last </w:t>
            </w:r>
            <w:r>
              <w:rPr>
                <w:i/>
              </w:rPr>
              <w:t>trading day</w:t>
            </w:r>
            <w:r>
              <w:t xml:space="preserve"> of every month.</w:t>
            </w:r>
          </w:p>
        </w:tc>
        <w:tc>
          <w:tcPr>
            <w:tcW w:w="2070" w:type="dxa"/>
          </w:tcPr>
          <w:p w14:paraId="444019DC" w14:textId="77777777" w:rsidR="00855CB7" w:rsidRDefault="00855CB7">
            <w:pPr>
              <w:pStyle w:val="TableText"/>
            </w:pPr>
            <w:r>
              <w:t xml:space="preserve">Monthly adjustment for any differences between the contract price for NUG output and the </w:t>
            </w:r>
            <w:r>
              <w:rPr>
                <w:i/>
              </w:rPr>
              <w:t>market price</w:t>
            </w:r>
            <w:r>
              <w:t xml:space="preserve"> for NUG output for the previous month.</w:t>
            </w:r>
          </w:p>
          <w:p w14:paraId="6A2CE064" w14:textId="77777777" w:rsidR="00855CB7" w:rsidRDefault="00855CB7">
            <w:pPr>
              <w:pStyle w:val="TableText"/>
            </w:pPr>
            <w:r>
              <w:t>Monthly forecast NUG rate in $/MWh for the current month.</w:t>
            </w:r>
          </w:p>
          <w:p w14:paraId="56A94381" w14:textId="77777777" w:rsidR="00855CB7" w:rsidRDefault="00855CB7">
            <w:pPr>
              <w:pStyle w:val="TableText"/>
            </w:pPr>
            <w:r>
              <w:t>Monthly forecast NUG production in MW for the current month.</w:t>
            </w:r>
          </w:p>
        </w:tc>
        <w:tc>
          <w:tcPr>
            <w:tcW w:w="2700" w:type="dxa"/>
          </w:tcPr>
          <w:p w14:paraId="368F8A46" w14:textId="77777777" w:rsidR="00855CB7" w:rsidRDefault="005C6516">
            <w:pPr>
              <w:pStyle w:val="TableText"/>
            </w:pPr>
            <w:r w:rsidRPr="005C6516">
              <w:t xml:space="preserve">Online </w:t>
            </w:r>
            <w:r>
              <w:rPr>
                <w:i/>
              </w:rPr>
              <w:t>IESO</w:t>
            </w:r>
            <w:r w:rsidR="00764895">
              <w:t>.</w:t>
            </w:r>
          </w:p>
        </w:tc>
        <w:tc>
          <w:tcPr>
            <w:tcW w:w="2070" w:type="dxa"/>
          </w:tcPr>
          <w:p w14:paraId="3BB8742D" w14:textId="77777777" w:rsidR="00855CB7" w:rsidRDefault="00855CB7" w:rsidP="00891C47">
            <w:pPr>
              <w:pStyle w:val="TableText"/>
            </w:pPr>
            <w:r>
              <w:t xml:space="preserve">Declaration information is sent </w:t>
            </w:r>
            <w:r w:rsidR="00891C47">
              <w:t>to us.</w:t>
            </w:r>
          </w:p>
        </w:tc>
      </w:tr>
      <w:tr w:rsidR="00855CB7" w14:paraId="292425A1" w14:textId="77777777" w:rsidTr="00170852">
        <w:trPr>
          <w:cantSplit/>
        </w:trPr>
        <w:tc>
          <w:tcPr>
            <w:tcW w:w="1224" w:type="dxa"/>
          </w:tcPr>
          <w:p w14:paraId="73FA947B" w14:textId="77777777" w:rsidR="00855CB7" w:rsidRDefault="00855CB7">
            <w:pPr>
              <w:pStyle w:val="TableText"/>
            </w:pPr>
            <w:r>
              <w:t>5I.02</w:t>
            </w:r>
          </w:p>
        </w:tc>
        <w:tc>
          <w:tcPr>
            <w:tcW w:w="1800" w:type="dxa"/>
          </w:tcPr>
          <w:p w14:paraId="6F1F3428" w14:textId="77777777" w:rsidR="00E26C7B" w:rsidRDefault="00855CB7">
            <w:pPr>
              <w:pStyle w:val="TableText"/>
            </w:pPr>
            <w:r>
              <w:t>Recei</w:t>
            </w:r>
            <w:r w:rsidR="008D2CF3">
              <w:t>pt of online data submission</w:t>
            </w:r>
            <w:r>
              <w:t>.</w:t>
            </w:r>
          </w:p>
        </w:tc>
        <w:tc>
          <w:tcPr>
            <w:tcW w:w="2790" w:type="dxa"/>
          </w:tcPr>
          <w:p w14:paraId="1B20DDF1" w14:textId="77777777" w:rsidR="00855CB7" w:rsidRDefault="00374E1A">
            <w:pPr>
              <w:pStyle w:val="TableText"/>
            </w:pPr>
            <w:r>
              <w:rPr>
                <w:lang w:val="en-CA"/>
              </w:rPr>
              <w:t xml:space="preserve">We </w:t>
            </w:r>
            <w:r w:rsidR="00855CB7">
              <w:t xml:space="preserve">receive </w:t>
            </w:r>
            <w:r w:rsidR="008D2CF3">
              <w:t xml:space="preserve">the online data submission </w:t>
            </w:r>
            <w:r w:rsidR="00855CB7">
              <w:t xml:space="preserve">from </w:t>
            </w:r>
            <w:r w:rsidR="00855CB7">
              <w:rPr>
                <w:i/>
              </w:rPr>
              <w:t>OEFC.</w:t>
            </w:r>
          </w:p>
          <w:p w14:paraId="56EF2052" w14:textId="77777777" w:rsidR="00E26C7B" w:rsidRDefault="00855CB7">
            <w:pPr>
              <w:pStyle w:val="TableText"/>
            </w:pPr>
            <w:r>
              <w:t xml:space="preserve">In the event further information is required, the </w:t>
            </w:r>
            <w:r>
              <w:rPr>
                <w:i/>
              </w:rPr>
              <w:t>OEFC</w:t>
            </w:r>
            <w:r>
              <w:t xml:space="preserve"> is requested to re-submit the </w:t>
            </w:r>
            <w:r w:rsidR="008D2CF3">
              <w:t>data.</w:t>
            </w:r>
          </w:p>
        </w:tc>
        <w:tc>
          <w:tcPr>
            <w:tcW w:w="1980" w:type="dxa"/>
          </w:tcPr>
          <w:p w14:paraId="2EB7C55A" w14:textId="77777777" w:rsidR="00855CB7" w:rsidRDefault="00855CB7">
            <w:pPr>
              <w:pStyle w:val="TableText"/>
            </w:pPr>
            <w:r>
              <w:t>Upon receipt of information.</w:t>
            </w:r>
          </w:p>
        </w:tc>
        <w:tc>
          <w:tcPr>
            <w:tcW w:w="2070" w:type="dxa"/>
          </w:tcPr>
          <w:p w14:paraId="5B1AE62F" w14:textId="77777777" w:rsidR="00855CB7" w:rsidRDefault="00855CB7">
            <w:pPr>
              <w:pStyle w:val="TableText"/>
            </w:pPr>
            <w:r>
              <w:t>Acknowledgement</w:t>
            </w:r>
            <w:r w:rsidR="00764895">
              <w:t>.</w:t>
            </w:r>
          </w:p>
        </w:tc>
        <w:tc>
          <w:tcPr>
            <w:tcW w:w="2700" w:type="dxa"/>
          </w:tcPr>
          <w:p w14:paraId="31FD86C5" w14:textId="77777777" w:rsidR="00855CB7" w:rsidRDefault="005C6516">
            <w:pPr>
              <w:pStyle w:val="TableText"/>
              <w:rPr>
                <w:b/>
              </w:rPr>
            </w:pPr>
            <w:r w:rsidRPr="005C6516">
              <w:t>Online</w:t>
            </w:r>
            <w:r>
              <w:rPr>
                <w:i/>
              </w:rPr>
              <w:t xml:space="preserve"> IESO</w:t>
            </w:r>
            <w:r w:rsidR="008D2CF3">
              <w:t>.</w:t>
            </w:r>
          </w:p>
        </w:tc>
        <w:tc>
          <w:tcPr>
            <w:tcW w:w="2070" w:type="dxa"/>
          </w:tcPr>
          <w:p w14:paraId="66280A68" w14:textId="77777777" w:rsidR="00855CB7" w:rsidRDefault="00891C47">
            <w:pPr>
              <w:pStyle w:val="TableText"/>
            </w:pPr>
            <w:r>
              <w:t>We receive information.</w:t>
            </w:r>
          </w:p>
        </w:tc>
      </w:tr>
    </w:tbl>
    <w:p w14:paraId="6AC44FE7" w14:textId="6C2D6F92" w:rsidR="00855CB7" w:rsidRDefault="00855CB7" w:rsidP="002E3089">
      <w:pPr>
        <w:pStyle w:val="Heading2"/>
        <w:spacing w:before="240"/>
      </w:pPr>
      <w:bookmarkStart w:id="1538" w:name="_Toc230053820"/>
      <w:bookmarkStart w:id="1539" w:name="_Toc230058386"/>
      <w:bookmarkEnd w:id="1538"/>
      <w:bookmarkEnd w:id="1539"/>
      <w:r>
        <w:br w:type="page"/>
      </w:r>
      <w:bookmarkStart w:id="1540" w:name="_Toc175383930"/>
      <w:bookmarkStart w:id="1541" w:name="_Toc400369556"/>
      <w:bookmarkStart w:id="1542" w:name="_Toc35796394"/>
      <w:bookmarkStart w:id="1543" w:name="_Toc79657996"/>
      <w:r w:rsidR="00600B7B">
        <w:t xml:space="preserve">Submitting </w:t>
      </w:r>
      <w:r>
        <w:t>Embedded Generation and Regulated Price Information</w:t>
      </w:r>
      <w:bookmarkEnd w:id="1540"/>
      <w:bookmarkEnd w:id="1541"/>
      <w:bookmarkEnd w:id="1542"/>
      <w:bookmarkEnd w:id="1543"/>
    </w:p>
    <w:p w14:paraId="083A3686" w14:textId="77777777" w:rsidR="00855CB7" w:rsidRDefault="00855CB7">
      <w:pPr>
        <w:pStyle w:val="BodyText"/>
      </w:pPr>
      <w:r>
        <w:rPr>
          <w:snapToGrid w:val="0"/>
        </w:rPr>
        <w:t xml:space="preserve">Each month, </w:t>
      </w:r>
      <w:r>
        <w:rPr>
          <w:i/>
          <w:snapToGrid w:val="0"/>
        </w:rPr>
        <w:t>distributors</w:t>
      </w:r>
      <w:r>
        <w:rPr>
          <w:snapToGrid w:val="0"/>
        </w:rPr>
        <w:t xml:space="preserve"> submit information to </w:t>
      </w:r>
      <w:r w:rsidR="00891C47">
        <w:rPr>
          <w:snapToGrid w:val="0"/>
        </w:rPr>
        <w:t>us</w:t>
      </w:r>
      <w:r>
        <w:rPr>
          <w:snapToGrid w:val="0"/>
        </w:rPr>
        <w:t xml:space="preserve"> for residual differences between the regulated price and the wholesale </w:t>
      </w:r>
      <w:r>
        <w:rPr>
          <w:i/>
          <w:snapToGrid w:val="0"/>
        </w:rPr>
        <w:t>market price</w:t>
      </w:r>
      <w:r>
        <w:rPr>
          <w:snapToGrid w:val="0"/>
        </w:rPr>
        <w:t xml:space="preserve"> plus global adjustment for regulated </w:t>
      </w:r>
      <w:r>
        <w:rPr>
          <w:i/>
          <w:snapToGrid w:val="0"/>
        </w:rPr>
        <w:t>consumers</w:t>
      </w:r>
      <w:r>
        <w:rPr>
          <w:snapToGrid w:val="0"/>
        </w:rPr>
        <w:t xml:space="preserve"> within the </w:t>
      </w:r>
      <w:r>
        <w:rPr>
          <w:i/>
          <w:snapToGrid w:val="0"/>
        </w:rPr>
        <w:t>distribution system</w:t>
      </w:r>
      <w:r>
        <w:t xml:space="preserve">. The </w:t>
      </w:r>
      <w:r>
        <w:rPr>
          <w:i/>
        </w:rPr>
        <w:t>distributor</w:t>
      </w:r>
      <w:r>
        <w:t xml:space="preserve"> also must submit information provide by </w:t>
      </w:r>
      <w:r w:rsidRPr="00F01D58">
        <w:rPr>
          <w:i/>
        </w:rPr>
        <w:t>retailers</w:t>
      </w:r>
      <w:r>
        <w:t xml:space="preserve"> and embedded </w:t>
      </w:r>
      <w:r>
        <w:rPr>
          <w:i/>
        </w:rPr>
        <w:t>distributors</w:t>
      </w:r>
      <w:r>
        <w:t>.</w:t>
      </w:r>
    </w:p>
    <w:p w14:paraId="3C4A71D8" w14:textId="77777777" w:rsidR="00855CB7" w:rsidRDefault="00855CB7">
      <w:pPr>
        <w:pStyle w:val="BodyText"/>
      </w:pPr>
      <w:r>
        <w:t>Steps shown in the following table are illustrated in Section 2.13, Figure 2-13.</w:t>
      </w:r>
    </w:p>
    <w:p w14:paraId="0EFE4A08" w14:textId="77777777" w:rsidR="00F70997" w:rsidRDefault="00170852">
      <w:pPr>
        <w:pStyle w:val="TableCaption"/>
      </w:pPr>
      <w:bookmarkStart w:id="1544" w:name="_Toc400369609"/>
      <w:bookmarkStart w:id="1545" w:name="_Toc35796442"/>
      <w:bookmarkStart w:id="1546" w:name="_Toc79657849"/>
      <w:r>
        <w:t>Table 3–13:  Procedural Steps for Submission of Embedded Generation and Regulated Price Information</w:t>
      </w:r>
      <w:bookmarkEnd w:id="1544"/>
      <w:bookmarkEnd w:id="1545"/>
      <w:bookmarkEnd w:id="1546"/>
    </w:p>
    <w:tbl>
      <w:tblPr>
        <w:tblW w:w="14634"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Description w:val="Procedural Steps for Submission of Embedded Generation and Regulated Price Information"/>
      </w:tblPr>
      <w:tblGrid>
        <w:gridCol w:w="1224"/>
        <w:gridCol w:w="1800"/>
        <w:gridCol w:w="2790"/>
        <w:gridCol w:w="1980"/>
        <w:gridCol w:w="2070"/>
        <w:gridCol w:w="2700"/>
        <w:gridCol w:w="2070"/>
      </w:tblGrid>
      <w:tr w:rsidR="00855CB7" w14:paraId="1560F099" w14:textId="77777777" w:rsidTr="00D9320F">
        <w:trPr>
          <w:tblHeader/>
        </w:trPr>
        <w:tc>
          <w:tcPr>
            <w:tcW w:w="1224" w:type="dxa"/>
            <w:shd w:val="clear" w:color="auto" w:fill="D9D9D9" w:themeFill="background1" w:themeFillShade="D9"/>
            <w:vAlign w:val="center"/>
          </w:tcPr>
          <w:p w14:paraId="4C6AD139" w14:textId="77777777" w:rsidR="00855CB7" w:rsidRDefault="00855CB7" w:rsidP="000D70BE">
            <w:pPr>
              <w:pStyle w:val="TableHead"/>
              <w:keepNext/>
              <w:keepLines/>
            </w:pPr>
            <w:r>
              <w:t>Ref.</w:t>
            </w:r>
          </w:p>
        </w:tc>
        <w:tc>
          <w:tcPr>
            <w:tcW w:w="1800" w:type="dxa"/>
            <w:shd w:val="clear" w:color="auto" w:fill="D9D9D9" w:themeFill="background1" w:themeFillShade="D9"/>
            <w:vAlign w:val="center"/>
          </w:tcPr>
          <w:p w14:paraId="38E95A04" w14:textId="77777777" w:rsidR="00855CB7" w:rsidRDefault="00855CB7" w:rsidP="000D70BE">
            <w:pPr>
              <w:pStyle w:val="TableHead"/>
              <w:keepNext/>
              <w:keepLines/>
            </w:pPr>
            <w:r>
              <w:t>Task Name</w:t>
            </w:r>
          </w:p>
        </w:tc>
        <w:tc>
          <w:tcPr>
            <w:tcW w:w="2790" w:type="dxa"/>
            <w:shd w:val="clear" w:color="auto" w:fill="D9D9D9" w:themeFill="background1" w:themeFillShade="D9"/>
            <w:vAlign w:val="center"/>
          </w:tcPr>
          <w:p w14:paraId="6B2F0AEA" w14:textId="77777777" w:rsidR="00855CB7" w:rsidRDefault="00855CB7" w:rsidP="000D70BE">
            <w:pPr>
              <w:pStyle w:val="TableHead"/>
              <w:keepNext/>
              <w:keepLines/>
            </w:pPr>
            <w:r>
              <w:t>Task Detail</w:t>
            </w:r>
          </w:p>
        </w:tc>
        <w:tc>
          <w:tcPr>
            <w:tcW w:w="1980" w:type="dxa"/>
            <w:shd w:val="clear" w:color="auto" w:fill="D9D9D9" w:themeFill="background1" w:themeFillShade="D9"/>
            <w:vAlign w:val="center"/>
          </w:tcPr>
          <w:p w14:paraId="06C2AD72" w14:textId="77777777" w:rsidR="00855CB7" w:rsidRDefault="00855CB7" w:rsidP="000D70BE">
            <w:pPr>
              <w:pStyle w:val="TableHead"/>
              <w:keepNext/>
              <w:keepLines/>
            </w:pPr>
            <w:r>
              <w:t>When</w:t>
            </w:r>
          </w:p>
        </w:tc>
        <w:tc>
          <w:tcPr>
            <w:tcW w:w="2070" w:type="dxa"/>
            <w:shd w:val="clear" w:color="auto" w:fill="D9D9D9" w:themeFill="background1" w:themeFillShade="D9"/>
            <w:vAlign w:val="center"/>
          </w:tcPr>
          <w:p w14:paraId="75849A65" w14:textId="77777777" w:rsidR="00855CB7" w:rsidRDefault="00855CB7" w:rsidP="000D70BE">
            <w:pPr>
              <w:pStyle w:val="TableHead"/>
              <w:keepNext/>
              <w:keepLines/>
            </w:pPr>
            <w:r>
              <w:t>Resulting Information</w:t>
            </w:r>
          </w:p>
        </w:tc>
        <w:tc>
          <w:tcPr>
            <w:tcW w:w="2700" w:type="dxa"/>
            <w:shd w:val="clear" w:color="auto" w:fill="D9D9D9" w:themeFill="background1" w:themeFillShade="D9"/>
            <w:vAlign w:val="center"/>
          </w:tcPr>
          <w:p w14:paraId="7B24066E" w14:textId="77777777" w:rsidR="00855CB7" w:rsidRDefault="00855CB7" w:rsidP="000D70BE">
            <w:pPr>
              <w:pStyle w:val="TableHead"/>
              <w:keepNext/>
              <w:keepLines/>
            </w:pPr>
            <w:r>
              <w:t>Method</w:t>
            </w:r>
          </w:p>
        </w:tc>
        <w:tc>
          <w:tcPr>
            <w:tcW w:w="2070" w:type="dxa"/>
            <w:shd w:val="clear" w:color="auto" w:fill="D9D9D9" w:themeFill="background1" w:themeFillShade="D9"/>
            <w:vAlign w:val="center"/>
          </w:tcPr>
          <w:p w14:paraId="30179FF9" w14:textId="77777777" w:rsidR="00855CB7" w:rsidRDefault="00855CB7" w:rsidP="000D70BE">
            <w:pPr>
              <w:pStyle w:val="TableHead"/>
              <w:keepNext/>
              <w:keepLines/>
            </w:pPr>
            <w:r>
              <w:t>Completion Events</w:t>
            </w:r>
          </w:p>
        </w:tc>
      </w:tr>
      <w:tr w:rsidR="00855CB7" w14:paraId="13BC554E" w14:textId="77777777" w:rsidTr="00D9320F">
        <w:tc>
          <w:tcPr>
            <w:tcW w:w="1224" w:type="dxa"/>
          </w:tcPr>
          <w:p w14:paraId="42FAC897" w14:textId="77777777" w:rsidR="00855CB7" w:rsidRDefault="00855CB7">
            <w:pPr>
              <w:pStyle w:val="TableText"/>
            </w:pPr>
            <w:r>
              <w:t>5J.01</w:t>
            </w:r>
          </w:p>
        </w:tc>
        <w:tc>
          <w:tcPr>
            <w:tcW w:w="1800" w:type="dxa"/>
          </w:tcPr>
          <w:p w14:paraId="29EE2CBD" w14:textId="77777777" w:rsidR="00855CB7" w:rsidRDefault="009E0083" w:rsidP="005C6516">
            <w:pPr>
              <w:pStyle w:val="TableText"/>
            </w:pPr>
            <w:r>
              <w:t xml:space="preserve">Submit data for </w:t>
            </w:r>
            <w:r w:rsidR="00855CB7">
              <w:t>Embedded Generation and Regulated Price Information</w:t>
            </w:r>
            <w:r w:rsidR="00E57CCD">
              <w:t xml:space="preserve"> </w:t>
            </w:r>
            <w:r w:rsidR="005C6516">
              <w:t>via Online IESO</w:t>
            </w:r>
            <w:r w:rsidR="00E57CCD">
              <w:t>.</w:t>
            </w:r>
          </w:p>
        </w:tc>
        <w:tc>
          <w:tcPr>
            <w:tcW w:w="2790" w:type="dxa"/>
          </w:tcPr>
          <w:p w14:paraId="31370702" w14:textId="77777777" w:rsidR="00855CB7" w:rsidRDefault="00855CB7">
            <w:pPr>
              <w:pStyle w:val="TableText"/>
            </w:pPr>
            <w:r>
              <w:rPr>
                <w:i/>
              </w:rPr>
              <w:t>Distributors</w:t>
            </w:r>
            <w:r>
              <w:t xml:space="preserve"> </w:t>
            </w:r>
            <w:r w:rsidR="009E0083">
              <w:t xml:space="preserve">submit </w:t>
            </w:r>
            <w:r w:rsidR="00E57CCD">
              <w:t xml:space="preserve">information </w:t>
            </w:r>
            <w:r w:rsidR="009E0083">
              <w:t xml:space="preserve">online </w:t>
            </w:r>
            <w:r w:rsidR="005C6516" w:rsidRPr="005C6516">
              <w:t>via the Submit Settlement Claim action available through Online IESO</w:t>
            </w:r>
            <w:r w:rsidR="009E0083">
              <w:t>.</w:t>
            </w:r>
          </w:p>
          <w:p w14:paraId="2714A1FB" w14:textId="77777777" w:rsidR="00855CB7" w:rsidRDefault="00855CB7">
            <w:pPr>
              <w:pStyle w:val="TableText"/>
            </w:pPr>
            <w:r>
              <w:rPr>
                <w:i/>
              </w:rPr>
              <w:t>Distributors</w:t>
            </w:r>
            <w:r>
              <w:t xml:space="preserve"> enter amounts for various differences to make them and the following agents whole:</w:t>
            </w:r>
          </w:p>
          <w:p w14:paraId="5D96F43F" w14:textId="77777777" w:rsidR="00855CB7" w:rsidRDefault="00855CB7">
            <w:pPr>
              <w:pStyle w:val="TableText"/>
            </w:pPr>
            <w:r>
              <w:t>•</w:t>
            </w:r>
            <w:r w:rsidR="00764895">
              <w:t xml:space="preserve">Embedded </w:t>
            </w:r>
            <w:r>
              <w:rPr>
                <w:i/>
              </w:rPr>
              <w:t>distributors</w:t>
            </w:r>
            <w:r>
              <w:t>,</w:t>
            </w:r>
          </w:p>
          <w:p w14:paraId="0324FB78" w14:textId="77777777" w:rsidR="00855CB7" w:rsidRDefault="00855CB7">
            <w:pPr>
              <w:pStyle w:val="TableText"/>
            </w:pPr>
            <w:r>
              <w:t>•</w:t>
            </w:r>
            <w:r w:rsidR="00764895">
              <w:t>P</w:t>
            </w:r>
            <w:r>
              <w:t xml:space="preserve">articipating </w:t>
            </w:r>
            <w:r w:rsidRPr="00F01D58">
              <w:rPr>
                <w:i/>
              </w:rPr>
              <w:t>retailers</w:t>
            </w:r>
            <w:r>
              <w:t xml:space="preserve"> using </w:t>
            </w:r>
            <w:r>
              <w:rPr>
                <w:i/>
              </w:rPr>
              <w:t>distributor</w:t>
            </w:r>
            <w:r>
              <w:t>-consolidated billing,</w:t>
            </w:r>
          </w:p>
          <w:p w14:paraId="3CCFD142" w14:textId="77777777" w:rsidR="00855CB7" w:rsidRDefault="00855CB7">
            <w:pPr>
              <w:pStyle w:val="TableText"/>
            </w:pPr>
            <w:r>
              <w:t>•</w:t>
            </w:r>
            <w:r w:rsidR="00764895">
              <w:t xml:space="preserve">Participating </w:t>
            </w:r>
            <w:r w:rsidRPr="00F01D58">
              <w:rPr>
                <w:i/>
              </w:rPr>
              <w:t>retailers</w:t>
            </w:r>
            <w:r>
              <w:t xml:space="preserve"> using retailer-consolidated billing.</w:t>
            </w:r>
          </w:p>
          <w:p w14:paraId="0B9BA055" w14:textId="77777777" w:rsidR="00635483" w:rsidRDefault="00855CB7">
            <w:pPr>
              <w:pStyle w:val="TableText"/>
            </w:pPr>
            <w:r>
              <w:rPr>
                <w:i/>
              </w:rPr>
              <w:t>Distributors</w:t>
            </w:r>
            <w:r>
              <w:t xml:space="preserve"> must report embedded generati</w:t>
            </w:r>
            <w:r w:rsidR="00161C7C" w:rsidRPr="00161C7C">
              <w:t xml:space="preserve">on and distribution to Class A </w:t>
            </w:r>
            <w:r w:rsidR="00161C7C" w:rsidRPr="00161C7C">
              <w:rPr>
                <w:i/>
              </w:rPr>
              <w:t>consumers</w:t>
            </w:r>
            <w:r w:rsidR="00161C7C" w:rsidRPr="00161C7C">
              <w:t>.</w:t>
            </w:r>
          </w:p>
        </w:tc>
        <w:tc>
          <w:tcPr>
            <w:tcW w:w="1980" w:type="dxa"/>
          </w:tcPr>
          <w:p w14:paraId="6C628EB4" w14:textId="77777777" w:rsidR="00855CB7" w:rsidRDefault="00855CB7">
            <w:pPr>
              <w:pStyle w:val="TableText"/>
              <w:rPr>
                <w:b/>
              </w:rPr>
            </w:pPr>
            <w:r>
              <w:t xml:space="preserve">Within four </w:t>
            </w:r>
            <w:r>
              <w:rPr>
                <w:i/>
              </w:rPr>
              <w:t>business</w:t>
            </w:r>
            <w:r>
              <w:t xml:space="preserve"> </w:t>
            </w:r>
            <w:r>
              <w:rPr>
                <w:i/>
              </w:rPr>
              <w:t>days</w:t>
            </w:r>
            <w:r>
              <w:t xml:space="preserve"> after the last </w:t>
            </w:r>
            <w:r>
              <w:rPr>
                <w:i/>
              </w:rPr>
              <w:t>trading day</w:t>
            </w:r>
            <w:r>
              <w:t xml:space="preserve"> of every month.</w:t>
            </w:r>
          </w:p>
        </w:tc>
        <w:tc>
          <w:tcPr>
            <w:tcW w:w="2070" w:type="dxa"/>
          </w:tcPr>
          <w:p w14:paraId="1C098794" w14:textId="77777777" w:rsidR="00855CB7" w:rsidRDefault="00855CB7">
            <w:pPr>
              <w:pStyle w:val="TableText"/>
            </w:pPr>
            <w:r>
              <w:t>Monthly adjustments for any differences between:</w:t>
            </w:r>
          </w:p>
          <w:p w14:paraId="34A2F9BB" w14:textId="77777777" w:rsidR="00855CB7" w:rsidRDefault="00712519" w:rsidP="00640862">
            <w:pPr>
              <w:pStyle w:val="TableBullet"/>
              <w:tabs>
                <w:tab w:val="clear" w:pos="360"/>
                <w:tab w:val="num" w:pos="198"/>
              </w:tabs>
            </w:pPr>
            <w:r>
              <w:t xml:space="preserve">the </w:t>
            </w:r>
            <w:r w:rsidR="00855CB7">
              <w:t xml:space="preserve">regulated price and </w:t>
            </w:r>
            <w:r w:rsidR="00855CB7">
              <w:rPr>
                <w:i/>
              </w:rPr>
              <w:t xml:space="preserve">market price </w:t>
            </w:r>
            <w:r w:rsidR="00855CB7">
              <w:t xml:space="preserve">plus global adjustment for regulated </w:t>
            </w:r>
            <w:r w:rsidR="00855CB7">
              <w:rPr>
                <w:i/>
              </w:rPr>
              <w:t>consumers</w:t>
            </w:r>
            <w:r>
              <w:t>;</w:t>
            </w:r>
          </w:p>
          <w:p w14:paraId="6B5340EA" w14:textId="77777777" w:rsidR="00855CB7" w:rsidRDefault="00712519" w:rsidP="00640862">
            <w:pPr>
              <w:pStyle w:val="TableBullet"/>
              <w:tabs>
                <w:tab w:val="clear" w:pos="360"/>
                <w:tab w:val="num" w:pos="198"/>
              </w:tabs>
            </w:pPr>
            <w:r>
              <w:t xml:space="preserve">the </w:t>
            </w:r>
            <w:r w:rsidR="00855CB7">
              <w:rPr>
                <w:i/>
              </w:rPr>
              <w:t xml:space="preserve">market price </w:t>
            </w:r>
            <w:r w:rsidR="00855CB7">
              <w:t>and contract price</w:t>
            </w:r>
            <w:r w:rsidR="00855CB7">
              <w:rPr>
                <w:i/>
              </w:rPr>
              <w:t xml:space="preserve"> </w:t>
            </w:r>
            <w:r w:rsidR="00855CB7">
              <w:t>for</w:t>
            </w:r>
            <w:r w:rsidR="00855CB7">
              <w:rPr>
                <w:i/>
              </w:rPr>
              <w:t xml:space="preserve"> </w:t>
            </w:r>
            <w:r w:rsidR="00855CB7">
              <w:t>participating</w:t>
            </w:r>
            <w:r w:rsidR="00855CB7">
              <w:rPr>
                <w:i/>
              </w:rPr>
              <w:t xml:space="preserve"> retailers</w:t>
            </w:r>
            <w:r w:rsidR="00855CB7">
              <w:t xml:space="preserve"> with </w:t>
            </w:r>
            <w:r w:rsidR="00855CB7">
              <w:rPr>
                <w:i/>
              </w:rPr>
              <w:t>distributor</w:t>
            </w:r>
            <w:r w:rsidR="00855CB7">
              <w:t>-consolidated billing</w:t>
            </w:r>
            <w:r>
              <w:t>;</w:t>
            </w:r>
          </w:p>
          <w:p w14:paraId="73EE43DF" w14:textId="77777777" w:rsidR="00855CB7" w:rsidRDefault="00712519" w:rsidP="00640862">
            <w:pPr>
              <w:pStyle w:val="TableBullet"/>
              <w:tabs>
                <w:tab w:val="clear" w:pos="360"/>
                <w:tab w:val="num" w:pos="198"/>
              </w:tabs>
            </w:pPr>
            <w:r>
              <w:t xml:space="preserve">the </w:t>
            </w:r>
            <w:r w:rsidR="00855CB7">
              <w:t>regulated price and contract price for participating</w:t>
            </w:r>
            <w:r w:rsidR="00855CB7">
              <w:rPr>
                <w:i/>
              </w:rPr>
              <w:t xml:space="preserve"> retailers</w:t>
            </w:r>
            <w:r w:rsidR="00855CB7">
              <w:t xml:space="preserve"> with </w:t>
            </w:r>
            <w:r w:rsidR="00855CB7">
              <w:rPr>
                <w:i/>
              </w:rPr>
              <w:t>retailer</w:t>
            </w:r>
            <w:r w:rsidR="00855CB7">
              <w:t>-consolidated billing</w:t>
            </w:r>
            <w:r>
              <w:t xml:space="preserve">; </w:t>
            </w:r>
            <w:r w:rsidR="00855CB7">
              <w:t>and</w:t>
            </w:r>
          </w:p>
          <w:p w14:paraId="16AEAD63" w14:textId="77777777" w:rsidR="00855CB7" w:rsidRDefault="00712519" w:rsidP="00640862">
            <w:pPr>
              <w:pStyle w:val="TableBullet"/>
              <w:tabs>
                <w:tab w:val="clear" w:pos="360"/>
                <w:tab w:val="num" w:pos="198"/>
              </w:tabs>
            </w:pPr>
            <w:r>
              <w:t xml:space="preserve">the </w:t>
            </w:r>
            <w:r w:rsidR="00855CB7">
              <w:t>daily global adjustment and the monthly global adjustment.</w:t>
            </w:r>
          </w:p>
          <w:p w14:paraId="463E6DAE" w14:textId="77777777" w:rsidR="00855CB7" w:rsidRDefault="00855CB7">
            <w:pPr>
              <w:pStyle w:val="TableText"/>
            </w:pPr>
          </w:p>
          <w:p w14:paraId="64028752" w14:textId="77777777" w:rsidR="00CA25FD" w:rsidRDefault="00161C7C">
            <w:r w:rsidRPr="00161C7C">
              <w:t xml:space="preserve">Monthly amount distributed to Class A </w:t>
            </w:r>
            <w:r w:rsidRPr="00161C7C">
              <w:rPr>
                <w:i/>
              </w:rPr>
              <w:t>consumers</w:t>
            </w:r>
            <w:r w:rsidRPr="00161C7C">
              <w:t xml:space="preserve"> for the previous month and forecast amount of embedded generation distributed to Class A </w:t>
            </w:r>
            <w:r w:rsidRPr="00161C7C">
              <w:rPr>
                <w:i/>
              </w:rPr>
              <w:t>consumers</w:t>
            </w:r>
            <w:r w:rsidRPr="00161C7C">
              <w:t xml:space="preserve"> for the current month.</w:t>
            </w:r>
          </w:p>
        </w:tc>
        <w:tc>
          <w:tcPr>
            <w:tcW w:w="2700" w:type="dxa"/>
          </w:tcPr>
          <w:p w14:paraId="500E5032" w14:textId="77777777" w:rsidR="00855CB7" w:rsidRDefault="00855CB7" w:rsidP="005C6516">
            <w:pPr>
              <w:pStyle w:val="TableText"/>
            </w:pPr>
            <w:r>
              <w:t xml:space="preserve">Submitted via </w:t>
            </w:r>
            <w:r w:rsidR="005C6516" w:rsidRPr="005C6516">
              <w:t>Online</w:t>
            </w:r>
            <w:r w:rsidR="005C6516">
              <w:rPr>
                <w:i/>
              </w:rPr>
              <w:t xml:space="preserve"> IESO</w:t>
            </w:r>
            <w:r w:rsidR="009E0083">
              <w:t>.</w:t>
            </w:r>
          </w:p>
        </w:tc>
        <w:tc>
          <w:tcPr>
            <w:tcW w:w="2070" w:type="dxa"/>
          </w:tcPr>
          <w:p w14:paraId="50276E39" w14:textId="77777777" w:rsidR="00855CB7" w:rsidRDefault="00855CB7" w:rsidP="00891C47">
            <w:pPr>
              <w:pStyle w:val="TableText"/>
            </w:pPr>
            <w:r>
              <w:t xml:space="preserve">Monthly adjustment information is sent to </w:t>
            </w:r>
            <w:r w:rsidR="00891C47">
              <w:t>us.</w:t>
            </w:r>
          </w:p>
        </w:tc>
      </w:tr>
      <w:tr w:rsidR="00855CB7" w14:paraId="51C3C1C1" w14:textId="77777777" w:rsidTr="00170852">
        <w:trPr>
          <w:cantSplit/>
        </w:trPr>
        <w:tc>
          <w:tcPr>
            <w:tcW w:w="1224" w:type="dxa"/>
          </w:tcPr>
          <w:p w14:paraId="3B214796" w14:textId="77777777" w:rsidR="00855CB7" w:rsidRDefault="00855CB7">
            <w:pPr>
              <w:pStyle w:val="TableText"/>
            </w:pPr>
            <w:r>
              <w:t>5J.02</w:t>
            </w:r>
          </w:p>
        </w:tc>
        <w:tc>
          <w:tcPr>
            <w:tcW w:w="1800" w:type="dxa"/>
          </w:tcPr>
          <w:p w14:paraId="06C40C74" w14:textId="77777777" w:rsidR="00855CB7" w:rsidRDefault="00855CB7">
            <w:pPr>
              <w:pStyle w:val="TableText"/>
            </w:pPr>
            <w:r>
              <w:t xml:space="preserve">Receive </w:t>
            </w:r>
            <w:r w:rsidR="009E0083">
              <w:t>online data submission</w:t>
            </w:r>
            <w:r w:rsidR="00E16C59">
              <w:t>.</w:t>
            </w:r>
          </w:p>
        </w:tc>
        <w:tc>
          <w:tcPr>
            <w:tcW w:w="2790" w:type="dxa"/>
          </w:tcPr>
          <w:p w14:paraId="2A1E7224" w14:textId="77777777" w:rsidR="00855CB7" w:rsidRDefault="00600B7B">
            <w:pPr>
              <w:pStyle w:val="TableText"/>
            </w:pPr>
            <w:r>
              <w:rPr>
                <w:lang w:val="en-CA"/>
              </w:rPr>
              <w:t xml:space="preserve">We </w:t>
            </w:r>
            <w:r w:rsidR="00855CB7">
              <w:t xml:space="preserve">receive the </w:t>
            </w:r>
            <w:r w:rsidR="00DC0E09" w:rsidRPr="00DC0E09">
              <w:rPr>
                <w:i/>
              </w:rPr>
              <w:t>settlement</w:t>
            </w:r>
            <w:r w:rsidR="009E0083">
              <w:t xml:space="preserve"> data submitted online </w:t>
            </w:r>
            <w:r w:rsidR="00855CB7">
              <w:t xml:space="preserve">from </w:t>
            </w:r>
            <w:r w:rsidR="00855CB7">
              <w:rPr>
                <w:i/>
              </w:rPr>
              <w:t>distributors</w:t>
            </w:r>
            <w:r w:rsidR="009E0083">
              <w:t xml:space="preserve"> via </w:t>
            </w:r>
            <w:r w:rsidR="001A46D5">
              <w:t>Online IESO</w:t>
            </w:r>
            <w:r w:rsidR="009E0083">
              <w:t>.</w:t>
            </w:r>
          </w:p>
          <w:p w14:paraId="6D0DAB2A" w14:textId="77777777" w:rsidR="00855CB7" w:rsidRDefault="00855CB7" w:rsidP="001A46D5">
            <w:pPr>
              <w:pStyle w:val="TableText"/>
            </w:pPr>
            <w:r>
              <w:t xml:space="preserve">In the event further information is required, the </w:t>
            </w:r>
            <w:r>
              <w:rPr>
                <w:i/>
              </w:rPr>
              <w:t xml:space="preserve">distributor </w:t>
            </w:r>
            <w:r>
              <w:t xml:space="preserve">is requested to re-submit </w:t>
            </w:r>
            <w:r w:rsidR="001A46D5">
              <w:t>via Online IESO</w:t>
            </w:r>
            <w:r>
              <w:t>.</w:t>
            </w:r>
          </w:p>
        </w:tc>
        <w:tc>
          <w:tcPr>
            <w:tcW w:w="1980" w:type="dxa"/>
          </w:tcPr>
          <w:p w14:paraId="406C4D2A" w14:textId="77777777" w:rsidR="00855CB7" w:rsidRDefault="00855CB7">
            <w:pPr>
              <w:pStyle w:val="TableText"/>
            </w:pPr>
          </w:p>
        </w:tc>
        <w:tc>
          <w:tcPr>
            <w:tcW w:w="2070" w:type="dxa"/>
          </w:tcPr>
          <w:p w14:paraId="15D9151C" w14:textId="77777777" w:rsidR="00855CB7" w:rsidRDefault="00855CB7">
            <w:pPr>
              <w:pStyle w:val="TableText"/>
            </w:pPr>
          </w:p>
        </w:tc>
        <w:tc>
          <w:tcPr>
            <w:tcW w:w="2700" w:type="dxa"/>
          </w:tcPr>
          <w:p w14:paraId="440B8646" w14:textId="77777777" w:rsidR="00855CB7" w:rsidRDefault="001A46D5">
            <w:pPr>
              <w:pStyle w:val="TableText"/>
            </w:pPr>
            <w:r w:rsidRPr="001A46D5">
              <w:t>Online</w:t>
            </w:r>
            <w:r>
              <w:rPr>
                <w:i/>
              </w:rPr>
              <w:t xml:space="preserve"> IESO</w:t>
            </w:r>
            <w:r w:rsidR="00E16C59">
              <w:t>.</w:t>
            </w:r>
            <w:r w:rsidR="009E0083">
              <w:t xml:space="preserve"> </w:t>
            </w:r>
          </w:p>
        </w:tc>
        <w:tc>
          <w:tcPr>
            <w:tcW w:w="2070" w:type="dxa"/>
          </w:tcPr>
          <w:p w14:paraId="092B00A0" w14:textId="77777777" w:rsidR="00855CB7" w:rsidRDefault="00855CB7">
            <w:pPr>
              <w:pStyle w:val="TableText"/>
            </w:pPr>
            <w:r>
              <w:t>Information received by the</w:t>
            </w:r>
            <w:r>
              <w:rPr>
                <w:i/>
              </w:rPr>
              <w:t xml:space="preserve"> IESO</w:t>
            </w:r>
            <w:r>
              <w:t>.</w:t>
            </w:r>
          </w:p>
        </w:tc>
      </w:tr>
    </w:tbl>
    <w:p w14:paraId="2582677D" w14:textId="6CFDA5D6" w:rsidR="000D43A3" w:rsidRDefault="000D43A3" w:rsidP="000D43A3">
      <w:pPr>
        <w:pStyle w:val="EndofText"/>
      </w:pPr>
      <w:bookmarkStart w:id="1547" w:name="_Toc536627072"/>
      <w:bookmarkStart w:id="1548" w:name="_Toc483275419"/>
      <w:bookmarkStart w:id="1549" w:name="_Toc32038464"/>
      <w:bookmarkStart w:id="1550" w:name="_Toc175383931"/>
      <w:bookmarkStart w:id="1551" w:name="_Toc400369557"/>
      <w:bookmarkStart w:id="1552" w:name="_Toc35796395"/>
      <w:bookmarkEnd w:id="1547"/>
      <w:r>
        <w:t xml:space="preserve">– End of Section - </w:t>
      </w:r>
      <w:r>
        <w:br w:type="page"/>
      </w:r>
    </w:p>
    <w:p w14:paraId="59D00664" w14:textId="7E5C862F" w:rsidR="00FD08CA" w:rsidRDefault="00FD08CA" w:rsidP="000D43A3">
      <w:pPr>
        <w:pStyle w:val="EndofText"/>
      </w:pPr>
    </w:p>
    <w:p w14:paraId="3E94AD10" w14:textId="77777777" w:rsidR="00FD08CA" w:rsidRPr="00B15E59" w:rsidRDefault="00FD08CA" w:rsidP="000D43A3">
      <w:pPr>
        <w:pStyle w:val="EndofText"/>
        <w:sectPr w:rsidR="00FD08CA" w:rsidRPr="00B15E59" w:rsidSect="003E26B5">
          <w:headerReference w:type="even" r:id="rId70"/>
          <w:headerReference w:type="default" r:id="rId71"/>
          <w:footerReference w:type="even" r:id="rId72"/>
          <w:footerReference w:type="default" r:id="rId73"/>
          <w:pgSz w:w="15840" w:h="12240" w:orient="landscape" w:code="1"/>
          <w:pgMar w:top="1800" w:right="1440" w:bottom="1440" w:left="1440" w:header="720" w:footer="720" w:gutter="0"/>
          <w:cols w:space="720"/>
        </w:sectPr>
      </w:pPr>
    </w:p>
    <w:p w14:paraId="6F211268" w14:textId="57654A48" w:rsidR="008A518C" w:rsidRDefault="00855CB7" w:rsidP="002F4178">
      <w:pPr>
        <w:pStyle w:val="Heading7"/>
        <w:rPr>
          <w:lang w:val="en-CA"/>
        </w:rPr>
      </w:pPr>
      <w:bookmarkStart w:id="1553" w:name="_Toc79657997"/>
      <w:r>
        <w:rPr>
          <w:lang w:val="en-CA"/>
        </w:rPr>
        <w:t>Forms</w:t>
      </w:r>
      <w:bookmarkEnd w:id="1548"/>
      <w:bookmarkEnd w:id="1549"/>
      <w:bookmarkEnd w:id="1550"/>
      <w:bookmarkEnd w:id="1551"/>
      <w:bookmarkEnd w:id="1552"/>
      <w:bookmarkEnd w:id="1553"/>
    </w:p>
    <w:p w14:paraId="62CC05D6" w14:textId="351C44B5" w:rsidR="00855CB7" w:rsidRDefault="00855CB7">
      <w:pPr>
        <w:pStyle w:val="BodyText"/>
        <w:rPr>
          <w:lang w:val="en-CA"/>
        </w:rPr>
      </w:pPr>
      <w:r>
        <w:rPr>
          <w:snapToGrid w:val="0"/>
          <w:lang w:val="en-CA"/>
        </w:rPr>
        <w:t xml:space="preserve">This appendix contains a list of forms used in the </w:t>
      </w:r>
      <w:r>
        <w:rPr>
          <w:i/>
          <w:snapToGrid w:val="0"/>
          <w:lang w:val="en-CA"/>
        </w:rPr>
        <w:t>physical markets</w:t>
      </w:r>
      <w:r>
        <w:rPr>
          <w:snapToGrid w:val="0"/>
          <w:lang w:val="en-CA"/>
        </w:rPr>
        <w:t xml:space="preserve"> </w:t>
      </w:r>
      <w:r>
        <w:rPr>
          <w:i/>
          <w:snapToGrid w:val="0"/>
          <w:lang w:val="en-CA"/>
        </w:rPr>
        <w:t>settlement statements</w:t>
      </w:r>
      <w:r>
        <w:rPr>
          <w:snapToGrid w:val="0"/>
          <w:lang w:val="en-CA"/>
        </w:rPr>
        <w:t xml:space="preserve"> </w:t>
      </w:r>
      <w:r>
        <w:rPr>
          <w:rFonts w:ascii="Courier New" w:hAnsi="Courier New"/>
          <w:snapToGrid w:val="0"/>
          <w:lang w:val="en-CA"/>
        </w:rPr>
        <w:t>p</w:t>
      </w:r>
      <w:r>
        <w:rPr>
          <w:snapToGrid w:val="0"/>
          <w:lang w:val="en-CA"/>
        </w:rPr>
        <w:t xml:space="preserve">rocess, </w:t>
      </w:r>
      <w:r>
        <w:rPr>
          <w:lang w:val="en-CA"/>
        </w:rPr>
        <w:t xml:space="preserve">which are available on the </w:t>
      </w:r>
      <w:r>
        <w:rPr>
          <w:i/>
          <w:lang w:val="en-CA"/>
        </w:rPr>
        <w:t>IESO</w:t>
      </w:r>
      <w:r>
        <w:rPr>
          <w:lang w:val="en-CA"/>
        </w:rPr>
        <w:t xml:space="preserve"> Web site (</w:t>
      </w:r>
      <w:hyperlink r:id="rId74" w:tooltip="IESO Website" w:history="1">
        <w:r>
          <w:rPr>
            <w:rStyle w:val="Hyperlink"/>
            <w:lang w:val="en-CA"/>
          </w:rPr>
          <w:t>http://www.ieso.ca</w:t>
        </w:r>
      </w:hyperlink>
      <w:r>
        <w:rPr>
          <w:lang w:val="en-CA"/>
        </w:rPr>
        <w:t>). The forms included are as follows:</w:t>
      </w:r>
    </w:p>
    <w:p w14:paraId="4808BC6E" w14:textId="77777777" w:rsidR="00274BEB" w:rsidRDefault="00274BEB">
      <w:pPr>
        <w:pStyle w:val="BodyText"/>
        <w:spacing w:before="0" w:after="0"/>
        <w:rPr>
          <w:lang w:val="en-CA"/>
        </w:rPr>
      </w:pPr>
    </w:p>
    <w:tbl>
      <w:tblPr>
        <w:tblW w:w="0" w:type="auto"/>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Description w:val="Appendix A:  Forms"/>
      </w:tblPr>
      <w:tblGrid>
        <w:gridCol w:w="6480"/>
        <w:gridCol w:w="2250"/>
      </w:tblGrid>
      <w:tr w:rsidR="00855CB7" w14:paraId="75E3B21A" w14:textId="77777777" w:rsidTr="007B06D7">
        <w:tc>
          <w:tcPr>
            <w:tcW w:w="6480" w:type="dxa"/>
            <w:shd w:val="clear" w:color="auto" w:fill="D9D9D9" w:themeFill="background1" w:themeFillShade="D9"/>
            <w:vAlign w:val="center"/>
          </w:tcPr>
          <w:p w14:paraId="1231B210" w14:textId="77777777" w:rsidR="00855CB7" w:rsidRDefault="00855CB7" w:rsidP="000D70BE">
            <w:pPr>
              <w:pStyle w:val="TableHead"/>
              <w:rPr>
                <w:lang w:val="en-CA"/>
              </w:rPr>
            </w:pPr>
            <w:r>
              <w:rPr>
                <w:lang w:val="en-CA"/>
              </w:rPr>
              <w:t>Form Name</w:t>
            </w:r>
          </w:p>
        </w:tc>
        <w:tc>
          <w:tcPr>
            <w:tcW w:w="2250" w:type="dxa"/>
            <w:shd w:val="clear" w:color="auto" w:fill="D9D9D9" w:themeFill="background1" w:themeFillShade="D9"/>
            <w:vAlign w:val="center"/>
          </w:tcPr>
          <w:p w14:paraId="1788CB15" w14:textId="77777777" w:rsidR="00855CB7" w:rsidRDefault="00855CB7" w:rsidP="000D70BE">
            <w:pPr>
              <w:pStyle w:val="TableHead"/>
              <w:rPr>
                <w:lang w:val="en-CA"/>
              </w:rPr>
            </w:pPr>
            <w:r>
              <w:rPr>
                <w:lang w:val="en-CA"/>
              </w:rPr>
              <w:t>Form Number</w:t>
            </w:r>
          </w:p>
        </w:tc>
      </w:tr>
      <w:tr w:rsidR="00057805" w14:paraId="0D28E25D" w14:textId="77777777">
        <w:tc>
          <w:tcPr>
            <w:tcW w:w="6480" w:type="dxa"/>
          </w:tcPr>
          <w:p w14:paraId="3B34889B" w14:textId="77777777" w:rsidR="00057805" w:rsidRDefault="00057805" w:rsidP="00B07F34">
            <w:pPr>
              <w:pStyle w:val="ListBullet"/>
              <w:numPr>
                <w:ilvl w:val="0"/>
                <w:numId w:val="0"/>
              </w:numPr>
              <w:rPr>
                <w:lang w:val="en-CA"/>
              </w:rPr>
            </w:pPr>
            <w:r>
              <w:rPr>
                <w:lang w:val="en-CA"/>
              </w:rPr>
              <w:t>Application for Designation of a Facility for Generation Station Service Rebate</w:t>
            </w:r>
          </w:p>
        </w:tc>
        <w:tc>
          <w:tcPr>
            <w:tcW w:w="2250" w:type="dxa"/>
          </w:tcPr>
          <w:p w14:paraId="69697135" w14:textId="77777777" w:rsidR="00057805" w:rsidRDefault="00E33158" w:rsidP="00B07F34">
            <w:pPr>
              <w:pStyle w:val="ListBullet"/>
              <w:numPr>
                <w:ilvl w:val="0"/>
                <w:numId w:val="0"/>
              </w:numPr>
              <w:rPr>
                <w:lang w:val="en-CA"/>
              </w:rPr>
            </w:pPr>
            <w:r>
              <w:rPr>
                <w:lang w:val="en-CA"/>
              </w:rPr>
              <w:t>IMO_FORM_1419</w:t>
            </w:r>
          </w:p>
        </w:tc>
      </w:tr>
      <w:tr w:rsidR="00855CB7" w14:paraId="6D8F23A8" w14:textId="77777777">
        <w:tc>
          <w:tcPr>
            <w:tcW w:w="6480" w:type="dxa"/>
          </w:tcPr>
          <w:p w14:paraId="28B76396" w14:textId="77777777" w:rsidR="00855CB7" w:rsidRDefault="00855CB7">
            <w:pPr>
              <w:pStyle w:val="ListBullet"/>
              <w:numPr>
                <w:ilvl w:val="0"/>
                <w:numId w:val="0"/>
              </w:numPr>
              <w:rPr>
                <w:snapToGrid w:val="0"/>
                <w:lang w:val="en-CA" w:eastAsia="en-US"/>
              </w:rPr>
            </w:pPr>
            <w:r>
              <w:rPr>
                <w:lang w:val="en-CA"/>
              </w:rPr>
              <w:t>Declaration of Designated Consumer</w:t>
            </w:r>
          </w:p>
        </w:tc>
        <w:tc>
          <w:tcPr>
            <w:tcW w:w="2250" w:type="dxa"/>
          </w:tcPr>
          <w:p w14:paraId="1E744531" w14:textId="77777777" w:rsidR="00855CB7" w:rsidRDefault="00855CB7" w:rsidP="00E33158">
            <w:pPr>
              <w:pStyle w:val="ListBullet"/>
              <w:numPr>
                <w:ilvl w:val="0"/>
                <w:numId w:val="0"/>
              </w:numPr>
              <w:rPr>
                <w:snapToGrid w:val="0"/>
                <w:lang w:val="en-CA" w:eastAsia="en-US"/>
              </w:rPr>
            </w:pPr>
            <w:r>
              <w:rPr>
                <w:lang w:val="en-CA"/>
              </w:rPr>
              <w:t>IMO</w:t>
            </w:r>
            <w:r w:rsidR="00E33158">
              <w:rPr>
                <w:lang w:val="en-CA"/>
              </w:rPr>
              <w:t>_</w:t>
            </w:r>
            <w:r>
              <w:rPr>
                <w:lang w:val="en-CA"/>
              </w:rPr>
              <w:t>FORM</w:t>
            </w:r>
            <w:r w:rsidR="00E33158">
              <w:rPr>
                <w:lang w:val="en-CA"/>
              </w:rPr>
              <w:t>_</w:t>
            </w:r>
            <w:r>
              <w:rPr>
                <w:lang w:val="en-CA"/>
              </w:rPr>
              <w:t>1507</w:t>
            </w:r>
          </w:p>
        </w:tc>
      </w:tr>
      <w:tr w:rsidR="00855CB7" w14:paraId="6F766CC3" w14:textId="77777777" w:rsidTr="00A7536D">
        <w:tc>
          <w:tcPr>
            <w:tcW w:w="6480" w:type="dxa"/>
            <w:tcBorders>
              <w:bottom w:val="single" w:sz="4" w:space="0" w:color="auto"/>
            </w:tcBorders>
          </w:tcPr>
          <w:p w14:paraId="2757C4BA" w14:textId="77777777" w:rsidR="00855CB7" w:rsidRDefault="00855CB7">
            <w:pPr>
              <w:pStyle w:val="ListBullet"/>
              <w:numPr>
                <w:ilvl w:val="0"/>
                <w:numId w:val="0"/>
              </w:numPr>
              <w:rPr>
                <w:lang w:val="en-CA"/>
              </w:rPr>
            </w:pPr>
            <w:r>
              <w:rPr>
                <w:lang w:val="en-CA"/>
              </w:rPr>
              <w:t>Administrative Pricing Event Correction</w:t>
            </w:r>
          </w:p>
        </w:tc>
        <w:tc>
          <w:tcPr>
            <w:tcW w:w="2250" w:type="dxa"/>
            <w:tcBorders>
              <w:bottom w:val="single" w:sz="4" w:space="0" w:color="auto"/>
            </w:tcBorders>
          </w:tcPr>
          <w:p w14:paraId="6D22E9F6" w14:textId="77777777" w:rsidR="00855CB7" w:rsidRDefault="00855CB7" w:rsidP="00E33158">
            <w:pPr>
              <w:pStyle w:val="ListBullet"/>
              <w:numPr>
                <w:ilvl w:val="0"/>
                <w:numId w:val="0"/>
              </w:numPr>
              <w:rPr>
                <w:lang w:val="en-CA"/>
              </w:rPr>
            </w:pPr>
            <w:r>
              <w:rPr>
                <w:lang w:val="en-CA"/>
              </w:rPr>
              <w:t>IMO</w:t>
            </w:r>
            <w:r w:rsidR="00E33158">
              <w:rPr>
                <w:lang w:val="en-CA"/>
              </w:rPr>
              <w:t>_</w:t>
            </w:r>
            <w:r>
              <w:rPr>
                <w:lang w:val="en-CA"/>
              </w:rPr>
              <w:t>FORM</w:t>
            </w:r>
            <w:r w:rsidR="00E33158">
              <w:rPr>
                <w:lang w:val="en-CA"/>
              </w:rPr>
              <w:t>_</w:t>
            </w:r>
            <w:r>
              <w:rPr>
                <w:lang w:val="en-CA"/>
              </w:rPr>
              <w:t>1549</w:t>
            </w:r>
          </w:p>
        </w:tc>
      </w:tr>
    </w:tbl>
    <w:p w14:paraId="2D377259" w14:textId="66ACA978" w:rsidR="00357E28" w:rsidRDefault="00A3214F" w:rsidP="00A3214F">
      <w:pPr>
        <w:pStyle w:val="ListBullet"/>
        <w:numPr>
          <w:ilvl w:val="0"/>
          <w:numId w:val="0"/>
        </w:numPr>
        <w:spacing w:before="360"/>
        <w:rPr>
          <w:b/>
          <w:lang w:val="en-CA"/>
        </w:rPr>
      </w:pPr>
      <w:r>
        <w:rPr>
          <w:b/>
          <w:lang w:val="en-CA"/>
        </w:rPr>
        <w:t xml:space="preserve">Note: </w:t>
      </w:r>
      <w:r w:rsidRPr="00BF6124">
        <w:rPr>
          <w:i/>
          <w:lang w:val="en-CA"/>
        </w:rPr>
        <w:t xml:space="preserve">Electricity storage participants </w:t>
      </w:r>
      <w:r w:rsidRPr="00BF6124">
        <w:rPr>
          <w:lang w:val="en-CA"/>
        </w:rPr>
        <w:t>are required to use the above forms</w:t>
      </w:r>
      <w:r>
        <w:rPr>
          <w:lang w:val="en-CA"/>
        </w:rPr>
        <w:t xml:space="preserve">. These forms are expected to be </w:t>
      </w:r>
      <w:r w:rsidRPr="00BF6124">
        <w:rPr>
          <w:lang w:val="en-CA"/>
        </w:rPr>
        <w:t>update</w:t>
      </w:r>
      <w:r>
        <w:rPr>
          <w:lang w:val="en-CA"/>
        </w:rPr>
        <w:t>d</w:t>
      </w:r>
      <w:r w:rsidRPr="00BF6124">
        <w:rPr>
          <w:lang w:val="en-CA"/>
        </w:rPr>
        <w:t xml:space="preserve"> </w:t>
      </w:r>
      <w:r>
        <w:rPr>
          <w:lang w:val="en-CA"/>
        </w:rPr>
        <w:t>if an</w:t>
      </w:r>
      <w:r w:rsidR="00281473">
        <w:rPr>
          <w:lang w:val="en-CA"/>
        </w:rPr>
        <w:t>d</w:t>
      </w:r>
      <w:r>
        <w:rPr>
          <w:lang w:val="en-CA"/>
        </w:rPr>
        <w:t xml:space="preserve"> as necessary </w:t>
      </w:r>
      <w:r w:rsidRPr="00BF6124">
        <w:rPr>
          <w:lang w:val="en-CA"/>
        </w:rPr>
        <w:t xml:space="preserve">to include </w:t>
      </w:r>
      <w:r>
        <w:rPr>
          <w:lang w:val="en-CA"/>
        </w:rPr>
        <w:t xml:space="preserve">language specific to </w:t>
      </w:r>
      <w:r w:rsidRPr="006B0450">
        <w:rPr>
          <w:i/>
          <w:lang w:val="en-CA"/>
        </w:rPr>
        <w:t>electricity storage facilities</w:t>
      </w:r>
      <w:r>
        <w:rPr>
          <w:lang w:val="en-CA"/>
        </w:rPr>
        <w:t xml:space="preserve"> and </w:t>
      </w:r>
      <w:r w:rsidRPr="006B0450">
        <w:rPr>
          <w:i/>
          <w:lang w:val="en-CA"/>
        </w:rPr>
        <w:t>electricity storage participants</w:t>
      </w:r>
      <w:r>
        <w:rPr>
          <w:lang w:val="en-CA"/>
        </w:rPr>
        <w:t xml:space="preserve">.  Until such time, any questions from </w:t>
      </w:r>
      <w:r w:rsidRPr="006B0450">
        <w:rPr>
          <w:i/>
          <w:lang w:val="en-CA"/>
        </w:rPr>
        <w:t>electricity storage participants</w:t>
      </w:r>
      <w:r>
        <w:rPr>
          <w:lang w:val="en-CA"/>
        </w:rPr>
        <w:t xml:space="preserve"> relating to how to fill out the forms correctly may be addressed </w:t>
      </w:r>
      <w:r w:rsidR="003B0B60">
        <w:rPr>
          <w:lang w:val="en-CA"/>
        </w:rPr>
        <w:t xml:space="preserve">by </w:t>
      </w:r>
      <w:r w:rsidR="003B0B60" w:rsidRPr="00DA3379">
        <w:rPr>
          <w:lang w:val="en-CA"/>
        </w:rPr>
        <w:t>IESO Customer Relations</w:t>
      </w:r>
      <w:r w:rsidR="003B0B60">
        <w:rPr>
          <w:lang w:val="en-CA"/>
        </w:rPr>
        <w:t xml:space="preserve">. </w:t>
      </w:r>
    </w:p>
    <w:p w14:paraId="3B18CE3B" w14:textId="0B769F5E" w:rsidR="00FD08CA" w:rsidRDefault="00FD08CA" w:rsidP="00524FCC">
      <w:pPr>
        <w:pStyle w:val="EndofText"/>
      </w:pPr>
      <w:r>
        <w:t>– End of Section –</w:t>
      </w:r>
    </w:p>
    <w:p w14:paraId="41AC730B" w14:textId="77777777" w:rsidR="00FD08CA" w:rsidRDefault="00FD08CA" w:rsidP="00FD08CA">
      <w:pPr>
        <w:spacing w:after="0"/>
        <w:rPr>
          <w:lang w:val="en-CA"/>
        </w:rPr>
      </w:pPr>
      <w:r>
        <w:rPr>
          <w:lang w:val="en-CA"/>
        </w:rPr>
        <w:br w:type="page"/>
      </w:r>
    </w:p>
    <w:p w14:paraId="0FC63D06" w14:textId="77777777" w:rsidR="00FD08CA" w:rsidRDefault="00FD08CA" w:rsidP="00FD08CA">
      <w:pPr>
        <w:pStyle w:val="ListBullet"/>
        <w:numPr>
          <w:ilvl w:val="0"/>
          <w:numId w:val="0"/>
        </w:numPr>
        <w:rPr>
          <w:lang w:val="en-CA"/>
        </w:rPr>
      </w:pPr>
    </w:p>
    <w:p w14:paraId="431FC25B" w14:textId="77777777" w:rsidR="00FD08CA" w:rsidRDefault="00FD08CA" w:rsidP="00FD08CA">
      <w:pPr>
        <w:pStyle w:val="ListBullet"/>
        <w:numPr>
          <w:ilvl w:val="0"/>
          <w:numId w:val="0"/>
        </w:numPr>
        <w:rPr>
          <w:lang w:val="en-CA"/>
        </w:rPr>
      </w:pPr>
    </w:p>
    <w:p w14:paraId="346FF939" w14:textId="77777777" w:rsidR="00FD08CA" w:rsidRDefault="00FD08CA" w:rsidP="00FD08CA">
      <w:pPr>
        <w:pStyle w:val="ListBullet"/>
        <w:numPr>
          <w:ilvl w:val="0"/>
          <w:numId w:val="0"/>
        </w:numPr>
        <w:rPr>
          <w:lang w:val="en-CA"/>
        </w:rPr>
      </w:pPr>
    </w:p>
    <w:p w14:paraId="61FB9B3B" w14:textId="77777777" w:rsidR="007400F8" w:rsidRDefault="007400F8" w:rsidP="001A01BE">
      <w:pPr>
        <w:pStyle w:val="ListBullet"/>
        <w:numPr>
          <w:ilvl w:val="0"/>
          <w:numId w:val="0"/>
        </w:numPr>
        <w:rPr>
          <w:lang w:val="en-CA"/>
        </w:rPr>
        <w:sectPr w:rsidR="007400F8" w:rsidSect="00F74C0A">
          <w:headerReference w:type="even" r:id="rId75"/>
          <w:headerReference w:type="default" r:id="rId76"/>
          <w:footerReference w:type="even" r:id="rId77"/>
          <w:footerReference w:type="default" r:id="rId78"/>
          <w:pgSz w:w="12240" w:h="15840" w:code="1"/>
          <w:pgMar w:top="1440" w:right="1440" w:bottom="1440" w:left="1800" w:header="720" w:footer="720" w:gutter="0"/>
          <w:pgNumType w:start="1" w:chapStyle="7" w:chapSep="enDash"/>
          <w:cols w:space="720"/>
        </w:sectPr>
      </w:pPr>
    </w:p>
    <w:p w14:paraId="0C7F048C" w14:textId="77777777" w:rsidR="00855CB7" w:rsidRDefault="00CA3C47">
      <w:pPr>
        <w:pStyle w:val="Heading7"/>
        <w:rPr>
          <w:lang w:val="en-CA"/>
        </w:rPr>
      </w:pPr>
      <w:bookmarkStart w:id="1554" w:name="_Toc32038465"/>
      <w:bookmarkStart w:id="1555" w:name="_Toc175383932"/>
      <w:bookmarkStart w:id="1556" w:name="_Toc400369558"/>
      <w:bookmarkStart w:id="1557" w:name="_Toc35796396"/>
      <w:bookmarkStart w:id="1558" w:name="_Toc79657998"/>
      <w:r>
        <w:rPr>
          <w:lang w:val="en-CA"/>
        </w:rPr>
        <w:t xml:space="preserve">Online IESO </w:t>
      </w:r>
      <w:r w:rsidR="00855CB7">
        <w:rPr>
          <w:lang w:val="en-CA"/>
        </w:rPr>
        <w:t xml:space="preserve">Notice </w:t>
      </w:r>
      <w:r w:rsidR="00764895">
        <w:rPr>
          <w:lang w:val="en-CA"/>
        </w:rPr>
        <w:t>of</w:t>
      </w:r>
      <w:r w:rsidR="00855CB7">
        <w:rPr>
          <w:lang w:val="en-CA"/>
        </w:rPr>
        <w:t xml:space="preserve"> Disagreement Form</w:t>
      </w:r>
      <w:bookmarkEnd w:id="1554"/>
      <w:bookmarkEnd w:id="1555"/>
      <w:bookmarkEnd w:id="1556"/>
      <w:bookmarkEnd w:id="1557"/>
      <w:bookmarkEnd w:id="1558"/>
    </w:p>
    <w:p w14:paraId="7FDE27BA" w14:textId="77777777" w:rsidR="00855CB7" w:rsidRDefault="00855CB7">
      <w:pPr>
        <w:pStyle w:val="BodyText"/>
        <w:rPr>
          <w:lang w:val="en-CA"/>
        </w:rPr>
      </w:pPr>
      <w:r>
        <w:rPr>
          <w:lang w:val="en-CA"/>
        </w:rPr>
        <w:t xml:space="preserve">The following screen captures show the </w:t>
      </w:r>
      <w:r w:rsidR="001722A3">
        <w:rPr>
          <w:lang w:val="en-CA"/>
        </w:rPr>
        <w:t xml:space="preserve">Online IESO </w:t>
      </w:r>
      <w:r>
        <w:rPr>
          <w:i/>
          <w:lang w:val="en-CA"/>
        </w:rPr>
        <w:t>notice of disagreement</w:t>
      </w:r>
      <w:r>
        <w:rPr>
          <w:lang w:val="en-CA"/>
        </w:rPr>
        <w:t xml:space="preserve"> </w:t>
      </w:r>
      <w:r w:rsidR="00871478">
        <w:rPr>
          <w:lang w:val="en-CA"/>
        </w:rPr>
        <w:t>forms</w:t>
      </w:r>
      <w:r w:rsidR="00240AE0">
        <w:rPr>
          <w:lang w:val="en-CA"/>
        </w:rPr>
        <w:t xml:space="preserve"> </w:t>
      </w:r>
      <w:r>
        <w:rPr>
          <w:lang w:val="en-CA"/>
        </w:rPr>
        <w:t xml:space="preserve">that </w:t>
      </w:r>
      <w:r>
        <w:rPr>
          <w:i/>
          <w:lang w:val="en-CA"/>
        </w:rPr>
        <w:t>market participants</w:t>
      </w:r>
      <w:r>
        <w:rPr>
          <w:lang w:val="en-CA"/>
        </w:rPr>
        <w:t xml:space="preserve"> use to register and track a </w:t>
      </w:r>
      <w:r>
        <w:rPr>
          <w:i/>
          <w:lang w:val="en-CA"/>
        </w:rPr>
        <w:t>notice of disagreement</w:t>
      </w:r>
      <w:r>
        <w:rPr>
          <w:lang w:val="en-CA"/>
        </w:rPr>
        <w:t>.</w:t>
      </w:r>
    </w:p>
    <w:p w14:paraId="08A7059B" w14:textId="77777777" w:rsidR="00855CB7" w:rsidRDefault="00096F55" w:rsidP="00B16080">
      <w:pPr>
        <w:pStyle w:val="BodyText"/>
        <w:jc w:val="center"/>
        <w:rPr>
          <w:lang w:val="en-CA"/>
        </w:rPr>
      </w:pPr>
      <w:r>
        <w:rPr>
          <w:noProof/>
          <w:lang w:val="en-CA"/>
        </w:rPr>
        <w:drawing>
          <wp:inline distT="0" distB="0" distL="0" distR="0" wp14:anchorId="5B70F42F" wp14:editId="3EBC66B2">
            <wp:extent cx="4597911" cy="2699309"/>
            <wp:effectExtent l="0" t="0" r="0" b="6350"/>
            <wp:docPr id="85" name="Picture 85" descr="NOD Detailed Reco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4592377" cy="2696060"/>
                    </a:xfrm>
                    <a:prstGeom prst="rect">
                      <a:avLst/>
                    </a:prstGeom>
                  </pic:spPr>
                </pic:pic>
              </a:graphicData>
            </a:graphic>
          </wp:inline>
        </w:drawing>
      </w:r>
      <w:r>
        <w:rPr>
          <w:noProof/>
          <w:lang w:val="en-CA" w:eastAsia="zh-CN"/>
        </w:rPr>
        <w:t xml:space="preserve"> </w:t>
      </w:r>
    </w:p>
    <w:p w14:paraId="0A8EC8AE" w14:textId="77777777" w:rsidR="00855CB7" w:rsidRDefault="00855CB7">
      <w:pPr>
        <w:pStyle w:val="FigureCaption"/>
        <w:rPr>
          <w:lang w:val="en-CA"/>
        </w:rPr>
      </w:pPr>
      <w:bookmarkStart w:id="1559" w:name="_Toc175639726"/>
      <w:bookmarkStart w:id="1560" w:name="_Toc400369584"/>
      <w:bookmarkStart w:id="1561" w:name="_Toc400371945"/>
      <w:bookmarkStart w:id="1562" w:name="_Toc35796416"/>
      <w:bookmarkStart w:id="1563" w:name="_Toc79657890"/>
      <w:r>
        <w:rPr>
          <w:lang w:val="en-CA"/>
        </w:rPr>
        <w:t>Figur</w:t>
      </w:r>
      <w:r w:rsidR="00AC2C05">
        <w:rPr>
          <w:lang w:val="en-CA"/>
        </w:rPr>
        <w:t>e B–</w:t>
      </w:r>
      <w:r>
        <w:rPr>
          <w:lang w:val="en-CA"/>
        </w:rPr>
        <w:t xml:space="preserve">1: </w:t>
      </w:r>
      <w:r w:rsidR="001A01BE">
        <w:rPr>
          <w:lang w:val="en-CA"/>
        </w:rPr>
        <w:t xml:space="preserve"> </w:t>
      </w:r>
      <w:r>
        <w:rPr>
          <w:lang w:val="en-CA"/>
        </w:rPr>
        <w:t xml:space="preserve">NOD </w:t>
      </w:r>
      <w:bookmarkEnd w:id="1559"/>
      <w:r w:rsidR="00CD2B1B">
        <w:rPr>
          <w:lang w:val="en-CA"/>
        </w:rPr>
        <w:t xml:space="preserve">Detailed </w:t>
      </w:r>
      <w:r w:rsidR="00096F55">
        <w:rPr>
          <w:lang w:val="en-CA"/>
        </w:rPr>
        <w:t>Records</w:t>
      </w:r>
      <w:bookmarkEnd w:id="1560"/>
      <w:bookmarkEnd w:id="1561"/>
      <w:bookmarkEnd w:id="1562"/>
      <w:bookmarkEnd w:id="1563"/>
    </w:p>
    <w:p w14:paraId="22B5659F" w14:textId="77777777" w:rsidR="002F007A" w:rsidRDefault="002F007A">
      <w:pPr>
        <w:pStyle w:val="FigureCaption"/>
        <w:rPr>
          <w:lang w:val="en-CA"/>
        </w:rPr>
      </w:pPr>
    </w:p>
    <w:p w14:paraId="24085743" w14:textId="77777777" w:rsidR="002F007A" w:rsidRDefault="002F007A" w:rsidP="00F66F6C">
      <w:pPr>
        <w:pStyle w:val="Figure"/>
        <w:rPr>
          <w:lang w:val="en-CA"/>
        </w:rPr>
      </w:pPr>
      <w:bookmarkStart w:id="1564" w:name="_Toc400369585"/>
      <w:bookmarkStart w:id="1565" w:name="_Toc400371946"/>
      <w:r>
        <w:rPr>
          <w:lang w:val="en-CA"/>
        </w:rPr>
        <w:drawing>
          <wp:inline distT="0" distB="0" distL="0" distR="0" wp14:anchorId="2037F4A4" wp14:editId="0550DEA1">
            <wp:extent cx="4506163" cy="2629558"/>
            <wp:effectExtent l="0" t="0" r="8890" b="0"/>
            <wp:docPr id="2" name="Picture 2" descr="NOD Detail Screen – Select Preliminary Settlement Stat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4506127" cy="2629537"/>
                    </a:xfrm>
                    <a:prstGeom prst="rect">
                      <a:avLst/>
                    </a:prstGeom>
                  </pic:spPr>
                </pic:pic>
              </a:graphicData>
            </a:graphic>
          </wp:inline>
        </w:drawing>
      </w:r>
      <w:bookmarkEnd w:id="1564"/>
      <w:bookmarkEnd w:id="1565"/>
    </w:p>
    <w:p w14:paraId="6F08584A" w14:textId="77777777" w:rsidR="002F007A" w:rsidRDefault="002F007A" w:rsidP="00F66F6C">
      <w:pPr>
        <w:pStyle w:val="FigureCaption"/>
        <w:spacing w:before="120"/>
        <w:rPr>
          <w:lang w:val="en-CA"/>
        </w:rPr>
      </w:pPr>
      <w:bookmarkStart w:id="1566" w:name="_Toc400369586"/>
      <w:bookmarkStart w:id="1567" w:name="_Toc400371947"/>
      <w:bookmarkStart w:id="1568" w:name="_Toc35796417"/>
      <w:bookmarkStart w:id="1569" w:name="_Toc79657891"/>
      <w:r>
        <w:rPr>
          <w:lang w:val="en-CA"/>
        </w:rPr>
        <w:t>Figure B–2:  NOD Detail S</w:t>
      </w:r>
      <w:r w:rsidR="00240AE0">
        <w:rPr>
          <w:lang w:val="en-CA"/>
        </w:rPr>
        <w:t>c</w:t>
      </w:r>
      <w:r>
        <w:rPr>
          <w:lang w:val="en-CA"/>
        </w:rPr>
        <w:t>reen – Select Preliminary Settlement Statement</w:t>
      </w:r>
      <w:bookmarkEnd w:id="1566"/>
      <w:bookmarkEnd w:id="1567"/>
      <w:bookmarkEnd w:id="1568"/>
      <w:bookmarkEnd w:id="1569"/>
    </w:p>
    <w:p w14:paraId="2E2FFC81" w14:textId="77777777" w:rsidR="002F007A" w:rsidRDefault="002F007A">
      <w:pPr>
        <w:pStyle w:val="FigureCaption"/>
        <w:rPr>
          <w:lang w:val="en-CA"/>
        </w:rPr>
      </w:pPr>
    </w:p>
    <w:p w14:paraId="01F6B0D1" w14:textId="77777777" w:rsidR="00855CB7" w:rsidRDefault="00096F55" w:rsidP="00F926BA">
      <w:pPr>
        <w:pStyle w:val="BodyText"/>
        <w:jc w:val="center"/>
        <w:rPr>
          <w:lang w:val="en-CA"/>
        </w:rPr>
      </w:pPr>
      <w:r w:rsidDel="00096F55">
        <w:rPr>
          <w:noProof/>
          <w:lang w:val="en-CA" w:eastAsia="zh-CN"/>
        </w:rPr>
        <w:t xml:space="preserve"> </w:t>
      </w:r>
      <w:r>
        <w:rPr>
          <w:noProof/>
          <w:lang w:val="en-CA"/>
        </w:rPr>
        <w:drawing>
          <wp:inline distT="0" distB="0" distL="0" distR="0" wp14:anchorId="28B4988F" wp14:editId="45956F31">
            <wp:extent cx="4547384" cy="2948026"/>
            <wp:effectExtent l="0" t="0" r="5715" b="5080"/>
            <wp:docPr id="14" name="Picture 14" descr="NOD Detail Screen – Select Preliminary Settlement Statement Line Ite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4539633" cy="2943001"/>
                    </a:xfrm>
                    <a:prstGeom prst="rect">
                      <a:avLst/>
                    </a:prstGeom>
                  </pic:spPr>
                </pic:pic>
              </a:graphicData>
            </a:graphic>
          </wp:inline>
        </w:drawing>
      </w:r>
      <w:r w:rsidDel="00096F55">
        <w:rPr>
          <w:noProof/>
          <w:lang w:val="en-CA" w:eastAsia="zh-CN"/>
        </w:rPr>
        <w:t xml:space="preserve"> </w:t>
      </w:r>
    </w:p>
    <w:p w14:paraId="6FE9EE22" w14:textId="77777777" w:rsidR="00855CB7" w:rsidRDefault="00AC2C05">
      <w:pPr>
        <w:pStyle w:val="FigureCaption"/>
        <w:rPr>
          <w:lang w:val="en-CA"/>
        </w:rPr>
      </w:pPr>
      <w:bookmarkStart w:id="1570" w:name="_Toc175639727"/>
      <w:bookmarkStart w:id="1571" w:name="_Toc400369587"/>
      <w:bookmarkStart w:id="1572" w:name="_Toc400371948"/>
      <w:bookmarkStart w:id="1573" w:name="_Toc35796418"/>
      <w:bookmarkStart w:id="1574" w:name="_Toc79657892"/>
      <w:r>
        <w:rPr>
          <w:lang w:val="en-CA"/>
        </w:rPr>
        <w:t>Figure B–</w:t>
      </w:r>
      <w:r w:rsidR="002F007A">
        <w:rPr>
          <w:lang w:val="en-CA"/>
        </w:rPr>
        <w:t>3</w:t>
      </w:r>
      <w:r w:rsidR="00855CB7">
        <w:rPr>
          <w:lang w:val="en-CA"/>
        </w:rPr>
        <w:t xml:space="preserve">: </w:t>
      </w:r>
      <w:r w:rsidR="001A01BE">
        <w:rPr>
          <w:lang w:val="en-CA"/>
        </w:rPr>
        <w:t xml:space="preserve"> </w:t>
      </w:r>
      <w:r w:rsidR="00855CB7">
        <w:rPr>
          <w:lang w:val="en-CA"/>
        </w:rPr>
        <w:t xml:space="preserve">NOD </w:t>
      </w:r>
      <w:bookmarkEnd w:id="1570"/>
      <w:r w:rsidR="00096F55">
        <w:rPr>
          <w:lang w:val="en-CA"/>
        </w:rPr>
        <w:t>Detail S</w:t>
      </w:r>
      <w:r w:rsidR="001722A3">
        <w:rPr>
          <w:lang w:val="en-CA"/>
        </w:rPr>
        <w:t>c</w:t>
      </w:r>
      <w:r w:rsidR="00096F55">
        <w:rPr>
          <w:lang w:val="en-CA"/>
        </w:rPr>
        <w:t xml:space="preserve">reen – Select Preliminary Settlement Statement </w:t>
      </w:r>
      <w:r w:rsidR="00CD2B1B">
        <w:rPr>
          <w:lang w:val="en-CA"/>
        </w:rPr>
        <w:t>Line I</w:t>
      </w:r>
      <w:r w:rsidR="00096F55">
        <w:rPr>
          <w:lang w:val="en-CA"/>
        </w:rPr>
        <w:t>tems</w:t>
      </w:r>
      <w:bookmarkEnd w:id="1571"/>
      <w:bookmarkEnd w:id="1572"/>
      <w:bookmarkEnd w:id="1573"/>
      <w:bookmarkEnd w:id="1574"/>
    </w:p>
    <w:p w14:paraId="7C616EA2" w14:textId="77777777" w:rsidR="00240AE0" w:rsidRDefault="00240AE0" w:rsidP="00A442B9">
      <w:pPr>
        <w:pStyle w:val="BodyText0"/>
      </w:pPr>
    </w:p>
    <w:p w14:paraId="40DE3D5B" w14:textId="77777777" w:rsidR="00855CB7" w:rsidRDefault="00096F55" w:rsidP="00A64E70">
      <w:pPr>
        <w:pStyle w:val="BodyText0"/>
        <w:jc w:val="center"/>
      </w:pPr>
      <w:r>
        <w:rPr>
          <w:noProof/>
          <w:lang w:eastAsia="en-CA"/>
        </w:rPr>
        <w:drawing>
          <wp:inline distT="0" distB="0" distL="0" distR="0" wp14:anchorId="3D746DD8" wp14:editId="5F11AB10">
            <wp:extent cx="4557369" cy="2679887"/>
            <wp:effectExtent l="0" t="0" r="0" b="6350"/>
            <wp:docPr id="84" name="Picture 84" descr="NOD Detail Screen – Add Missing Line Ite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4568710" cy="2686556"/>
                    </a:xfrm>
                    <a:prstGeom prst="rect">
                      <a:avLst/>
                    </a:prstGeom>
                  </pic:spPr>
                </pic:pic>
              </a:graphicData>
            </a:graphic>
          </wp:inline>
        </w:drawing>
      </w:r>
    </w:p>
    <w:p w14:paraId="28E49351" w14:textId="77777777" w:rsidR="00855CB7" w:rsidRDefault="00AC2C05">
      <w:pPr>
        <w:pStyle w:val="FigureCaption"/>
        <w:rPr>
          <w:lang w:val="en-CA"/>
        </w:rPr>
      </w:pPr>
      <w:bookmarkStart w:id="1575" w:name="_Toc175639728"/>
      <w:bookmarkStart w:id="1576" w:name="_Toc400369588"/>
      <w:bookmarkStart w:id="1577" w:name="_Toc400371949"/>
      <w:bookmarkStart w:id="1578" w:name="_Toc35796419"/>
      <w:bookmarkStart w:id="1579" w:name="_Toc79657893"/>
      <w:r>
        <w:rPr>
          <w:lang w:val="en-CA"/>
        </w:rPr>
        <w:t>Figure B–</w:t>
      </w:r>
      <w:r w:rsidR="002F007A">
        <w:rPr>
          <w:lang w:val="en-CA"/>
        </w:rPr>
        <w:t>4</w:t>
      </w:r>
      <w:r w:rsidR="00855CB7">
        <w:rPr>
          <w:lang w:val="en-CA"/>
        </w:rPr>
        <w:t xml:space="preserve">: </w:t>
      </w:r>
      <w:r w:rsidR="001A01BE">
        <w:rPr>
          <w:lang w:val="en-CA"/>
        </w:rPr>
        <w:t xml:space="preserve"> </w:t>
      </w:r>
      <w:r w:rsidR="00855CB7">
        <w:rPr>
          <w:lang w:val="en-CA"/>
        </w:rPr>
        <w:t>NOD Detail Screen</w:t>
      </w:r>
      <w:bookmarkEnd w:id="1575"/>
      <w:r w:rsidR="00CD2B1B">
        <w:rPr>
          <w:lang w:val="en-CA"/>
        </w:rPr>
        <w:t xml:space="preserve"> – Add Missing Line Items</w:t>
      </w:r>
      <w:bookmarkEnd w:id="1576"/>
      <w:bookmarkEnd w:id="1577"/>
      <w:bookmarkEnd w:id="1578"/>
      <w:bookmarkEnd w:id="1579"/>
    </w:p>
    <w:p w14:paraId="63F45A4C" w14:textId="77777777" w:rsidR="00240AE0" w:rsidRDefault="00240AE0">
      <w:pPr>
        <w:pStyle w:val="FigureCaption"/>
        <w:rPr>
          <w:lang w:val="en-CA"/>
        </w:rPr>
      </w:pPr>
    </w:p>
    <w:p w14:paraId="30390794" w14:textId="77777777" w:rsidR="00240AE0" w:rsidRDefault="00240AE0">
      <w:pPr>
        <w:pStyle w:val="FigureCaption"/>
        <w:rPr>
          <w:lang w:val="en-CA"/>
        </w:rPr>
      </w:pPr>
    </w:p>
    <w:p w14:paraId="16E476CF" w14:textId="77777777" w:rsidR="00CD2B1B" w:rsidRDefault="00CD2B1B" w:rsidP="00F66F6C">
      <w:pPr>
        <w:pStyle w:val="Figure"/>
        <w:rPr>
          <w:lang w:val="en-CA"/>
        </w:rPr>
      </w:pPr>
      <w:bookmarkStart w:id="1580" w:name="_Toc400369589"/>
      <w:bookmarkStart w:id="1581" w:name="_Toc400371950"/>
      <w:r>
        <w:rPr>
          <w:lang w:val="en-CA"/>
        </w:rPr>
        <w:drawing>
          <wp:inline distT="0" distB="0" distL="0" distR="0" wp14:anchorId="35689B86" wp14:editId="5AE42D17">
            <wp:extent cx="3744941" cy="3174797"/>
            <wp:effectExtent l="0" t="0" r="8255" b="6985"/>
            <wp:docPr id="83" name="Picture 83" descr="NOD Detail Screen – Provide Additional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3742427" cy="3172665"/>
                    </a:xfrm>
                    <a:prstGeom prst="rect">
                      <a:avLst/>
                    </a:prstGeom>
                  </pic:spPr>
                </pic:pic>
              </a:graphicData>
            </a:graphic>
          </wp:inline>
        </w:drawing>
      </w:r>
      <w:bookmarkEnd w:id="1580"/>
      <w:bookmarkEnd w:id="1581"/>
    </w:p>
    <w:p w14:paraId="55AEA5F6" w14:textId="7EFAAC2B" w:rsidR="00CD2B1B" w:rsidRDefault="00CD2B1B" w:rsidP="00F66F6C">
      <w:pPr>
        <w:pStyle w:val="FigureCaption"/>
        <w:spacing w:before="120"/>
        <w:rPr>
          <w:lang w:val="en-CA"/>
        </w:rPr>
      </w:pPr>
      <w:bookmarkStart w:id="1582" w:name="_Toc400369590"/>
      <w:bookmarkStart w:id="1583" w:name="_Toc400371951"/>
      <w:bookmarkStart w:id="1584" w:name="_Toc35796420"/>
      <w:bookmarkStart w:id="1585" w:name="_Toc79657894"/>
      <w:r>
        <w:rPr>
          <w:lang w:val="en-CA"/>
        </w:rPr>
        <w:t>Figure B–</w:t>
      </w:r>
      <w:r w:rsidR="002F007A">
        <w:rPr>
          <w:lang w:val="en-CA"/>
        </w:rPr>
        <w:t>5</w:t>
      </w:r>
      <w:r>
        <w:rPr>
          <w:lang w:val="en-CA"/>
        </w:rPr>
        <w:t>:  NOD Detail Screen – Provide Additional Information</w:t>
      </w:r>
      <w:bookmarkEnd w:id="629"/>
      <w:bookmarkEnd w:id="630"/>
      <w:bookmarkEnd w:id="631"/>
      <w:bookmarkEnd w:id="632"/>
      <w:bookmarkEnd w:id="633"/>
      <w:bookmarkEnd w:id="634"/>
      <w:bookmarkEnd w:id="635"/>
      <w:bookmarkEnd w:id="1582"/>
      <w:bookmarkEnd w:id="1583"/>
      <w:bookmarkEnd w:id="1584"/>
      <w:bookmarkEnd w:id="1585"/>
    </w:p>
    <w:p w14:paraId="2821A224" w14:textId="77777777" w:rsidR="000446BB" w:rsidRDefault="000446BB">
      <w:pPr>
        <w:pStyle w:val="EndofText"/>
        <w:rPr>
          <w:noProof w:val="0"/>
        </w:rPr>
      </w:pPr>
    </w:p>
    <w:p w14:paraId="55B43E58" w14:textId="70B9031C" w:rsidR="000C2C50" w:rsidRDefault="000C2C50" w:rsidP="00524FCC">
      <w:pPr>
        <w:pStyle w:val="EndofText"/>
      </w:pPr>
      <w:r>
        <w:t>– End of Section –</w:t>
      </w:r>
    </w:p>
    <w:p w14:paraId="7EC88C35" w14:textId="77777777" w:rsidR="000D2924" w:rsidRDefault="000D2924" w:rsidP="000C2C50">
      <w:pPr>
        <w:pStyle w:val="ListBullet"/>
        <w:numPr>
          <w:ilvl w:val="0"/>
          <w:numId w:val="0"/>
        </w:numPr>
        <w:rPr>
          <w:lang w:val="en-CA"/>
        </w:rPr>
      </w:pPr>
    </w:p>
    <w:p w14:paraId="6EB7D014" w14:textId="77777777" w:rsidR="000D2924" w:rsidRDefault="000D2924" w:rsidP="000C2C50">
      <w:pPr>
        <w:pStyle w:val="ListBullet"/>
        <w:numPr>
          <w:ilvl w:val="0"/>
          <w:numId w:val="0"/>
        </w:numPr>
        <w:rPr>
          <w:lang w:val="en-CA"/>
        </w:rPr>
      </w:pPr>
    </w:p>
    <w:p w14:paraId="1CB66ECD" w14:textId="77777777" w:rsidR="000D2924" w:rsidRDefault="000D2924">
      <w:pPr>
        <w:spacing w:after="0"/>
        <w:rPr>
          <w:lang w:val="en-CA"/>
        </w:rPr>
      </w:pPr>
      <w:r>
        <w:rPr>
          <w:lang w:val="en-CA"/>
        </w:rPr>
        <w:br w:type="page"/>
      </w:r>
    </w:p>
    <w:p w14:paraId="1DC578BB" w14:textId="77777777" w:rsidR="000D2924" w:rsidRDefault="000D2924" w:rsidP="000C2C50">
      <w:pPr>
        <w:pStyle w:val="ListBullet"/>
        <w:numPr>
          <w:ilvl w:val="0"/>
          <w:numId w:val="0"/>
        </w:numPr>
        <w:rPr>
          <w:lang w:val="en-CA"/>
        </w:rPr>
      </w:pPr>
    </w:p>
    <w:p w14:paraId="3BB551A2" w14:textId="77777777" w:rsidR="000D2924" w:rsidRDefault="000D2924" w:rsidP="000C2C50">
      <w:pPr>
        <w:pStyle w:val="ListBullet"/>
        <w:numPr>
          <w:ilvl w:val="0"/>
          <w:numId w:val="0"/>
        </w:numPr>
        <w:rPr>
          <w:lang w:val="en-CA"/>
        </w:rPr>
      </w:pPr>
    </w:p>
    <w:p w14:paraId="36099A6E" w14:textId="77777777" w:rsidR="000D2924" w:rsidRDefault="000D2924" w:rsidP="000C2C50">
      <w:pPr>
        <w:pStyle w:val="ListBullet"/>
        <w:numPr>
          <w:ilvl w:val="0"/>
          <w:numId w:val="0"/>
        </w:numPr>
        <w:rPr>
          <w:lang w:val="en-CA"/>
        </w:rPr>
        <w:sectPr w:rsidR="000D2924" w:rsidSect="00F74C0A">
          <w:headerReference w:type="even" r:id="rId84"/>
          <w:headerReference w:type="default" r:id="rId85"/>
          <w:footerReference w:type="even" r:id="rId86"/>
          <w:footerReference w:type="default" r:id="rId87"/>
          <w:pgSz w:w="12240" w:h="15840" w:code="1"/>
          <w:pgMar w:top="1440" w:right="1440" w:bottom="1440" w:left="1800" w:header="720" w:footer="720" w:gutter="0"/>
          <w:pgNumType w:start="1" w:chapStyle="7" w:chapSep="enDash"/>
          <w:cols w:space="720"/>
        </w:sectPr>
      </w:pPr>
    </w:p>
    <w:p w14:paraId="29763AFD" w14:textId="77777777" w:rsidR="00B733CC" w:rsidRDefault="00855CB7">
      <w:pPr>
        <w:pStyle w:val="Heading7"/>
        <w:spacing w:before="120"/>
        <w:rPr>
          <w:lang w:val="en-CA"/>
        </w:rPr>
      </w:pPr>
      <w:bookmarkStart w:id="1586" w:name="_Toc536627075"/>
      <w:bookmarkStart w:id="1587" w:name="_Toc536627076"/>
      <w:bookmarkStart w:id="1588" w:name="_Toc536627077"/>
      <w:bookmarkStart w:id="1589" w:name="_Toc32198121"/>
      <w:bookmarkStart w:id="1590" w:name="_Toc175383933"/>
      <w:bookmarkStart w:id="1591" w:name="_Toc400369559"/>
      <w:bookmarkStart w:id="1592" w:name="_Toc35796397"/>
      <w:bookmarkStart w:id="1593" w:name="_Toc79657999"/>
      <w:bookmarkEnd w:id="1586"/>
      <w:bookmarkEnd w:id="1587"/>
      <w:bookmarkEnd w:id="1588"/>
      <w:r>
        <w:rPr>
          <w:lang w:val="en-CA"/>
        </w:rPr>
        <w:t>IESO Charge Types</w:t>
      </w:r>
      <w:bookmarkEnd w:id="1589"/>
      <w:r>
        <w:rPr>
          <w:lang w:val="en-CA"/>
        </w:rPr>
        <w:t xml:space="preserve"> Applicable to the Authorized Charge</w:t>
      </w:r>
      <w:bookmarkEnd w:id="1590"/>
      <w:bookmarkEnd w:id="1591"/>
      <w:bookmarkEnd w:id="1592"/>
      <w:bookmarkEnd w:id="1593"/>
    </w:p>
    <w:p w14:paraId="37C1CB43" w14:textId="77777777" w:rsidR="003958D6" w:rsidRDefault="003958D6">
      <w:pPr>
        <w:pStyle w:val="TableText"/>
        <w:rPr>
          <w:snapToGrid w:val="0"/>
          <w:lang w:val="en-CA"/>
        </w:rPr>
      </w:pPr>
    </w:p>
    <w:p w14:paraId="209F8A88" w14:textId="77777777" w:rsidR="00B733CC" w:rsidRDefault="003958D6">
      <w:pPr>
        <w:pStyle w:val="BodyTextNote"/>
        <w:pBdr>
          <w:top w:val="single" w:sz="2" w:space="1" w:color="auto"/>
          <w:left w:val="single" w:sz="2" w:space="4" w:color="auto"/>
          <w:bottom w:val="single" w:sz="2" w:space="1" w:color="auto"/>
          <w:right w:val="single" w:sz="2" w:space="4" w:color="auto"/>
        </w:pBdr>
        <w:tabs>
          <w:tab w:val="clear" w:pos="576"/>
          <w:tab w:val="left" w:pos="720"/>
        </w:tabs>
        <w:ind w:left="720" w:hanging="720"/>
        <w:rPr>
          <w:snapToGrid w:val="0"/>
          <w:lang w:val="en-CA"/>
        </w:rPr>
      </w:pPr>
      <w:r w:rsidRPr="00962246">
        <w:rPr>
          <w:lang w:val="en-CA"/>
        </w:rPr>
        <w:t xml:space="preserve">The provisions of </w:t>
      </w:r>
      <w:r>
        <w:rPr>
          <w:lang w:val="en-CA"/>
        </w:rPr>
        <w:t xml:space="preserve">this </w:t>
      </w:r>
      <w:r w:rsidR="002310D4">
        <w:rPr>
          <w:lang w:val="en-CA"/>
        </w:rPr>
        <w:t>appendix</w:t>
      </w:r>
      <w:r w:rsidRPr="00962246">
        <w:rPr>
          <w:lang w:val="en-CA"/>
        </w:rPr>
        <w:t xml:space="preserve"> do not apply for any period beginning after March 31, 2005.  </w:t>
      </w:r>
      <w:r>
        <w:rPr>
          <w:lang w:val="en-CA"/>
        </w:rPr>
        <w:t xml:space="preserve">The provisions of this </w:t>
      </w:r>
      <w:r w:rsidR="002310D4">
        <w:rPr>
          <w:lang w:val="en-CA"/>
        </w:rPr>
        <w:t>appendix</w:t>
      </w:r>
      <w:r>
        <w:rPr>
          <w:lang w:val="en-CA"/>
        </w:rPr>
        <w:t xml:space="preserve"> have been retained in the event that a re-calculation of the </w:t>
      </w:r>
      <w:r w:rsidR="00C2447D" w:rsidRPr="00C2447D">
        <w:rPr>
          <w:i/>
          <w:lang w:val="en-CA"/>
        </w:rPr>
        <w:t>energy</w:t>
      </w:r>
      <w:r>
        <w:rPr>
          <w:lang w:val="en-CA"/>
        </w:rPr>
        <w:t xml:space="preserve"> uplifts for any period prior to April 1, 2005 is necessary.</w:t>
      </w:r>
      <w:r>
        <w:rPr>
          <w:snapToGrid w:val="0"/>
          <w:lang w:val="en-CA"/>
        </w:rPr>
        <w:t xml:space="preserve"> </w:t>
      </w:r>
    </w:p>
    <w:p w14:paraId="239237EF" w14:textId="77777777" w:rsidR="00855CB7" w:rsidRDefault="00855CB7">
      <w:pPr>
        <w:pStyle w:val="TableText"/>
        <w:rPr>
          <w:lang w:val="en-CA"/>
        </w:rPr>
      </w:pPr>
      <w:r>
        <w:rPr>
          <w:snapToGrid w:val="0"/>
          <w:lang w:val="en-CA"/>
        </w:rPr>
        <w:t xml:space="preserve">This appendix contains a list of </w:t>
      </w:r>
      <w:r>
        <w:rPr>
          <w:i/>
          <w:snapToGrid w:val="0"/>
          <w:lang w:val="en-CA"/>
        </w:rPr>
        <w:t>IESO</w:t>
      </w:r>
      <w:r>
        <w:rPr>
          <w:lang w:val="en-CA"/>
        </w:rPr>
        <w:t xml:space="preserve"> </w:t>
      </w:r>
      <w:r>
        <w:rPr>
          <w:i/>
          <w:lang w:val="en-CA"/>
        </w:rPr>
        <w:t>charge types</w:t>
      </w:r>
      <w:r>
        <w:rPr>
          <w:lang w:val="en-CA"/>
        </w:rPr>
        <w:t xml:space="preserve"> included in the authorized charge defined in “Ontario Regulation 436/02”.  This set of charges is derived from the “IESO Charge Types and Equations” excluding:</w:t>
      </w:r>
    </w:p>
    <w:p w14:paraId="3B788BF7" w14:textId="77777777" w:rsidR="00855CB7" w:rsidRDefault="006F3596" w:rsidP="00B15E59">
      <w:pPr>
        <w:pStyle w:val="ListBullet"/>
        <w:spacing w:after="40"/>
        <w:rPr>
          <w:lang w:val="en-CA"/>
        </w:rPr>
      </w:pPr>
      <w:r>
        <w:rPr>
          <w:lang w:val="en-CA"/>
        </w:rPr>
        <w:t xml:space="preserve">charges </w:t>
      </w:r>
      <w:r w:rsidR="00855CB7">
        <w:rPr>
          <w:lang w:val="en-CA"/>
        </w:rPr>
        <w:t xml:space="preserve">that are payable as defined by “Ontario Regulation 436/02 2(3)” (commodity charge, the </w:t>
      </w:r>
      <w:r w:rsidR="00855CB7">
        <w:rPr>
          <w:i/>
          <w:lang w:val="en-CA"/>
        </w:rPr>
        <w:t>Debt Retirement Charge</w:t>
      </w:r>
      <w:r w:rsidR="00855CB7">
        <w:rPr>
          <w:lang w:val="en-CA"/>
        </w:rPr>
        <w:t xml:space="preserve"> and the </w:t>
      </w:r>
      <w:r w:rsidR="00855CB7">
        <w:rPr>
          <w:i/>
          <w:lang w:val="en-CA"/>
        </w:rPr>
        <w:t>Transmission Services Charges</w:t>
      </w:r>
      <w:r w:rsidR="00855CB7">
        <w:rPr>
          <w:lang w:val="en-CA"/>
        </w:rPr>
        <w:t>);</w:t>
      </w:r>
    </w:p>
    <w:p w14:paraId="1A9E48CB" w14:textId="77777777" w:rsidR="00855CB7" w:rsidRDefault="006F3596" w:rsidP="00B15E59">
      <w:pPr>
        <w:pStyle w:val="ListBullet"/>
        <w:spacing w:after="40"/>
        <w:rPr>
          <w:lang w:val="en-CA"/>
        </w:rPr>
      </w:pPr>
      <w:r>
        <w:rPr>
          <w:lang w:val="en-CA"/>
        </w:rPr>
        <w:t xml:space="preserve">charges </w:t>
      </w:r>
      <w:r w:rsidR="00855CB7">
        <w:rPr>
          <w:lang w:val="en-CA"/>
        </w:rPr>
        <w:t xml:space="preserve">identified by the Ontario </w:t>
      </w:r>
      <w:r w:rsidR="00855CB7">
        <w:rPr>
          <w:i/>
          <w:lang w:val="en-CA"/>
        </w:rPr>
        <w:t>Energy</w:t>
      </w:r>
      <w:r w:rsidR="00855CB7">
        <w:rPr>
          <w:lang w:val="en-CA"/>
        </w:rPr>
        <w:t xml:space="preserve"> Board (deemed non-recurrent wholesale market service charges);</w:t>
      </w:r>
    </w:p>
    <w:p w14:paraId="455B40DA" w14:textId="77777777" w:rsidR="00855CB7" w:rsidRDefault="006F3596" w:rsidP="00B15E59">
      <w:pPr>
        <w:pStyle w:val="ListBullet"/>
        <w:spacing w:after="40"/>
        <w:rPr>
          <w:lang w:val="en-CA"/>
        </w:rPr>
      </w:pPr>
      <w:r>
        <w:rPr>
          <w:lang w:val="en-CA"/>
        </w:rPr>
        <w:t xml:space="preserve">charges </w:t>
      </w:r>
      <w:r w:rsidR="00855CB7">
        <w:rPr>
          <w:lang w:val="en-CA"/>
        </w:rPr>
        <w:t xml:space="preserve">payable to </w:t>
      </w:r>
      <w:r w:rsidR="00855CB7">
        <w:rPr>
          <w:i/>
          <w:lang w:val="en-CA"/>
        </w:rPr>
        <w:t>market</w:t>
      </w:r>
      <w:r w:rsidR="00855CB7">
        <w:rPr>
          <w:lang w:val="en-CA"/>
        </w:rPr>
        <w:t xml:space="preserve"> </w:t>
      </w:r>
      <w:r w:rsidR="00855CB7">
        <w:rPr>
          <w:i/>
          <w:lang w:val="en-CA"/>
        </w:rPr>
        <w:t>participants</w:t>
      </w:r>
      <w:r w:rsidR="00855CB7">
        <w:rPr>
          <w:lang w:val="en-CA"/>
        </w:rPr>
        <w:t>;</w:t>
      </w:r>
    </w:p>
    <w:p w14:paraId="58D3D25F" w14:textId="77777777" w:rsidR="00855CB7" w:rsidRDefault="006F3596" w:rsidP="00B15E59">
      <w:pPr>
        <w:pStyle w:val="ListBullet"/>
        <w:spacing w:after="40"/>
        <w:rPr>
          <w:lang w:val="en-CA"/>
        </w:rPr>
      </w:pPr>
      <w:r>
        <w:rPr>
          <w:lang w:val="en-CA"/>
        </w:rPr>
        <w:t xml:space="preserve">charges </w:t>
      </w:r>
      <w:r w:rsidR="00855CB7">
        <w:rPr>
          <w:lang w:val="en-CA"/>
        </w:rPr>
        <w:t xml:space="preserve">applicable to specific participants for products supplied to </w:t>
      </w:r>
      <w:r w:rsidR="00891C47">
        <w:rPr>
          <w:lang w:val="en-CA"/>
        </w:rPr>
        <w:t>us</w:t>
      </w:r>
      <w:r w:rsidR="00855CB7">
        <w:rPr>
          <w:lang w:val="en-CA"/>
        </w:rPr>
        <w:t>; and</w:t>
      </w:r>
    </w:p>
    <w:p w14:paraId="513A64EC" w14:textId="77777777" w:rsidR="00855CB7" w:rsidRDefault="006F3596" w:rsidP="00B15E59">
      <w:pPr>
        <w:pStyle w:val="ListBullet"/>
        <w:spacing w:after="40"/>
        <w:rPr>
          <w:lang w:val="en-CA"/>
        </w:rPr>
      </w:pPr>
      <w:r>
        <w:rPr>
          <w:lang w:val="en-CA"/>
        </w:rPr>
        <w:t xml:space="preserve">charges </w:t>
      </w:r>
      <w:r w:rsidR="00855CB7">
        <w:rPr>
          <w:lang w:val="en-CA"/>
        </w:rPr>
        <w:t>not active in the market.</w:t>
      </w:r>
    </w:p>
    <w:p w14:paraId="483E867A" w14:textId="77777777" w:rsidR="00B733CC" w:rsidRDefault="00855CB7">
      <w:pPr>
        <w:pStyle w:val="TableCaption"/>
        <w:spacing w:before="120"/>
        <w:rPr>
          <w:lang w:val="en-CA"/>
        </w:rPr>
      </w:pPr>
      <w:bookmarkStart w:id="1594" w:name="_Toc173213656"/>
      <w:bookmarkStart w:id="1595" w:name="_Toc400369610"/>
      <w:bookmarkStart w:id="1596" w:name="_Toc35796443"/>
      <w:bookmarkStart w:id="1597" w:name="_Toc79657850"/>
      <w:r>
        <w:rPr>
          <w:snapToGrid w:val="0"/>
          <w:lang w:val="en-CA"/>
        </w:rPr>
        <w:t>Table C</w:t>
      </w:r>
      <w:r w:rsidR="00AC2C05">
        <w:rPr>
          <w:snapToGrid w:val="0"/>
          <w:lang w:val="en-CA"/>
        </w:rPr>
        <w:t>–</w:t>
      </w:r>
      <w:r>
        <w:rPr>
          <w:snapToGrid w:val="0"/>
          <w:lang w:val="en-CA"/>
        </w:rPr>
        <w:t>1:  IESO Charge Types Included in the 0.62 Monthly Calculation</w:t>
      </w:r>
      <w:bookmarkEnd w:id="1594"/>
      <w:bookmarkEnd w:id="1595"/>
      <w:bookmarkEnd w:id="1596"/>
      <w:bookmarkEnd w:id="1597"/>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20"/>
        <w:gridCol w:w="5940"/>
      </w:tblGrid>
      <w:tr w:rsidR="00855CB7" w14:paraId="2A547FAF" w14:textId="77777777" w:rsidTr="007B06D7">
        <w:trPr>
          <w:tblHeader/>
        </w:trPr>
        <w:tc>
          <w:tcPr>
            <w:tcW w:w="2520" w:type="dxa"/>
            <w:shd w:val="clear" w:color="auto" w:fill="D9D9D9" w:themeFill="background1" w:themeFillShade="D9"/>
            <w:vAlign w:val="center"/>
          </w:tcPr>
          <w:p w14:paraId="21B9E0DF" w14:textId="77777777" w:rsidR="00855CB7" w:rsidRDefault="00855CB7" w:rsidP="000D70BE">
            <w:pPr>
              <w:pStyle w:val="TableHead"/>
              <w:rPr>
                <w:lang w:val="en-CA"/>
              </w:rPr>
            </w:pPr>
            <w:r>
              <w:rPr>
                <w:lang w:val="en-CA"/>
              </w:rPr>
              <w:t>Charge Type Number</w:t>
            </w:r>
          </w:p>
        </w:tc>
        <w:tc>
          <w:tcPr>
            <w:tcW w:w="5940" w:type="dxa"/>
            <w:shd w:val="clear" w:color="auto" w:fill="D9D9D9" w:themeFill="background1" w:themeFillShade="D9"/>
            <w:vAlign w:val="center"/>
          </w:tcPr>
          <w:p w14:paraId="72F489B9" w14:textId="77777777" w:rsidR="00855CB7" w:rsidRDefault="00855CB7" w:rsidP="000D70BE">
            <w:pPr>
              <w:pStyle w:val="TableHead"/>
              <w:rPr>
                <w:lang w:val="en-CA"/>
              </w:rPr>
            </w:pPr>
            <w:r>
              <w:rPr>
                <w:lang w:val="en-CA"/>
              </w:rPr>
              <w:t>Charge Type Name</w:t>
            </w:r>
          </w:p>
        </w:tc>
      </w:tr>
      <w:tr w:rsidR="00855CB7" w14:paraId="01320F1A" w14:textId="77777777">
        <w:tc>
          <w:tcPr>
            <w:tcW w:w="2520" w:type="dxa"/>
          </w:tcPr>
          <w:p w14:paraId="06B3319F" w14:textId="77777777" w:rsidR="00B733CC" w:rsidRDefault="00855CB7">
            <w:pPr>
              <w:pStyle w:val="TableText"/>
              <w:spacing w:after="40"/>
              <w:jc w:val="center"/>
              <w:rPr>
                <w:lang w:val="en-CA"/>
              </w:rPr>
            </w:pPr>
            <w:r>
              <w:rPr>
                <w:snapToGrid w:val="0"/>
                <w:lang w:val="en-CA" w:eastAsia="en-US"/>
              </w:rPr>
              <w:t>0150</w:t>
            </w:r>
          </w:p>
        </w:tc>
        <w:tc>
          <w:tcPr>
            <w:tcW w:w="5940" w:type="dxa"/>
          </w:tcPr>
          <w:p w14:paraId="23835A75" w14:textId="77777777" w:rsidR="00B733CC" w:rsidRDefault="00855CB7">
            <w:pPr>
              <w:pStyle w:val="TableText"/>
              <w:spacing w:after="40"/>
              <w:rPr>
                <w:lang w:val="en-CA"/>
              </w:rPr>
            </w:pPr>
            <w:r>
              <w:rPr>
                <w:snapToGrid w:val="0"/>
                <w:lang w:val="en-CA" w:eastAsia="en-US"/>
              </w:rPr>
              <w:t>Net Energy Market Settlement Uplift</w:t>
            </w:r>
          </w:p>
        </w:tc>
      </w:tr>
      <w:tr w:rsidR="00855CB7" w14:paraId="79B67EBC" w14:textId="77777777">
        <w:tc>
          <w:tcPr>
            <w:tcW w:w="2520" w:type="dxa"/>
          </w:tcPr>
          <w:p w14:paraId="787A0EB1" w14:textId="77777777" w:rsidR="00B733CC" w:rsidRDefault="00855CB7">
            <w:pPr>
              <w:pStyle w:val="TableText"/>
              <w:spacing w:after="40"/>
              <w:jc w:val="center"/>
              <w:rPr>
                <w:lang w:val="en-CA"/>
              </w:rPr>
            </w:pPr>
            <w:r>
              <w:rPr>
                <w:snapToGrid w:val="0"/>
                <w:lang w:val="en-CA" w:eastAsia="en-US"/>
              </w:rPr>
              <w:t>0155</w:t>
            </w:r>
          </w:p>
        </w:tc>
        <w:tc>
          <w:tcPr>
            <w:tcW w:w="5940" w:type="dxa"/>
          </w:tcPr>
          <w:p w14:paraId="7D92899E" w14:textId="77777777" w:rsidR="00B733CC" w:rsidRDefault="00855CB7">
            <w:pPr>
              <w:pStyle w:val="TableText"/>
              <w:spacing w:after="40"/>
              <w:rPr>
                <w:lang w:val="en-CA"/>
              </w:rPr>
            </w:pPr>
            <w:r>
              <w:rPr>
                <w:snapToGrid w:val="0"/>
                <w:lang w:val="en-CA" w:eastAsia="en-US"/>
              </w:rPr>
              <w:t>Congestion Management Settlement Uplift</w:t>
            </w:r>
          </w:p>
        </w:tc>
      </w:tr>
      <w:tr w:rsidR="00855CB7" w14:paraId="71C7D337" w14:textId="77777777">
        <w:tc>
          <w:tcPr>
            <w:tcW w:w="2520" w:type="dxa"/>
          </w:tcPr>
          <w:p w14:paraId="6928FABD" w14:textId="77777777" w:rsidR="00B733CC" w:rsidRDefault="00855CB7">
            <w:pPr>
              <w:pStyle w:val="TableText"/>
              <w:spacing w:after="40"/>
              <w:jc w:val="center"/>
              <w:rPr>
                <w:lang w:val="en-CA"/>
              </w:rPr>
            </w:pPr>
            <w:r>
              <w:rPr>
                <w:snapToGrid w:val="0"/>
                <w:lang w:val="en-CA" w:eastAsia="en-US"/>
              </w:rPr>
              <w:t>0168</w:t>
            </w:r>
          </w:p>
        </w:tc>
        <w:tc>
          <w:tcPr>
            <w:tcW w:w="5940" w:type="dxa"/>
          </w:tcPr>
          <w:p w14:paraId="64281C05" w14:textId="77777777" w:rsidR="00B733CC" w:rsidRDefault="00855CB7">
            <w:pPr>
              <w:pStyle w:val="TableText"/>
              <w:spacing w:after="40"/>
              <w:rPr>
                <w:lang w:val="en-CA"/>
              </w:rPr>
            </w:pPr>
            <w:r>
              <w:rPr>
                <w:snapToGrid w:val="0"/>
                <w:lang w:val="en-CA" w:eastAsia="en-US"/>
              </w:rPr>
              <w:t>TR Market Shortfall Debit</w:t>
            </w:r>
          </w:p>
        </w:tc>
      </w:tr>
      <w:tr w:rsidR="00855CB7" w14:paraId="3FEEEC74" w14:textId="77777777">
        <w:tc>
          <w:tcPr>
            <w:tcW w:w="2520" w:type="dxa"/>
          </w:tcPr>
          <w:p w14:paraId="19FED84C" w14:textId="77777777" w:rsidR="00B733CC" w:rsidRDefault="00855CB7">
            <w:pPr>
              <w:pStyle w:val="TableText"/>
              <w:spacing w:after="40"/>
              <w:jc w:val="center"/>
              <w:rPr>
                <w:lang w:val="en-CA"/>
              </w:rPr>
            </w:pPr>
            <w:r>
              <w:rPr>
                <w:snapToGrid w:val="0"/>
                <w:lang w:val="en-CA" w:eastAsia="en-US"/>
              </w:rPr>
              <w:t>0170</w:t>
            </w:r>
          </w:p>
        </w:tc>
        <w:tc>
          <w:tcPr>
            <w:tcW w:w="5940" w:type="dxa"/>
          </w:tcPr>
          <w:p w14:paraId="60BCA410" w14:textId="77777777" w:rsidR="00B733CC" w:rsidRDefault="00855CB7">
            <w:pPr>
              <w:pStyle w:val="TableText"/>
              <w:spacing w:after="40"/>
              <w:rPr>
                <w:lang w:val="en-CA"/>
              </w:rPr>
            </w:pPr>
            <w:r>
              <w:rPr>
                <w:snapToGrid w:val="0"/>
                <w:lang w:val="en-CA" w:eastAsia="en-US"/>
              </w:rPr>
              <w:t>Local Market Power Rebate</w:t>
            </w:r>
          </w:p>
        </w:tc>
      </w:tr>
      <w:tr w:rsidR="00855CB7" w14:paraId="358288FA" w14:textId="77777777">
        <w:tc>
          <w:tcPr>
            <w:tcW w:w="2520" w:type="dxa"/>
          </w:tcPr>
          <w:p w14:paraId="4BF1F488" w14:textId="77777777" w:rsidR="00B733CC" w:rsidRDefault="00855CB7">
            <w:pPr>
              <w:pStyle w:val="TableText"/>
              <w:spacing w:after="40"/>
              <w:jc w:val="center"/>
              <w:rPr>
                <w:snapToGrid w:val="0"/>
                <w:lang w:val="en-CA" w:eastAsia="en-US"/>
              </w:rPr>
            </w:pPr>
            <w:r>
              <w:rPr>
                <w:snapToGrid w:val="0"/>
                <w:lang w:val="en-CA" w:eastAsia="en-US"/>
              </w:rPr>
              <w:t>0182</w:t>
            </w:r>
          </w:p>
        </w:tc>
        <w:tc>
          <w:tcPr>
            <w:tcW w:w="5940" w:type="dxa"/>
          </w:tcPr>
          <w:p w14:paraId="1C3EEFCF" w14:textId="77777777" w:rsidR="00B733CC" w:rsidRDefault="00855CB7">
            <w:pPr>
              <w:pStyle w:val="TableText"/>
              <w:spacing w:after="40"/>
              <w:rPr>
                <w:snapToGrid w:val="0"/>
                <w:lang w:val="en-CA" w:eastAsia="en-US"/>
              </w:rPr>
            </w:pPr>
            <w:r>
              <w:rPr>
                <w:snapToGrid w:val="0"/>
                <w:lang w:val="en-CA" w:eastAsia="en-US"/>
              </w:rPr>
              <w:t>Hour-Ahead Dispatchable Load Offer Guarantee</w:t>
            </w:r>
          </w:p>
        </w:tc>
      </w:tr>
      <w:tr w:rsidR="00855CB7" w14:paraId="23B4D6C2" w14:textId="77777777">
        <w:tc>
          <w:tcPr>
            <w:tcW w:w="2520" w:type="dxa"/>
          </w:tcPr>
          <w:p w14:paraId="6BCDC22C" w14:textId="77777777" w:rsidR="00B733CC" w:rsidRDefault="00855CB7">
            <w:pPr>
              <w:pStyle w:val="TableText"/>
              <w:spacing w:after="40"/>
              <w:jc w:val="center"/>
              <w:rPr>
                <w:noProof/>
                <w:snapToGrid w:val="0"/>
                <w:lang w:val="en-CA" w:eastAsia="en-US"/>
              </w:rPr>
            </w:pPr>
            <w:r>
              <w:rPr>
                <w:snapToGrid w:val="0"/>
                <w:lang w:val="en-CA" w:eastAsia="en-US"/>
              </w:rPr>
              <w:t>0183</w:t>
            </w:r>
          </w:p>
        </w:tc>
        <w:tc>
          <w:tcPr>
            <w:tcW w:w="5940" w:type="dxa"/>
          </w:tcPr>
          <w:p w14:paraId="4F9F0CA4" w14:textId="77777777" w:rsidR="00B733CC" w:rsidRDefault="00855CB7">
            <w:pPr>
              <w:pStyle w:val="TableText"/>
              <w:spacing w:after="40"/>
              <w:rPr>
                <w:noProof/>
                <w:snapToGrid w:val="0"/>
                <w:lang w:val="en-CA" w:eastAsia="en-US"/>
              </w:rPr>
            </w:pPr>
            <w:r>
              <w:rPr>
                <w:snapToGrid w:val="0"/>
                <w:lang w:val="en-CA" w:eastAsia="en-US"/>
              </w:rPr>
              <w:t>Generation Cost Guarantee Recovery Debit</w:t>
            </w:r>
          </w:p>
        </w:tc>
      </w:tr>
      <w:tr w:rsidR="00855CB7" w14:paraId="185186DC" w14:textId="77777777">
        <w:tc>
          <w:tcPr>
            <w:tcW w:w="2520" w:type="dxa"/>
          </w:tcPr>
          <w:p w14:paraId="6B9F8885" w14:textId="77777777" w:rsidR="00B733CC" w:rsidRDefault="00855CB7">
            <w:pPr>
              <w:pStyle w:val="TableText"/>
              <w:spacing w:after="40"/>
              <w:jc w:val="center"/>
              <w:rPr>
                <w:noProof/>
                <w:snapToGrid w:val="0"/>
                <w:lang w:val="en-CA" w:eastAsia="en-US"/>
              </w:rPr>
            </w:pPr>
            <w:r>
              <w:rPr>
                <w:snapToGrid w:val="0"/>
                <w:lang w:val="en-CA" w:eastAsia="en-US"/>
              </w:rPr>
              <w:t>0184</w:t>
            </w:r>
          </w:p>
        </w:tc>
        <w:tc>
          <w:tcPr>
            <w:tcW w:w="5940" w:type="dxa"/>
          </w:tcPr>
          <w:p w14:paraId="6245516C" w14:textId="77777777" w:rsidR="00B733CC" w:rsidRDefault="00855CB7">
            <w:pPr>
              <w:pStyle w:val="TableText"/>
              <w:spacing w:after="40"/>
              <w:rPr>
                <w:noProof/>
                <w:snapToGrid w:val="0"/>
                <w:lang w:val="en-CA" w:eastAsia="en-US"/>
              </w:rPr>
            </w:pPr>
            <w:r>
              <w:rPr>
                <w:snapToGrid w:val="0"/>
                <w:lang w:val="en-CA" w:eastAsia="en-US"/>
              </w:rPr>
              <w:t>Demand Response Debit</w:t>
            </w:r>
          </w:p>
        </w:tc>
      </w:tr>
      <w:tr w:rsidR="00855CB7" w14:paraId="0C728F65" w14:textId="77777777">
        <w:tc>
          <w:tcPr>
            <w:tcW w:w="2520" w:type="dxa"/>
          </w:tcPr>
          <w:p w14:paraId="0AAF6B9C" w14:textId="77777777" w:rsidR="00B733CC" w:rsidRDefault="00855CB7">
            <w:pPr>
              <w:pStyle w:val="TableText"/>
              <w:spacing w:after="40"/>
              <w:jc w:val="center"/>
              <w:rPr>
                <w:noProof/>
                <w:lang w:val="en-CA"/>
              </w:rPr>
            </w:pPr>
            <w:r>
              <w:rPr>
                <w:snapToGrid w:val="0"/>
                <w:lang w:val="en-CA" w:eastAsia="en-US"/>
              </w:rPr>
              <w:t>0250</w:t>
            </w:r>
          </w:p>
        </w:tc>
        <w:tc>
          <w:tcPr>
            <w:tcW w:w="5940" w:type="dxa"/>
          </w:tcPr>
          <w:p w14:paraId="06BFF04E" w14:textId="77777777" w:rsidR="00B733CC" w:rsidRDefault="00855CB7">
            <w:pPr>
              <w:pStyle w:val="TableText"/>
              <w:spacing w:after="40"/>
              <w:rPr>
                <w:noProof/>
                <w:lang w:val="en-CA"/>
              </w:rPr>
            </w:pPr>
            <w:r>
              <w:rPr>
                <w:snapToGrid w:val="0"/>
                <w:lang w:val="en-CA" w:eastAsia="en-US"/>
              </w:rPr>
              <w:t>10 Minute Spinning Market Reserve Hourly Uplift</w:t>
            </w:r>
          </w:p>
        </w:tc>
      </w:tr>
      <w:tr w:rsidR="00855CB7" w14:paraId="69BE22B2" w14:textId="77777777">
        <w:tc>
          <w:tcPr>
            <w:tcW w:w="2520" w:type="dxa"/>
          </w:tcPr>
          <w:p w14:paraId="21F3CBDE" w14:textId="77777777" w:rsidR="00B733CC" w:rsidRDefault="00855CB7">
            <w:pPr>
              <w:pStyle w:val="TableText"/>
              <w:spacing w:after="40"/>
              <w:jc w:val="center"/>
              <w:rPr>
                <w:noProof/>
                <w:lang w:val="en-CA"/>
              </w:rPr>
            </w:pPr>
            <w:r>
              <w:rPr>
                <w:snapToGrid w:val="0"/>
                <w:lang w:val="en-CA" w:eastAsia="en-US"/>
              </w:rPr>
              <w:t>0252</w:t>
            </w:r>
          </w:p>
        </w:tc>
        <w:tc>
          <w:tcPr>
            <w:tcW w:w="5940" w:type="dxa"/>
          </w:tcPr>
          <w:p w14:paraId="20E0C3A4" w14:textId="77777777" w:rsidR="00B733CC" w:rsidRDefault="00855CB7">
            <w:pPr>
              <w:pStyle w:val="TableText"/>
              <w:spacing w:after="40"/>
              <w:rPr>
                <w:noProof/>
                <w:lang w:val="en-CA"/>
              </w:rPr>
            </w:pPr>
            <w:r>
              <w:rPr>
                <w:snapToGrid w:val="0"/>
                <w:lang w:val="en-CA" w:eastAsia="en-US"/>
              </w:rPr>
              <w:t>10 Minute Non-Spinning Market Reserve Hourly Uplift</w:t>
            </w:r>
          </w:p>
        </w:tc>
      </w:tr>
      <w:tr w:rsidR="00855CB7" w14:paraId="28642E72" w14:textId="77777777">
        <w:tc>
          <w:tcPr>
            <w:tcW w:w="2520" w:type="dxa"/>
          </w:tcPr>
          <w:p w14:paraId="3E4608BD" w14:textId="77777777" w:rsidR="00B733CC" w:rsidRDefault="00855CB7">
            <w:pPr>
              <w:pStyle w:val="TableText"/>
              <w:spacing w:after="40"/>
              <w:jc w:val="center"/>
              <w:rPr>
                <w:noProof/>
                <w:snapToGrid w:val="0"/>
                <w:lang w:val="en-CA" w:eastAsia="en-US"/>
              </w:rPr>
            </w:pPr>
            <w:r>
              <w:rPr>
                <w:snapToGrid w:val="0"/>
                <w:lang w:val="en-CA" w:eastAsia="en-US"/>
              </w:rPr>
              <w:t>0254</w:t>
            </w:r>
          </w:p>
        </w:tc>
        <w:tc>
          <w:tcPr>
            <w:tcW w:w="5940" w:type="dxa"/>
          </w:tcPr>
          <w:p w14:paraId="1FCA2117" w14:textId="77777777" w:rsidR="00B733CC" w:rsidRDefault="00855CB7">
            <w:pPr>
              <w:pStyle w:val="TableText"/>
              <w:spacing w:after="40"/>
              <w:rPr>
                <w:noProof/>
                <w:snapToGrid w:val="0"/>
                <w:lang w:val="en-CA" w:eastAsia="en-US"/>
              </w:rPr>
            </w:pPr>
            <w:r>
              <w:rPr>
                <w:snapToGrid w:val="0"/>
                <w:lang w:val="en-CA" w:eastAsia="en-US"/>
              </w:rPr>
              <w:t>30 Minute Operating Reserve Market Hourly Uplift</w:t>
            </w:r>
          </w:p>
        </w:tc>
      </w:tr>
      <w:tr w:rsidR="00855CB7" w14:paraId="0C1BE131" w14:textId="77777777">
        <w:tc>
          <w:tcPr>
            <w:tcW w:w="2520" w:type="dxa"/>
          </w:tcPr>
          <w:p w14:paraId="2656A302" w14:textId="77777777" w:rsidR="00B733CC" w:rsidRDefault="00855CB7">
            <w:pPr>
              <w:pStyle w:val="TableText"/>
              <w:spacing w:after="40"/>
              <w:jc w:val="center"/>
              <w:rPr>
                <w:noProof/>
                <w:snapToGrid w:val="0"/>
                <w:lang w:val="en-CA" w:eastAsia="en-US"/>
              </w:rPr>
            </w:pPr>
            <w:r>
              <w:rPr>
                <w:snapToGrid w:val="0"/>
                <w:lang w:val="en-CA" w:eastAsia="en-US"/>
              </w:rPr>
              <w:t>0450</w:t>
            </w:r>
          </w:p>
        </w:tc>
        <w:tc>
          <w:tcPr>
            <w:tcW w:w="5940" w:type="dxa"/>
          </w:tcPr>
          <w:p w14:paraId="64B8442A" w14:textId="77777777" w:rsidR="00B733CC" w:rsidRDefault="00855CB7">
            <w:pPr>
              <w:pStyle w:val="TableText"/>
              <w:spacing w:after="40"/>
              <w:rPr>
                <w:noProof/>
                <w:snapToGrid w:val="0"/>
                <w:lang w:val="en-CA" w:eastAsia="en-US"/>
              </w:rPr>
            </w:pPr>
            <w:r>
              <w:rPr>
                <w:snapToGrid w:val="0"/>
                <w:lang w:val="en-CA" w:eastAsia="en-US"/>
              </w:rPr>
              <w:t>Black Start Capability Settlement Debit</w:t>
            </w:r>
          </w:p>
        </w:tc>
      </w:tr>
      <w:tr w:rsidR="00855CB7" w14:paraId="5420D6FC" w14:textId="77777777">
        <w:tc>
          <w:tcPr>
            <w:tcW w:w="2520" w:type="dxa"/>
          </w:tcPr>
          <w:p w14:paraId="249AD7CA" w14:textId="77777777" w:rsidR="00B733CC" w:rsidRDefault="00855CB7">
            <w:pPr>
              <w:pStyle w:val="TableText"/>
              <w:spacing w:after="40"/>
              <w:jc w:val="center"/>
              <w:rPr>
                <w:noProof/>
                <w:snapToGrid w:val="0"/>
                <w:lang w:val="en-CA" w:eastAsia="en-US"/>
              </w:rPr>
            </w:pPr>
            <w:r>
              <w:rPr>
                <w:snapToGrid w:val="0"/>
                <w:lang w:val="en-CA" w:eastAsia="en-US"/>
              </w:rPr>
              <w:t>0452</w:t>
            </w:r>
          </w:p>
        </w:tc>
        <w:tc>
          <w:tcPr>
            <w:tcW w:w="5940" w:type="dxa"/>
          </w:tcPr>
          <w:p w14:paraId="635522B1" w14:textId="77777777" w:rsidR="00B733CC" w:rsidRDefault="00855CB7">
            <w:pPr>
              <w:pStyle w:val="TableText"/>
              <w:spacing w:after="40"/>
              <w:rPr>
                <w:noProof/>
              </w:rPr>
            </w:pPr>
            <w:r w:rsidRPr="007F17BF">
              <w:t>Reactive Support and Voltage Control Settlement Debit</w:t>
            </w:r>
          </w:p>
        </w:tc>
      </w:tr>
      <w:tr w:rsidR="00855CB7" w14:paraId="1DAD9C5F" w14:textId="77777777">
        <w:tc>
          <w:tcPr>
            <w:tcW w:w="2520" w:type="dxa"/>
          </w:tcPr>
          <w:p w14:paraId="0AE476F7" w14:textId="77777777" w:rsidR="00B733CC" w:rsidRDefault="00855CB7">
            <w:pPr>
              <w:pStyle w:val="TableText"/>
              <w:spacing w:after="40"/>
              <w:jc w:val="center"/>
              <w:rPr>
                <w:noProof/>
                <w:snapToGrid w:val="0"/>
                <w:lang w:val="en-CA" w:eastAsia="en-US"/>
              </w:rPr>
            </w:pPr>
            <w:r>
              <w:rPr>
                <w:snapToGrid w:val="0"/>
                <w:lang w:val="en-CA" w:eastAsia="en-US"/>
              </w:rPr>
              <w:t>0454</w:t>
            </w:r>
          </w:p>
        </w:tc>
        <w:tc>
          <w:tcPr>
            <w:tcW w:w="5940" w:type="dxa"/>
          </w:tcPr>
          <w:p w14:paraId="79B4870B" w14:textId="77777777" w:rsidR="00B733CC" w:rsidRDefault="00855CB7">
            <w:pPr>
              <w:pStyle w:val="TableText"/>
              <w:spacing w:after="40"/>
              <w:rPr>
                <w:noProof/>
                <w:snapToGrid w:val="0"/>
                <w:lang w:val="en-CA" w:eastAsia="en-US"/>
              </w:rPr>
            </w:pPr>
            <w:r>
              <w:rPr>
                <w:snapToGrid w:val="0"/>
                <w:lang w:val="en-CA" w:eastAsia="en-US"/>
              </w:rPr>
              <w:t>Regulation Service Settlement Debit</w:t>
            </w:r>
          </w:p>
        </w:tc>
      </w:tr>
      <w:tr w:rsidR="00855CB7" w14:paraId="6771DB1E" w14:textId="77777777">
        <w:tc>
          <w:tcPr>
            <w:tcW w:w="2520" w:type="dxa"/>
          </w:tcPr>
          <w:p w14:paraId="2854A73A" w14:textId="77777777" w:rsidR="00B733CC" w:rsidRDefault="00855CB7">
            <w:pPr>
              <w:pStyle w:val="TableText"/>
              <w:spacing w:after="40"/>
              <w:jc w:val="center"/>
              <w:rPr>
                <w:noProof/>
                <w:snapToGrid w:val="0"/>
                <w:lang w:val="en-CA" w:eastAsia="en-US"/>
              </w:rPr>
            </w:pPr>
            <w:r>
              <w:rPr>
                <w:snapToGrid w:val="0"/>
                <w:lang w:val="en-CA" w:eastAsia="en-US"/>
              </w:rPr>
              <w:t>0550</w:t>
            </w:r>
          </w:p>
        </w:tc>
        <w:tc>
          <w:tcPr>
            <w:tcW w:w="5940" w:type="dxa"/>
          </w:tcPr>
          <w:p w14:paraId="52A0372F" w14:textId="77777777" w:rsidR="00B733CC" w:rsidRDefault="00855CB7">
            <w:pPr>
              <w:pStyle w:val="TableText"/>
              <w:spacing w:after="40"/>
              <w:rPr>
                <w:noProof/>
                <w:snapToGrid w:val="0"/>
                <w:lang w:val="en-CA" w:eastAsia="en-US"/>
              </w:rPr>
            </w:pPr>
            <w:r>
              <w:rPr>
                <w:snapToGrid w:val="0"/>
                <w:lang w:val="en-CA" w:eastAsia="en-US"/>
              </w:rPr>
              <w:t>Must-Run Contract Settlement Debit</w:t>
            </w:r>
          </w:p>
        </w:tc>
      </w:tr>
      <w:tr w:rsidR="00855CB7" w14:paraId="051F5E33" w14:textId="77777777">
        <w:tc>
          <w:tcPr>
            <w:tcW w:w="2520" w:type="dxa"/>
          </w:tcPr>
          <w:p w14:paraId="15EFEDF6" w14:textId="77777777" w:rsidR="00B733CC" w:rsidRDefault="00855CB7">
            <w:pPr>
              <w:pStyle w:val="TableText"/>
              <w:spacing w:after="40"/>
              <w:jc w:val="center"/>
              <w:rPr>
                <w:noProof/>
                <w:snapToGrid w:val="0"/>
                <w:lang w:val="en-CA" w:eastAsia="en-US"/>
              </w:rPr>
            </w:pPr>
            <w:r>
              <w:rPr>
                <w:snapToGrid w:val="0"/>
                <w:lang w:val="en-CA" w:eastAsia="en-US"/>
              </w:rPr>
              <w:t>0753</w:t>
            </w:r>
          </w:p>
        </w:tc>
        <w:tc>
          <w:tcPr>
            <w:tcW w:w="5940" w:type="dxa"/>
          </w:tcPr>
          <w:p w14:paraId="3088A499" w14:textId="77777777" w:rsidR="00B733CC" w:rsidRDefault="00855CB7">
            <w:pPr>
              <w:pStyle w:val="TableText"/>
              <w:spacing w:after="40"/>
              <w:rPr>
                <w:noProof/>
                <w:snapToGrid w:val="0"/>
                <w:lang w:val="en-CA" w:eastAsia="en-US"/>
              </w:rPr>
            </w:pPr>
            <w:r>
              <w:rPr>
                <w:snapToGrid w:val="0"/>
                <w:lang w:val="en-CA" w:eastAsia="en-US"/>
              </w:rPr>
              <w:t>Rural Rate Settlement Charge</w:t>
            </w:r>
          </w:p>
        </w:tc>
      </w:tr>
      <w:tr w:rsidR="00855CB7" w14:paraId="5341FC36" w14:textId="77777777">
        <w:tc>
          <w:tcPr>
            <w:tcW w:w="2520" w:type="dxa"/>
          </w:tcPr>
          <w:p w14:paraId="1F6D6B20" w14:textId="77777777" w:rsidR="00B733CC" w:rsidRDefault="00855CB7">
            <w:pPr>
              <w:pStyle w:val="TableText"/>
              <w:spacing w:after="40"/>
              <w:jc w:val="center"/>
              <w:rPr>
                <w:noProof/>
                <w:snapToGrid w:val="0"/>
                <w:lang w:val="en-CA" w:eastAsia="en-US"/>
              </w:rPr>
            </w:pPr>
            <w:r>
              <w:rPr>
                <w:snapToGrid w:val="0"/>
                <w:lang w:val="en-CA" w:eastAsia="en-US"/>
              </w:rPr>
              <w:t>9990</w:t>
            </w:r>
          </w:p>
        </w:tc>
        <w:tc>
          <w:tcPr>
            <w:tcW w:w="5940" w:type="dxa"/>
          </w:tcPr>
          <w:p w14:paraId="43B35EA0" w14:textId="77777777" w:rsidR="00B733CC" w:rsidRDefault="00855CB7">
            <w:pPr>
              <w:pStyle w:val="TableText"/>
              <w:spacing w:after="40"/>
              <w:rPr>
                <w:noProof/>
                <w:snapToGrid w:val="0"/>
                <w:lang w:val="en-CA" w:eastAsia="en-US"/>
              </w:rPr>
            </w:pPr>
            <w:r>
              <w:rPr>
                <w:snapToGrid w:val="0"/>
                <w:lang w:val="en-CA" w:eastAsia="en-US"/>
              </w:rPr>
              <w:t>IESO Administration Charge</w:t>
            </w:r>
          </w:p>
        </w:tc>
      </w:tr>
    </w:tbl>
    <w:p w14:paraId="25758686" w14:textId="77777777" w:rsidR="000D2924" w:rsidRDefault="00641E24" w:rsidP="00641E24">
      <w:pPr>
        <w:pStyle w:val="EndofText"/>
      </w:pPr>
      <w:r>
        <w:t>– End of Section –</w:t>
      </w:r>
    </w:p>
    <w:p w14:paraId="28B69387" w14:textId="77777777" w:rsidR="000D2924" w:rsidRDefault="000D2924" w:rsidP="00641E24">
      <w:pPr>
        <w:pStyle w:val="EndofText"/>
      </w:pPr>
    </w:p>
    <w:p w14:paraId="7F467B81" w14:textId="77777777" w:rsidR="000D2924" w:rsidRDefault="000D2924" w:rsidP="00641E24">
      <w:pPr>
        <w:pStyle w:val="EndofText"/>
      </w:pPr>
    </w:p>
    <w:p w14:paraId="4DFCFF6B" w14:textId="77777777" w:rsidR="000D2924" w:rsidRDefault="000D2924" w:rsidP="00641E24">
      <w:pPr>
        <w:pStyle w:val="EndofText"/>
        <w:sectPr w:rsidR="000D2924" w:rsidSect="00F74C0A">
          <w:headerReference w:type="even" r:id="rId88"/>
          <w:headerReference w:type="default" r:id="rId89"/>
          <w:footerReference w:type="even" r:id="rId90"/>
          <w:footerReference w:type="default" r:id="rId91"/>
          <w:pgSz w:w="12240" w:h="15840" w:code="1"/>
          <w:pgMar w:top="1440" w:right="1440" w:bottom="1440" w:left="1800" w:header="720" w:footer="720" w:gutter="0"/>
          <w:pgNumType w:start="1" w:chapStyle="7" w:chapSep="enDash"/>
          <w:cols w:space="720"/>
        </w:sectPr>
      </w:pPr>
    </w:p>
    <w:p w14:paraId="7DDF99F0" w14:textId="77777777" w:rsidR="009230FB" w:rsidRPr="00BB5D7E" w:rsidRDefault="009230FB" w:rsidP="00BB5D7E">
      <w:pPr>
        <w:pStyle w:val="Heading7"/>
      </w:pPr>
      <w:bookmarkStart w:id="1598" w:name="_Toc536711859"/>
      <w:bookmarkStart w:id="1599" w:name="_Toc536627079"/>
      <w:bookmarkStart w:id="1600" w:name="_Toc175383934"/>
      <w:bookmarkStart w:id="1601" w:name="_Toc400369560"/>
      <w:bookmarkStart w:id="1602" w:name="_Toc35796398"/>
      <w:bookmarkStart w:id="1603" w:name="_Toc79658000"/>
      <w:bookmarkEnd w:id="1598"/>
      <w:bookmarkEnd w:id="1599"/>
      <w:r w:rsidRPr="00BB5D7E">
        <w:t xml:space="preserve">Price Bias Adjustment Factors Calculation Method </w:t>
      </w:r>
      <w:r w:rsidR="007E3126" w:rsidRPr="00BB5D7E">
        <w:t>for the Real-</w:t>
      </w:r>
      <w:r w:rsidRPr="00BB5D7E">
        <w:t>Time Import and Export Failure Charge</w:t>
      </w:r>
      <w:bookmarkEnd w:id="1600"/>
      <w:bookmarkEnd w:id="1601"/>
      <w:bookmarkEnd w:id="1602"/>
      <w:bookmarkEnd w:id="1603"/>
    </w:p>
    <w:p w14:paraId="062185E0" w14:textId="77777777" w:rsidR="009230FB" w:rsidRPr="00817249" w:rsidRDefault="009230FB" w:rsidP="009230FB">
      <w:pPr>
        <w:pStyle w:val="BodyText"/>
      </w:pPr>
      <w:r w:rsidRPr="00817249">
        <w:t>The real</w:t>
      </w:r>
      <w:r w:rsidR="00891C47">
        <w:t>-</w:t>
      </w:r>
      <w:r w:rsidRPr="00817249">
        <w:t>time failure charge calculation for imports and exports includes the difference between the pre-</w:t>
      </w:r>
      <w:r w:rsidR="0039308B" w:rsidRPr="0039308B">
        <w:rPr>
          <w:i/>
        </w:rPr>
        <w:t>dispatch</w:t>
      </w:r>
      <w:r w:rsidRPr="00817249">
        <w:t xml:space="preserve"> and </w:t>
      </w:r>
      <w:r>
        <w:t xml:space="preserve">the </w:t>
      </w:r>
      <w:r w:rsidRPr="00817249">
        <w:t>real</w:t>
      </w:r>
      <w:r w:rsidR="00891C47">
        <w:t>-</w:t>
      </w:r>
      <w:r w:rsidRPr="00817249">
        <w:t xml:space="preserve">time Ontario </w:t>
      </w:r>
      <w:r w:rsidR="00C2447D" w:rsidRPr="00C2447D">
        <w:rPr>
          <w:i/>
        </w:rPr>
        <w:t>energy</w:t>
      </w:r>
      <w:r>
        <w:t xml:space="preserve"> </w:t>
      </w:r>
      <w:r w:rsidRPr="00817249">
        <w:t>price</w:t>
      </w:r>
      <w:r>
        <w:t>s</w:t>
      </w:r>
      <w:r w:rsidRPr="00817249">
        <w:t xml:space="preserve"> during the hour of the failure.  </w:t>
      </w:r>
      <w:r w:rsidRPr="00817249">
        <w:rPr>
          <w:lang w:val="en-CA"/>
        </w:rPr>
        <w:t xml:space="preserve">Including transaction failures, there are many factors that contribute to </w:t>
      </w:r>
      <w:r>
        <w:rPr>
          <w:lang w:val="en-CA"/>
        </w:rPr>
        <w:t xml:space="preserve">the </w:t>
      </w:r>
      <w:r w:rsidRPr="00817249">
        <w:rPr>
          <w:lang w:val="en-CA"/>
        </w:rPr>
        <w:t>pre-</w:t>
      </w:r>
      <w:r w:rsidR="0039308B" w:rsidRPr="0039308B">
        <w:rPr>
          <w:i/>
          <w:lang w:val="en-CA"/>
        </w:rPr>
        <w:t>dispatch</w:t>
      </w:r>
      <w:r w:rsidRPr="00817249">
        <w:rPr>
          <w:lang w:val="en-CA"/>
        </w:rPr>
        <w:t xml:space="preserve"> to real</w:t>
      </w:r>
      <w:r w:rsidR="00891C47">
        <w:rPr>
          <w:lang w:val="en-CA"/>
        </w:rPr>
        <w:t>-</w:t>
      </w:r>
      <w:r w:rsidRPr="00817249">
        <w:rPr>
          <w:lang w:val="en-CA"/>
        </w:rPr>
        <w:t>time price differences</w:t>
      </w:r>
      <w:r w:rsidRPr="00817249">
        <w:t>.  The purpose of the price bias adjustment factors is to adjust this charge by the forecast value of the difference between the pre-</w:t>
      </w:r>
      <w:r w:rsidR="0039308B" w:rsidRPr="0039308B">
        <w:rPr>
          <w:i/>
        </w:rPr>
        <w:t>dispatch</w:t>
      </w:r>
      <w:r w:rsidRPr="00817249">
        <w:t xml:space="preserve"> and </w:t>
      </w:r>
      <w:r>
        <w:t xml:space="preserve">the </w:t>
      </w:r>
      <w:r w:rsidRPr="00817249">
        <w:t>real</w:t>
      </w:r>
      <w:r w:rsidR="00891C47">
        <w:t>-</w:t>
      </w:r>
      <w:r w:rsidRPr="00817249">
        <w:t xml:space="preserve">time Ontario </w:t>
      </w:r>
      <w:r w:rsidR="00C2447D" w:rsidRPr="00C2447D">
        <w:rPr>
          <w:i/>
        </w:rPr>
        <w:t>energy</w:t>
      </w:r>
      <w:r>
        <w:t xml:space="preserve"> </w:t>
      </w:r>
      <w:r w:rsidRPr="00817249">
        <w:t xml:space="preserve">price that is </w:t>
      </w:r>
      <w:r w:rsidR="00891C47">
        <w:t>due</w:t>
      </w:r>
      <w:r w:rsidR="00891C47" w:rsidRPr="00817249">
        <w:t xml:space="preserve"> </w:t>
      </w:r>
      <w:r w:rsidRPr="00817249">
        <w:t xml:space="preserve">to </w:t>
      </w:r>
      <w:r w:rsidDel="003E3434">
        <w:t xml:space="preserve">the </w:t>
      </w:r>
      <w:r w:rsidRPr="00817249">
        <w:t xml:space="preserve">systematically caused differences </w:t>
      </w:r>
      <w:r w:rsidRPr="00817249">
        <w:rPr>
          <w:lang w:val="en-CA"/>
        </w:rPr>
        <w:t>(C. 9, S. 3.8C</w:t>
      </w:r>
      <w:r w:rsidR="004E6B2D">
        <w:rPr>
          <w:lang w:val="en-CA"/>
        </w:rPr>
        <w:t>.</w:t>
      </w:r>
      <w:r w:rsidRPr="00817249">
        <w:rPr>
          <w:lang w:val="en-CA"/>
        </w:rPr>
        <w:t>7)</w:t>
      </w:r>
      <w:r w:rsidRPr="00817249">
        <w:t>.</w:t>
      </w:r>
    </w:p>
    <w:p w14:paraId="4F199540" w14:textId="77777777" w:rsidR="009230FB" w:rsidRDefault="009230FB" w:rsidP="009230FB">
      <w:pPr>
        <w:pStyle w:val="BodyText"/>
      </w:pPr>
      <w:r>
        <w:t xml:space="preserve">The following methodology does not specifically isolate the price difference </w:t>
      </w:r>
      <w:r w:rsidR="00891C47">
        <w:t xml:space="preserve">due </w:t>
      </w:r>
      <w:r>
        <w:t xml:space="preserve">to </w:t>
      </w:r>
      <w:r w:rsidDel="00C1292D">
        <w:t xml:space="preserve">the </w:t>
      </w:r>
      <w:r>
        <w:t xml:space="preserve">systematic differences, but </w:t>
      </w:r>
      <w:r w:rsidR="00891C47">
        <w:t>we will use it</w:t>
      </w:r>
      <w:r>
        <w:t xml:space="preserve"> as a proxy until </w:t>
      </w:r>
      <w:r w:rsidR="00891C47">
        <w:t>we</w:t>
      </w:r>
      <w:r>
        <w:t xml:space="preserve"> </w:t>
      </w:r>
      <w:r w:rsidR="00891C47">
        <w:t xml:space="preserve">are </w:t>
      </w:r>
      <w:r>
        <w:t xml:space="preserve">technically able to isolate this contribution or improve on </w:t>
      </w:r>
      <w:r w:rsidR="00891C47">
        <w:t xml:space="preserve">the </w:t>
      </w:r>
      <w:r>
        <w:t>present methodology to meet this goal.</w:t>
      </w:r>
    </w:p>
    <w:p w14:paraId="237F9EE7" w14:textId="77777777" w:rsidR="00B82664" w:rsidRDefault="00891C47" w:rsidP="009230FB">
      <w:pPr>
        <w:pStyle w:val="BodyText"/>
        <w:rPr>
          <w:lang w:val="en-CA"/>
        </w:rPr>
      </w:pPr>
      <w:r>
        <w:t>We provide</w:t>
      </w:r>
      <w:r w:rsidR="00B82664">
        <w:t xml:space="preserve"> these price bias adjustment factors to </w:t>
      </w:r>
      <w:r>
        <w:t>help you assess your</w:t>
      </w:r>
      <w:r w:rsidR="00B82664">
        <w:t xml:space="preserve"> exposure to the </w:t>
      </w:r>
      <w:r w:rsidR="00DC0E09" w:rsidRPr="00DC0E09">
        <w:rPr>
          <w:i/>
        </w:rPr>
        <w:t>settlement</w:t>
      </w:r>
      <w:r w:rsidR="00B82664">
        <w:t xml:space="preserve"> charge for the upcoming </w:t>
      </w:r>
      <w:r w:rsidR="00DC0E09" w:rsidRPr="00DC0E09">
        <w:rPr>
          <w:i/>
        </w:rPr>
        <w:t>settlement</w:t>
      </w:r>
      <w:r w:rsidR="00B82664">
        <w:t xml:space="preserve"> periods.</w:t>
      </w:r>
    </w:p>
    <w:p w14:paraId="71FFD7E9" w14:textId="77777777" w:rsidR="009230FB" w:rsidRDefault="009230FB" w:rsidP="009230FB">
      <w:pPr>
        <w:pStyle w:val="BodyText"/>
      </w:pPr>
      <w:r>
        <w:rPr>
          <w:lang w:val="en-CA"/>
        </w:rPr>
        <w:t xml:space="preserve">The following calculation method </w:t>
      </w:r>
      <w:r>
        <w:t>produce</w:t>
      </w:r>
      <w:r w:rsidR="00D92E5E">
        <w:t>s</w:t>
      </w:r>
      <w:r>
        <w:t xml:space="preserve"> twenty</w:t>
      </w:r>
      <w:r w:rsidR="0011229E">
        <w:t>-</w:t>
      </w:r>
      <w:r>
        <w:t>four hourly factors that apply for a three</w:t>
      </w:r>
      <w:r w:rsidR="00D92E5E">
        <w:t>-</w:t>
      </w:r>
      <w:r>
        <w:t>month period.</w:t>
      </w:r>
      <w:r w:rsidR="005B7BD1">
        <w:t xml:space="preserve"> </w:t>
      </w:r>
      <w:r>
        <w:t xml:space="preserve"> These three</w:t>
      </w:r>
      <w:r w:rsidR="00D92E5E">
        <w:t>-</w:t>
      </w:r>
      <w:r>
        <w:t>month periods are aligned with the seasons</w:t>
      </w:r>
      <w:r w:rsidR="00D92E5E">
        <w:t>.</w:t>
      </w:r>
      <w:r>
        <w:t xml:space="preserve"> New factors will apply to the next calendar year.</w:t>
      </w:r>
    </w:p>
    <w:p w14:paraId="7F0AF73B" w14:textId="77777777" w:rsidR="009230FB" w:rsidRDefault="009230FB" w:rsidP="009230FB">
      <w:pPr>
        <w:pStyle w:val="BodyText"/>
      </w:pPr>
      <w:r>
        <w:t xml:space="preserve">The </w:t>
      </w:r>
      <w:r w:rsidR="00D92E5E">
        <w:t>periods are</w:t>
      </w:r>
      <w:r>
        <w:t>:</w:t>
      </w:r>
    </w:p>
    <w:p w14:paraId="62BBA0B8" w14:textId="77777777" w:rsidR="009230FB" w:rsidRDefault="006F3596" w:rsidP="009230FB">
      <w:pPr>
        <w:pStyle w:val="Bullet"/>
      </w:pPr>
      <w:r>
        <w:t xml:space="preserve">the </w:t>
      </w:r>
      <w:r w:rsidR="009230FB">
        <w:t>winter factors apply to December, January, and February</w:t>
      </w:r>
      <w:r>
        <w:t>;</w:t>
      </w:r>
    </w:p>
    <w:p w14:paraId="5311B0A6" w14:textId="77777777" w:rsidR="009230FB" w:rsidRDefault="006F3596" w:rsidP="009230FB">
      <w:pPr>
        <w:pStyle w:val="Bullet"/>
      </w:pPr>
      <w:r>
        <w:t xml:space="preserve">the </w:t>
      </w:r>
      <w:r w:rsidR="009230FB">
        <w:t>spring factors apply to March, April, and May</w:t>
      </w:r>
      <w:r>
        <w:t>;</w:t>
      </w:r>
    </w:p>
    <w:p w14:paraId="68B2A92B" w14:textId="77777777" w:rsidR="009230FB" w:rsidRDefault="006F3596" w:rsidP="009230FB">
      <w:pPr>
        <w:pStyle w:val="Bullet"/>
      </w:pPr>
      <w:r>
        <w:t xml:space="preserve">the </w:t>
      </w:r>
      <w:r w:rsidR="009230FB">
        <w:t>summer factors apply to June, July, and August</w:t>
      </w:r>
      <w:r>
        <w:t>; and</w:t>
      </w:r>
    </w:p>
    <w:p w14:paraId="2910C0CC" w14:textId="77777777" w:rsidR="009230FB" w:rsidRDefault="006F3596" w:rsidP="009230FB">
      <w:pPr>
        <w:pStyle w:val="Bullet"/>
      </w:pPr>
      <w:r>
        <w:t xml:space="preserve">the </w:t>
      </w:r>
      <w:r w:rsidR="009230FB">
        <w:t>autumn factors apply to September, October, and November</w:t>
      </w:r>
      <w:r>
        <w:t>.</w:t>
      </w:r>
    </w:p>
    <w:p w14:paraId="02C1145A" w14:textId="77777777" w:rsidR="009230FB" w:rsidRDefault="00F42B09" w:rsidP="009230FB">
      <w:pPr>
        <w:pStyle w:val="BodyText"/>
      </w:pPr>
      <w:r>
        <w:t>Effective time for each three</w:t>
      </w:r>
      <w:r w:rsidR="00D92E5E">
        <w:t>-</w:t>
      </w:r>
      <w:r>
        <w:t>month block</w:t>
      </w:r>
      <w:r w:rsidR="009230FB">
        <w:t xml:space="preserve"> starts </w:t>
      </w:r>
      <w:r w:rsidR="009230FB" w:rsidDel="00C1292D">
        <w:t xml:space="preserve">at </w:t>
      </w:r>
      <w:r w:rsidR="009230FB">
        <w:t xml:space="preserve">the first hour of the first day of the month and ends </w:t>
      </w:r>
      <w:r w:rsidR="009230FB" w:rsidDel="00C1292D">
        <w:t xml:space="preserve">at </w:t>
      </w:r>
      <w:r w:rsidR="009230FB">
        <w:t>the twenty</w:t>
      </w:r>
      <w:r w:rsidR="0011229E">
        <w:t>-</w:t>
      </w:r>
      <w:r w:rsidR="009230FB">
        <w:t>fourth hour of the last day of the third month in the block.</w:t>
      </w:r>
    </w:p>
    <w:p w14:paraId="443663B0" w14:textId="77777777" w:rsidR="009230FB" w:rsidRDefault="00D92E5E" w:rsidP="009230FB">
      <w:pPr>
        <w:pStyle w:val="BodyText"/>
        <w:rPr>
          <w:lang w:val="en-CA"/>
        </w:rPr>
      </w:pPr>
      <w:r>
        <w:rPr>
          <w:lang w:val="en-CA"/>
        </w:rPr>
        <w:t>We use t</w:t>
      </w:r>
      <w:r w:rsidR="009230FB">
        <w:rPr>
          <w:lang w:val="en-CA"/>
        </w:rPr>
        <w:t>he following methodology to calculate the price bias adjustment factors</w:t>
      </w:r>
      <w:r w:rsidR="00E16C59">
        <w:rPr>
          <w:lang w:val="en-CA"/>
        </w:rPr>
        <w:t>:</w:t>
      </w:r>
    </w:p>
    <w:p w14:paraId="759B2A1B" w14:textId="77777777" w:rsidR="009230FB" w:rsidRPr="0011229E" w:rsidRDefault="009230FB" w:rsidP="009230FB">
      <w:pPr>
        <w:pStyle w:val="BodyText"/>
        <w:rPr>
          <w:b/>
        </w:rPr>
      </w:pPr>
      <w:r w:rsidRPr="0011229E">
        <w:rPr>
          <w:b/>
        </w:rPr>
        <w:t>Data Set</w:t>
      </w:r>
    </w:p>
    <w:p w14:paraId="5CAB567A" w14:textId="77777777" w:rsidR="009230FB" w:rsidRDefault="009230FB" w:rsidP="009230FB">
      <w:pPr>
        <w:pStyle w:val="BodyText"/>
      </w:pPr>
      <w:r>
        <w:t xml:space="preserve">The total data set used </w:t>
      </w:r>
      <w:r w:rsidR="00D92E5E">
        <w:t>to calculate</w:t>
      </w:r>
      <w:r>
        <w:t xml:space="preserve"> the price bias adjustment factors include</w:t>
      </w:r>
      <w:r w:rsidR="00D92E5E">
        <w:t>s</w:t>
      </w:r>
      <w:r>
        <w:t xml:space="preserve"> all pre-</w:t>
      </w:r>
      <w:r w:rsidR="0039308B" w:rsidRPr="0039308B">
        <w:rPr>
          <w:i/>
        </w:rPr>
        <w:t>dispatch</w:t>
      </w:r>
      <w:r>
        <w:t xml:space="preserve"> to real</w:t>
      </w:r>
      <w:r w:rsidR="00D92E5E">
        <w:t>-</w:t>
      </w:r>
      <w:r>
        <w:t xml:space="preserve">time Ontario </w:t>
      </w:r>
      <w:r w:rsidR="00C2447D" w:rsidRPr="00C2447D">
        <w:rPr>
          <w:i/>
        </w:rPr>
        <w:t>energy</w:t>
      </w:r>
      <w:r>
        <w:t xml:space="preserve"> price differences</w:t>
      </w:r>
      <w:r w:rsidR="00D92E5E">
        <w:t>,</w:t>
      </w:r>
      <w:r>
        <w:t xml:space="preserve"> including those differences which are zero, positive, and negative. This total data set include</w:t>
      </w:r>
      <w:r w:rsidR="00D92E5E">
        <w:t xml:space="preserve">s </w:t>
      </w:r>
      <w:r>
        <w:t>all differences from the start of the Ontario market (May 1, 2002) until the present calendar year.</w:t>
      </w:r>
    </w:p>
    <w:p w14:paraId="34216C26" w14:textId="77777777" w:rsidR="009230FB" w:rsidRDefault="00B5695E" w:rsidP="009230FB">
      <w:pPr>
        <w:pStyle w:val="BodyText"/>
      </w:pPr>
      <w:r>
        <w:t>We calculate t</w:t>
      </w:r>
      <w:r w:rsidR="009230FB">
        <w:t xml:space="preserve">he price bias adjustment factors using a subset of the total data set.  All the price differences </w:t>
      </w:r>
      <w:r>
        <w:t>are</w:t>
      </w:r>
      <w:r w:rsidR="009230FB">
        <w:t xml:space="preserve"> divided into those which occurred in each hour of the day during each seasonal block defined above.  The price bias adjustment factors </w:t>
      </w:r>
      <w:r>
        <w:t>are</w:t>
      </w:r>
      <w:r w:rsidR="009230FB">
        <w:t xml:space="preserve"> calculated using the corresponding hours in the corresponding months.  For example, the spring factor for hour 1 </w:t>
      </w:r>
      <w:r>
        <w:t>is</w:t>
      </w:r>
      <w:r w:rsidR="009230FB">
        <w:t xml:space="preserve"> calculated using all the price differences from hour 1 for the months of March, April, and May of each year since market opening.  This result</w:t>
      </w:r>
      <w:r>
        <w:t>s</w:t>
      </w:r>
      <w:r w:rsidR="009230FB">
        <w:t xml:space="preserve"> in data sets that are hourly, seasonal, and yearly.</w:t>
      </w:r>
    </w:p>
    <w:p w14:paraId="013EC1E1" w14:textId="77777777" w:rsidR="00357E28" w:rsidRDefault="00357E28">
      <w:pPr>
        <w:spacing w:after="0"/>
      </w:pPr>
      <w:r>
        <w:br w:type="page"/>
      </w:r>
    </w:p>
    <w:p w14:paraId="5FA08092" w14:textId="77777777" w:rsidR="00110F2D" w:rsidRDefault="009230FB" w:rsidP="009230FB">
      <w:pPr>
        <w:pStyle w:val="BodyText"/>
      </w:pPr>
      <w:r>
        <w:t>Frequency distributions for the</w:t>
      </w:r>
      <w:r w:rsidR="00B5695E">
        <w:t>se</w:t>
      </w:r>
      <w:r>
        <w:t xml:space="preserve"> data sets are created. </w:t>
      </w:r>
      <w:r w:rsidR="00466EA0">
        <w:t>We determine t</w:t>
      </w:r>
      <w:r>
        <w:t>he median values of the frequency distributions</w:t>
      </w:r>
      <w:r w:rsidR="00466EA0">
        <w:t>.</w:t>
      </w:r>
      <w:r>
        <w:t xml:space="preserve"> </w:t>
      </w:r>
      <w:r w:rsidR="00350A60">
        <w:t xml:space="preserve"> </w:t>
      </w:r>
      <w:r>
        <w:t xml:space="preserve">The median value is defined as the middle value of this distribution.  More specifically, there </w:t>
      </w:r>
      <w:r w:rsidR="00566201">
        <w:t>are the same numbers</w:t>
      </w:r>
      <w:r>
        <w:t xml:space="preserve"> of observations to the left and to the right of the median value </w:t>
      </w:r>
      <w:r w:rsidR="00110F2D">
        <w:t>of the frequency distribution.</w:t>
      </w:r>
    </w:p>
    <w:p w14:paraId="2B7144D9" w14:textId="77777777" w:rsidR="00110F2D" w:rsidRPr="00110F2D" w:rsidRDefault="00110F2D" w:rsidP="009230FB">
      <w:pPr>
        <w:pStyle w:val="BodyText"/>
        <w:rPr>
          <w:b/>
        </w:rPr>
      </w:pPr>
      <w:r w:rsidRPr="00110F2D">
        <w:rPr>
          <w:b/>
        </w:rPr>
        <w:t>Weighting Factors</w:t>
      </w:r>
    </w:p>
    <w:p w14:paraId="336AF5AD" w14:textId="77777777" w:rsidR="009230FB" w:rsidDel="0031389A" w:rsidRDefault="009230FB" w:rsidP="009230FB">
      <w:pPr>
        <w:pStyle w:val="BodyText"/>
      </w:pPr>
      <w:r>
        <w:t>Each yearly median value is assigned a weighting factor from 0 to 1. A year with a weighting factor of zero result</w:t>
      </w:r>
      <w:r w:rsidR="00466EA0">
        <w:t>s</w:t>
      </w:r>
      <w:r>
        <w:t xml:space="preserve"> in that year</w:t>
      </w:r>
      <w:r w:rsidR="00CF7E29">
        <w:t>’</w:t>
      </w:r>
      <w:r>
        <w:t>s median value not contributing to the determination of the price bias adjustment factor</w:t>
      </w:r>
      <w:r w:rsidR="00466EA0">
        <w:t>. C</w:t>
      </w:r>
      <w:r>
        <w:t xml:space="preserve">onversely, a year assigned a weighting factor of 1 will solely be considered at the exclusion of all other years. After taking into account the weighing factors, </w:t>
      </w:r>
      <w:r w:rsidR="00466EA0">
        <w:t xml:space="preserve">we determine </w:t>
      </w:r>
      <w:r>
        <w:t>a price bias adjustment for each hour of the day for a three month block.</w:t>
      </w:r>
    </w:p>
    <w:p w14:paraId="295FB435" w14:textId="77777777" w:rsidR="009230FB" w:rsidRDefault="009230FB" w:rsidP="009230FB">
      <w:pPr>
        <w:pStyle w:val="BodyText"/>
      </w:pPr>
      <w:r>
        <w:t xml:space="preserve">The use of weighing factors allows </w:t>
      </w:r>
      <w:r w:rsidR="00466EA0">
        <w:t>us</w:t>
      </w:r>
      <w:r>
        <w:t xml:space="preserve"> to establish the best forecast by enabling the price bias adjustment factors to reflect short term and long term influences on the pre-</w:t>
      </w:r>
      <w:r w:rsidR="0039308B" w:rsidRPr="0039308B">
        <w:rPr>
          <w:i/>
        </w:rPr>
        <w:t>dispatch</w:t>
      </w:r>
      <w:r>
        <w:t xml:space="preserve"> to real</w:t>
      </w:r>
      <w:r w:rsidR="00466EA0">
        <w:t>-</w:t>
      </w:r>
      <w:r>
        <w:t xml:space="preserve">time Ontario </w:t>
      </w:r>
      <w:r w:rsidR="00C2447D" w:rsidRPr="00C2447D">
        <w:rPr>
          <w:i/>
        </w:rPr>
        <w:t>energy</w:t>
      </w:r>
      <w:r>
        <w:t xml:space="preserve"> price differences. The weighting factor assignments are at </w:t>
      </w:r>
      <w:r w:rsidR="00466EA0">
        <w:t xml:space="preserve">our </w:t>
      </w:r>
      <w:r>
        <w:t>discretion</w:t>
      </w:r>
      <w:r w:rsidR="00466EA0">
        <w:t>.</w:t>
      </w:r>
    </w:p>
    <w:p w14:paraId="57911E3C" w14:textId="77777777" w:rsidR="009230FB" w:rsidRDefault="009230FB" w:rsidP="009230FB">
      <w:pPr>
        <w:pStyle w:val="BodyText"/>
      </w:pPr>
      <w:r>
        <w:t>These calculations result in twenty</w:t>
      </w:r>
      <w:r w:rsidR="00CF7E29">
        <w:t>-</w:t>
      </w:r>
      <w:r>
        <w:t xml:space="preserve">four hourly price bias adjustment factors for each season of the year. These factors </w:t>
      </w:r>
      <w:r w:rsidR="00466EA0">
        <w:t xml:space="preserve">are </w:t>
      </w:r>
      <w:r>
        <w:t xml:space="preserve">the same for the import and export </w:t>
      </w:r>
      <w:r w:rsidR="00DC0E09" w:rsidRPr="00DC0E09">
        <w:rPr>
          <w:i/>
        </w:rPr>
        <w:t>settlement</w:t>
      </w:r>
      <w:r>
        <w:t xml:space="preserve"> charge.</w:t>
      </w:r>
    </w:p>
    <w:p w14:paraId="7541BA7C" w14:textId="77777777" w:rsidR="009230FB" w:rsidRDefault="00466EA0" w:rsidP="009230FB">
      <w:pPr>
        <w:pStyle w:val="BodyText"/>
      </w:pPr>
      <w:r>
        <w:t>We will post t</w:t>
      </w:r>
      <w:r w:rsidR="00A743CB">
        <w:t xml:space="preserve">he price bias adjustment factors on </w:t>
      </w:r>
      <w:r>
        <w:t>our w</w:t>
      </w:r>
      <w:r w:rsidR="00A743CB">
        <w:t xml:space="preserve">eb site in advance of their effective </w:t>
      </w:r>
      <w:r w:rsidR="00110F2D" w:rsidRPr="00110F2D">
        <w:rPr>
          <w:i/>
        </w:rPr>
        <w:t>trading day</w:t>
      </w:r>
      <w:r w:rsidR="00A743CB">
        <w:t>.</w:t>
      </w:r>
    </w:p>
    <w:p w14:paraId="759C2D51" w14:textId="77777777" w:rsidR="009230FB" w:rsidRDefault="009230FB" w:rsidP="009230FB">
      <w:pPr>
        <w:pStyle w:val="BodyText"/>
        <w:rPr>
          <w:lang w:val="en-CA"/>
        </w:rPr>
      </w:pPr>
    </w:p>
    <w:p w14:paraId="03836973" w14:textId="4816C8D8" w:rsidR="00855CB7" w:rsidRDefault="00855CB7">
      <w:pPr>
        <w:pStyle w:val="EndofText"/>
        <w:rPr>
          <w:noProof w:val="0"/>
        </w:rPr>
      </w:pPr>
      <w:r>
        <w:rPr>
          <w:rFonts w:ascii="Symbol" w:eastAsia="Symbol" w:hAnsi="Symbol" w:cs="Symbol"/>
        </w:rPr>
        <w:t></w:t>
      </w:r>
      <w:r>
        <w:rPr>
          <w:noProof w:val="0"/>
        </w:rPr>
        <w:t xml:space="preserve"> End of Section </w:t>
      </w:r>
      <w:r>
        <w:rPr>
          <w:rFonts w:ascii="Symbol" w:eastAsia="Symbol" w:hAnsi="Symbol" w:cs="Symbol"/>
        </w:rPr>
        <w:t></w:t>
      </w:r>
    </w:p>
    <w:p w14:paraId="63711F57" w14:textId="77777777" w:rsidR="00855CB7" w:rsidRDefault="00855CB7">
      <w:pPr>
        <w:pStyle w:val="BodyText"/>
        <w:rPr>
          <w:lang w:val="en-CA"/>
        </w:rPr>
      </w:pPr>
    </w:p>
    <w:p w14:paraId="05CC4026" w14:textId="77777777" w:rsidR="007C598D" w:rsidRDefault="007C598D">
      <w:pPr>
        <w:pStyle w:val="BodyText"/>
        <w:rPr>
          <w:lang w:val="en-CA"/>
        </w:rPr>
        <w:sectPr w:rsidR="007C598D" w:rsidSect="00F74C0A">
          <w:headerReference w:type="default" r:id="rId92"/>
          <w:pgSz w:w="12240" w:h="15840" w:code="1"/>
          <w:pgMar w:top="1440" w:right="1440" w:bottom="1440" w:left="1800" w:header="720" w:footer="720" w:gutter="0"/>
          <w:pgNumType w:start="1" w:chapStyle="7" w:chapSep="enDash"/>
          <w:cols w:space="720"/>
        </w:sectPr>
      </w:pPr>
    </w:p>
    <w:p w14:paraId="07C5A8BB" w14:textId="77777777" w:rsidR="007C598D" w:rsidRPr="00FA22C9" w:rsidRDefault="007C598D" w:rsidP="00FA22C9">
      <w:pPr>
        <w:pStyle w:val="Heading7"/>
      </w:pPr>
      <w:bookmarkStart w:id="1604" w:name="_Toc171840549"/>
      <w:bookmarkStart w:id="1605" w:name="_Toc172434866"/>
      <w:bookmarkStart w:id="1606" w:name="_Toc172435014"/>
      <w:bookmarkStart w:id="1607" w:name="_Toc172431611"/>
      <w:bookmarkStart w:id="1608" w:name="_Toc172431689"/>
      <w:bookmarkStart w:id="1609" w:name="_Toc172447973"/>
      <w:bookmarkStart w:id="1610" w:name="_Toc172454679"/>
      <w:bookmarkStart w:id="1611" w:name="_Toc172454862"/>
      <w:bookmarkStart w:id="1612" w:name="_Toc172517389"/>
      <w:bookmarkStart w:id="1613" w:name="_Toc172518065"/>
      <w:bookmarkStart w:id="1614" w:name="_Toc172524693"/>
      <w:bookmarkStart w:id="1615" w:name="_Toc172524962"/>
      <w:bookmarkStart w:id="1616" w:name="_Toc172525037"/>
      <w:bookmarkStart w:id="1617" w:name="_Toc172598963"/>
      <w:bookmarkStart w:id="1618" w:name="_Toc172603867"/>
      <w:bookmarkStart w:id="1619" w:name="_Toc172603996"/>
      <w:bookmarkStart w:id="1620" w:name="_Toc173213747"/>
      <w:bookmarkStart w:id="1621" w:name="_Toc173213980"/>
      <w:bookmarkStart w:id="1622" w:name="_Toc173214055"/>
      <w:bookmarkStart w:id="1623" w:name="_Toc175383935"/>
      <w:bookmarkStart w:id="1624" w:name="_Toc175383936"/>
      <w:bookmarkStart w:id="1625" w:name="_Toc400369561"/>
      <w:bookmarkStart w:id="1626" w:name="_Toc35796399"/>
      <w:bookmarkStart w:id="1627" w:name="_Toc79658001"/>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r w:rsidRPr="00FA22C9">
        <w:t xml:space="preserve">Expired Settlement Calculations Kept </w:t>
      </w:r>
      <w:r w:rsidR="00B7773A" w:rsidRPr="00FA22C9">
        <w:t>for Purposes of</w:t>
      </w:r>
      <w:r w:rsidRPr="00FA22C9">
        <w:t xml:space="preserve"> Re-Calculation</w:t>
      </w:r>
      <w:bookmarkEnd w:id="1624"/>
      <w:bookmarkEnd w:id="1625"/>
      <w:bookmarkEnd w:id="1626"/>
      <w:bookmarkEnd w:id="1627"/>
    </w:p>
    <w:p w14:paraId="44E6C6E1" w14:textId="77777777" w:rsidR="003075A6" w:rsidRPr="00B17B5B" w:rsidRDefault="003075A6" w:rsidP="00B17B5B">
      <w:pPr>
        <w:pStyle w:val="AppendixHead2"/>
        <w:rPr>
          <w:lang w:val="en-CA"/>
        </w:rPr>
      </w:pPr>
      <w:bookmarkStart w:id="1628" w:name="_Toc32038438"/>
      <w:r w:rsidRPr="00B17B5B">
        <w:rPr>
          <w:lang w:val="en-CA"/>
        </w:rPr>
        <w:t>Fixed Energy Rate Program</w:t>
      </w:r>
      <w:bookmarkEnd w:id="1628"/>
    </w:p>
    <w:p w14:paraId="64688160" w14:textId="77777777" w:rsidR="003075A6" w:rsidRPr="00962246" w:rsidRDefault="003075A6" w:rsidP="00084E4D">
      <w:pPr>
        <w:pStyle w:val="BodyTextNote"/>
        <w:pBdr>
          <w:top w:val="single" w:sz="2" w:space="1" w:color="auto"/>
          <w:left w:val="single" w:sz="2" w:space="4" w:color="auto"/>
          <w:bottom w:val="single" w:sz="2" w:space="1" w:color="auto"/>
          <w:right w:val="single" w:sz="2" w:space="4" w:color="auto"/>
        </w:pBdr>
        <w:tabs>
          <w:tab w:val="clear" w:pos="576"/>
          <w:tab w:val="left" w:pos="720"/>
        </w:tabs>
        <w:ind w:left="720" w:hanging="720"/>
        <w:rPr>
          <w:szCs w:val="22"/>
          <w:lang w:val="en-CA"/>
        </w:rPr>
      </w:pPr>
      <w:r w:rsidRPr="00962246">
        <w:rPr>
          <w:szCs w:val="22"/>
          <w:lang w:val="en-CA"/>
        </w:rPr>
        <w:t xml:space="preserve">The provisions of </w:t>
      </w:r>
      <w:r>
        <w:rPr>
          <w:szCs w:val="22"/>
          <w:lang w:val="en-CA"/>
        </w:rPr>
        <w:t>this section</w:t>
      </w:r>
      <w:r w:rsidRPr="00962246">
        <w:rPr>
          <w:szCs w:val="22"/>
          <w:lang w:val="en-CA"/>
        </w:rPr>
        <w:t xml:space="preserve"> do not apply for any period beginning after March 31, 2005.  The “Electricity Restructuring Act, 2004” (also referred to as Bill 100) replaced the Fixed Energy Rate Program described below, with </w:t>
      </w:r>
      <w:r w:rsidRPr="00962246">
        <w:rPr>
          <w:i/>
          <w:szCs w:val="22"/>
          <w:lang w:val="en-CA"/>
        </w:rPr>
        <w:t>charge types</w:t>
      </w:r>
      <w:r w:rsidRPr="00962246">
        <w:rPr>
          <w:szCs w:val="22"/>
          <w:lang w:val="en-CA"/>
        </w:rPr>
        <w:t xml:space="preserve"> 140/190 being replaced by </w:t>
      </w:r>
      <w:r w:rsidRPr="00962246">
        <w:rPr>
          <w:i/>
          <w:szCs w:val="22"/>
          <w:lang w:val="en-CA"/>
        </w:rPr>
        <w:t>charge types</w:t>
      </w:r>
      <w:r w:rsidRPr="00962246">
        <w:rPr>
          <w:szCs w:val="22"/>
          <w:lang w:val="en-CA"/>
        </w:rPr>
        <w:t xml:space="preserve"> 142/192.  The provisions of </w:t>
      </w:r>
      <w:r>
        <w:rPr>
          <w:szCs w:val="22"/>
          <w:lang w:val="en-CA"/>
        </w:rPr>
        <w:t>this section</w:t>
      </w:r>
      <w:r w:rsidRPr="00962246">
        <w:rPr>
          <w:szCs w:val="22"/>
          <w:lang w:val="en-CA"/>
        </w:rPr>
        <w:t xml:space="preserve"> have been retained in the event that a re-calculation of the </w:t>
      </w:r>
      <w:r w:rsidR="00C2447D" w:rsidRPr="00C2447D">
        <w:rPr>
          <w:i/>
          <w:szCs w:val="22"/>
          <w:lang w:val="en-CA"/>
        </w:rPr>
        <w:t>energy</w:t>
      </w:r>
      <w:r w:rsidRPr="00962246">
        <w:rPr>
          <w:szCs w:val="22"/>
          <w:lang w:val="en-CA"/>
        </w:rPr>
        <w:t xml:space="preserve"> rate for any period prior to April 1, 2005 is necessary.</w:t>
      </w:r>
    </w:p>
    <w:p w14:paraId="18381F56" w14:textId="77777777" w:rsidR="003075A6" w:rsidRDefault="003075A6" w:rsidP="003075A6">
      <w:pPr>
        <w:pStyle w:val="BodyText"/>
        <w:rPr>
          <w:lang w:val="en-CA"/>
        </w:rPr>
      </w:pPr>
      <w:r>
        <w:rPr>
          <w:lang w:val="en-CA"/>
        </w:rPr>
        <w:t>“Bill</w:t>
      </w:r>
      <w:r w:rsidR="005000D0">
        <w:rPr>
          <w:lang w:val="en-CA"/>
        </w:rPr>
        <w:t xml:space="preserve"> </w:t>
      </w:r>
      <w:r>
        <w:rPr>
          <w:lang w:val="en-CA"/>
        </w:rPr>
        <w:t xml:space="preserve">4 An Act to amend the </w:t>
      </w:r>
      <w:r w:rsidR="00CC00BC" w:rsidRPr="00CC00BC">
        <w:rPr>
          <w:i/>
          <w:lang w:val="en-CA"/>
        </w:rPr>
        <w:t>Ontario Energy Board Act, 1998</w:t>
      </w:r>
      <w:r>
        <w:rPr>
          <w:lang w:val="en-CA"/>
        </w:rPr>
        <w:t xml:space="preserve">” with respect to electricity pricing and </w:t>
      </w:r>
      <w:r w:rsidRPr="007136F0">
        <w:rPr>
          <w:lang w:val="en-CA"/>
        </w:rPr>
        <w:t>regulations</w:t>
      </w:r>
      <w:r>
        <w:rPr>
          <w:lang w:val="en-CA"/>
        </w:rPr>
        <w:t xml:space="preserve"> passed pursuant to “Bill</w:t>
      </w:r>
      <w:r w:rsidR="005000D0">
        <w:rPr>
          <w:lang w:val="en-CA"/>
        </w:rPr>
        <w:t xml:space="preserve"> </w:t>
      </w:r>
      <w:r>
        <w:rPr>
          <w:lang w:val="en-CA"/>
        </w:rPr>
        <w:t xml:space="preserve">4”, fix the commodity price for </w:t>
      </w:r>
      <w:r>
        <w:rPr>
          <w:i/>
          <w:lang w:val="en-CA"/>
        </w:rPr>
        <w:t>energy</w:t>
      </w:r>
      <w:r>
        <w:rPr>
          <w:lang w:val="en-CA"/>
        </w:rPr>
        <w:t xml:space="preserve"> at 4.7</w:t>
      </w:r>
      <w:r w:rsidR="005000D0">
        <w:rPr>
          <w:lang w:val="en-CA"/>
        </w:rPr>
        <w:t xml:space="preserve"> </w:t>
      </w:r>
      <w:r>
        <w:rPr>
          <w:lang w:val="en-CA"/>
        </w:rPr>
        <w:t>cents per kilowatt hour up to and including 750 kWh per month and 5.5</w:t>
      </w:r>
      <w:r w:rsidR="005000D0">
        <w:rPr>
          <w:lang w:val="en-CA"/>
        </w:rPr>
        <w:t xml:space="preserve"> </w:t>
      </w:r>
      <w:r>
        <w:rPr>
          <w:lang w:val="en-CA"/>
        </w:rPr>
        <w:t xml:space="preserve">cents per kilowatt hour in excess of the 750 kWh (net of any </w:t>
      </w:r>
      <w:r>
        <w:rPr>
          <w:i/>
          <w:lang w:val="en-CA"/>
        </w:rPr>
        <w:t>energy</w:t>
      </w:r>
      <w:r>
        <w:rPr>
          <w:lang w:val="en-CA"/>
        </w:rPr>
        <w:t xml:space="preserve"> purchased under </w:t>
      </w:r>
      <w:r>
        <w:rPr>
          <w:i/>
          <w:lang w:val="en-CA"/>
        </w:rPr>
        <w:t>physical bilateral contracts</w:t>
      </w:r>
      <w:r>
        <w:rPr>
          <w:lang w:val="en-CA"/>
        </w:rPr>
        <w:t>)</w:t>
      </w:r>
      <w:r>
        <w:rPr>
          <w:i/>
          <w:lang w:val="en-CA"/>
        </w:rPr>
        <w:t xml:space="preserve"> </w:t>
      </w:r>
      <w:r>
        <w:rPr>
          <w:lang w:val="en-CA"/>
        </w:rPr>
        <w:t xml:space="preserve">(uncovered </w:t>
      </w:r>
      <w:r>
        <w:rPr>
          <w:i/>
          <w:lang w:val="en-CA"/>
        </w:rPr>
        <w:t>energy</w:t>
      </w:r>
      <w:r>
        <w:rPr>
          <w:lang w:val="en-CA"/>
        </w:rPr>
        <w:t xml:space="preserve">) for “low-volume </w:t>
      </w:r>
      <w:r w:rsidR="00CC00BC" w:rsidRPr="00CC00BC">
        <w:rPr>
          <w:i/>
          <w:lang w:val="en-CA"/>
        </w:rPr>
        <w:t>consumers</w:t>
      </w:r>
      <w:r>
        <w:rPr>
          <w:lang w:val="en-CA"/>
        </w:rPr>
        <w:t>” and “</w:t>
      </w:r>
      <w:r w:rsidRPr="00323413">
        <w:rPr>
          <w:lang w:val="en-CA"/>
        </w:rPr>
        <w:t xml:space="preserve">designated </w:t>
      </w:r>
      <w:r w:rsidR="00CC00BC" w:rsidRPr="00CC00BC">
        <w:rPr>
          <w:i/>
          <w:lang w:val="en-CA"/>
        </w:rPr>
        <w:t>consumers</w:t>
      </w:r>
      <w:r>
        <w:rPr>
          <w:lang w:val="en-CA"/>
        </w:rPr>
        <w:t xml:space="preserve">” (as defined in “Bill 4”).  A fixed </w:t>
      </w:r>
      <w:r>
        <w:rPr>
          <w:i/>
          <w:lang w:val="en-CA"/>
        </w:rPr>
        <w:t>energy</w:t>
      </w:r>
      <w:r>
        <w:rPr>
          <w:lang w:val="en-CA"/>
        </w:rPr>
        <w:t xml:space="preserve"> rate will not take the place of the</w:t>
      </w:r>
      <w:r>
        <w:rPr>
          <w:i/>
          <w:lang w:val="en-CA"/>
        </w:rPr>
        <w:t xml:space="preserve"> hourly Ontario energy price (HOEP)</w:t>
      </w:r>
      <w:r>
        <w:rPr>
          <w:lang w:val="en-CA"/>
        </w:rPr>
        <w:t xml:space="preserve"> or </w:t>
      </w:r>
      <w:r>
        <w:rPr>
          <w:i/>
          <w:lang w:val="en-CA"/>
        </w:rPr>
        <w:t>energy market price</w:t>
      </w:r>
      <w:r>
        <w:rPr>
          <w:lang w:val="en-CA"/>
        </w:rPr>
        <w:t xml:space="preserve"> (EMP) for existing calculations.  The fixed </w:t>
      </w:r>
      <w:r>
        <w:rPr>
          <w:i/>
          <w:lang w:val="en-CA"/>
        </w:rPr>
        <w:t>energy</w:t>
      </w:r>
      <w:r>
        <w:rPr>
          <w:lang w:val="en-CA"/>
        </w:rPr>
        <w:t xml:space="preserve"> rate will be implemented via a supplementary process which consists of a calculation of the offset necessary to adjust the commodity price to the equivalent of 4.7 cents per kilowatt hour up to and including 750 kWh per month and 5.5 cents per kilowatt hour in excess of the 750 kWh.  This offsetting amount is included as a new item on </w:t>
      </w:r>
      <w:r>
        <w:rPr>
          <w:i/>
          <w:lang w:val="en-CA"/>
        </w:rPr>
        <w:t>preliminary</w:t>
      </w:r>
      <w:r>
        <w:rPr>
          <w:lang w:val="en-CA"/>
        </w:rPr>
        <w:t xml:space="preserve"> and </w:t>
      </w:r>
      <w:r>
        <w:rPr>
          <w:i/>
          <w:lang w:val="en-CA"/>
        </w:rPr>
        <w:t>final</w:t>
      </w:r>
      <w:r>
        <w:rPr>
          <w:lang w:val="en-CA"/>
        </w:rPr>
        <w:t xml:space="preserve"> </w:t>
      </w:r>
      <w:r>
        <w:rPr>
          <w:i/>
          <w:lang w:val="en-CA"/>
        </w:rPr>
        <w:t>settlement statements</w:t>
      </w:r>
      <w:r>
        <w:rPr>
          <w:lang w:val="en-CA"/>
        </w:rPr>
        <w:t xml:space="preserve"> and monthly </w:t>
      </w:r>
      <w:r>
        <w:rPr>
          <w:i/>
          <w:lang w:val="en-CA"/>
        </w:rPr>
        <w:t>invoices</w:t>
      </w:r>
      <w:r>
        <w:rPr>
          <w:lang w:val="en-CA"/>
        </w:rPr>
        <w:t xml:space="preserve"> under </w:t>
      </w:r>
      <w:r>
        <w:rPr>
          <w:i/>
          <w:lang w:val="en-CA"/>
        </w:rPr>
        <w:t>charge type</w:t>
      </w:r>
      <w:r>
        <w:rPr>
          <w:lang w:val="en-CA"/>
        </w:rPr>
        <w:t xml:space="preserve"> 140, “Fixed Energy Rate Settlement Amount”.  (Chapter 9, Sections 1.2.1 and 1.2.2 of the </w:t>
      </w:r>
      <w:r w:rsidRPr="00752CC8">
        <w:rPr>
          <w:i/>
          <w:lang w:val="en-CA"/>
        </w:rPr>
        <w:t>market rules</w:t>
      </w:r>
      <w:r>
        <w:rPr>
          <w:lang w:val="en-CA"/>
        </w:rPr>
        <w:t>)</w:t>
      </w:r>
    </w:p>
    <w:p w14:paraId="3C16E974" w14:textId="77777777" w:rsidR="003075A6" w:rsidRDefault="003075A6" w:rsidP="003075A6">
      <w:pPr>
        <w:pStyle w:val="BodyText"/>
        <w:rPr>
          <w:lang w:val="en-CA"/>
        </w:rPr>
      </w:pPr>
      <w:r>
        <w:rPr>
          <w:lang w:val="en-CA"/>
        </w:rPr>
        <w:t xml:space="preserve">All charges associated with </w:t>
      </w:r>
      <w:r>
        <w:rPr>
          <w:i/>
          <w:lang w:val="en-CA"/>
        </w:rPr>
        <w:t>charge type</w:t>
      </w:r>
      <w:r>
        <w:rPr>
          <w:lang w:val="en-CA"/>
        </w:rPr>
        <w:t xml:space="preserve"> 140 require a corresponding off-set </w:t>
      </w:r>
      <w:r>
        <w:rPr>
          <w:i/>
          <w:lang w:val="en-CA"/>
        </w:rPr>
        <w:t>charge type</w:t>
      </w:r>
      <w:r>
        <w:rPr>
          <w:lang w:val="en-CA"/>
        </w:rPr>
        <w:t xml:space="preserve"> in order to balance the market.  This corresponding new </w:t>
      </w:r>
      <w:r>
        <w:rPr>
          <w:i/>
          <w:lang w:val="en-CA"/>
        </w:rPr>
        <w:t>charge type</w:t>
      </w:r>
      <w:r>
        <w:rPr>
          <w:lang w:val="en-CA"/>
        </w:rPr>
        <w:t xml:space="preserve"> 190 “Fixed Energy Rate Balancing Amount” will be debited or credited to the Ontario Electricity Financial Corporation (</w:t>
      </w:r>
      <w:r>
        <w:rPr>
          <w:i/>
          <w:lang w:val="en-CA"/>
        </w:rPr>
        <w:t>OEFC</w:t>
      </w:r>
      <w:r>
        <w:rPr>
          <w:lang w:val="en-CA"/>
        </w:rPr>
        <w:t xml:space="preserve">).  (Refer to “IESO Charge Types and Equations” and “Format Specifications for Settlement Statement Files and Data Files”, located on the Technical Interfaces page of the </w:t>
      </w:r>
      <w:r>
        <w:rPr>
          <w:i/>
          <w:lang w:val="en-CA"/>
        </w:rPr>
        <w:t>IESO</w:t>
      </w:r>
      <w:r>
        <w:rPr>
          <w:lang w:val="en-CA"/>
        </w:rPr>
        <w:t xml:space="preserve"> Web site, for details of these </w:t>
      </w:r>
      <w:r>
        <w:rPr>
          <w:i/>
          <w:lang w:val="en-CA"/>
        </w:rPr>
        <w:t>charge types</w:t>
      </w:r>
      <w:r>
        <w:rPr>
          <w:lang w:val="en-CA"/>
        </w:rPr>
        <w:t xml:space="preserve">.)  </w:t>
      </w:r>
      <w:r>
        <w:rPr>
          <w:i/>
          <w:lang w:val="en-CA"/>
        </w:rPr>
        <w:t>Market participants’ settlement statements</w:t>
      </w:r>
      <w:r>
        <w:rPr>
          <w:lang w:val="en-CA"/>
        </w:rPr>
        <w:t xml:space="preserve"> will reflect additions of new Manual Line Items as detailed in these two new </w:t>
      </w:r>
      <w:r>
        <w:rPr>
          <w:i/>
          <w:lang w:val="en-CA"/>
        </w:rPr>
        <w:t>charge types</w:t>
      </w:r>
      <w:r>
        <w:rPr>
          <w:lang w:val="en-CA"/>
        </w:rPr>
        <w:t>.</w:t>
      </w:r>
    </w:p>
    <w:p w14:paraId="5606DE5B" w14:textId="77777777" w:rsidR="003075A6" w:rsidRDefault="003075A6" w:rsidP="001F5B03">
      <w:pPr>
        <w:pStyle w:val="AppendixHead3"/>
        <w:rPr>
          <w:lang w:val="en-CA"/>
        </w:rPr>
      </w:pPr>
      <w:r>
        <w:rPr>
          <w:lang w:val="en-CA"/>
        </w:rPr>
        <w:t>Declaration Required for Designated Consumers</w:t>
      </w:r>
    </w:p>
    <w:p w14:paraId="608D3361" w14:textId="77777777" w:rsidR="009E0A65" w:rsidRDefault="003075A6" w:rsidP="003075A6">
      <w:pPr>
        <w:pStyle w:val="BodyText"/>
        <w:rPr>
          <w:lang w:val="en-CA"/>
        </w:rPr>
      </w:pPr>
      <w:r>
        <w:rPr>
          <w:lang w:val="en-CA"/>
        </w:rPr>
        <w:t xml:space="preserve">A ‘designated </w:t>
      </w:r>
      <w:r w:rsidRPr="00323413">
        <w:rPr>
          <w:lang w:val="en-CA"/>
        </w:rPr>
        <w:t>consumer</w:t>
      </w:r>
      <w:r>
        <w:rPr>
          <w:lang w:val="en-CA"/>
        </w:rPr>
        <w:t>’ has been defined in “Bill</w:t>
      </w:r>
      <w:r w:rsidR="005000D0">
        <w:rPr>
          <w:lang w:val="en-CA"/>
        </w:rPr>
        <w:t xml:space="preserve"> </w:t>
      </w:r>
      <w:r>
        <w:rPr>
          <w:lang w:val="en-CA"/>
        </w:rPr>
        <w:t xml:space="preserve">4” and “Regulations 435/02, 43/04 and 433/02”.  Wholesale </w:t>
      </w:r>
      <w:r>
        <w:rPr>
          <w:i/>
          <w:lang w:val="en-CA"/>
        </w:rPr>
        <w:t>market participants</w:t>
      </w:r>
      <w:r>
        <w:rPr>
          <w:lang w:val="en-CA"/>
        </w:rPr>
        <w:t xml:space="preserve"> who qualify as ‘designated </w:t>
      </w:r>
      <w:r w:rsidRPr="00323413">
        <w:rPr>
          <w:lang w:val="en-CA"/>
        </w:rPr>
        <w:t>consumers</w:t>
      </w:r>
      <w:r>
        <w:rPr>
          <w:i/>
          <w:lang w:val="en-CA"/>
        </w:rPr>
        <w:t>’</w:t>
      </w:r>
      <w:r>
        <w:rPr>
          <w:lang w:val="en-CA"/>
        </w:rPr>
        <w:t xml:space="preserve"> must inform </w:t>
      </w:r>
      <w:r w:rsidR="00466EA0">
        <w:rPr>
          <w:lang w:val="en-CA"/>
        </w:rPr>
        <w:t>us</w:t>
      </w:r>
      <w:r>
        <w:rPr>
          <w:i/>
          <w:lang w:val="en-CA"/>
        </w:rPr>
        <w:t xml:space="preserve"> </w:t>
      </w:r>
      <w:r>
        <w:rPr>
          <w:lang w:val="en-CA"/>
        </w:rPr>
        <w:t xml:space="preserve">by completing and submitting a declaration using </w:t>
      </w:r>
      <w:r w:rsidR="00E33158">
        <w:rPr>
          <w:lang w:val="en-CA"/>
        </w:rPr>
        <w:t xml:space="preserve">IMO_FORM_1507 </w:t>
      </w:r>
      <w:r>
        <w:rPr>
          <w:lang w:val="en-CA"/>
        </w:rPr>
        <w:t xml:space="preserve">“Declaration of Designated Consumer” located on </w:t>
      </w:r>
      <w:r w:rsidR="00466EA0">
        <w:rPr>
          <w:lang w:val="en-CA"/>
        </w:rPr>
        <w:t>our</w:t>
      </w:r>
      <w:r>
        <w:rPr>
          <w:lang w:val="en-CA"/>
        </w:rPr>
        <w:t xml:space="preserve"> </w:t>
      </w:r>
      <w:r w:rsidR="00466EA0">
        <w:rPr>
          <w:lang w:val="en-CA"/>
        </w:rPr>
        <w:t>w</w:t>
      </w:r>
      <w:r>
        <w:rPr>
          <w:lang w:val="en-CA"/>
        </w:rPr>
        <w:t xml:space="preserve">eb site.  </w:t>
      </w:r>
      <w:r>
        <w:rPr>
          <w:i/>
          <w:lang w:val="en-CA"/>
        </w:rPr>
        <w:t>Market participants</w:t>
      </w:r>
      <w:r>
        <w:rPr>
          <w:lang w:val="en-CA"/>
        </w:rPr>
        <w:t xml:space="preserve"> who satisfy </w:t>
      </w:r>
      <w:r w:rsidR="00466EA0">
        <w:rPr>
          <w:lang w:val="en-CA"/>
        </w:rPr>
        <w:t>us</w:t>
      </w:r>
      <w:r>
        <w:rPr>
          <w:lang w:val="en-CA"/>
        </w:rPr>
        <w:t xml:space="preserve"> that they qualify as designated </w:t>
      </w:r>
      <w:r w:rsidRPr="00323413">
        <w:rPr>
          <w:lang w:val="en-CA"/>
        </w:rPr>
        <w:t xml:space="preserve">consumers </w:t>
      </w:r>
      <w:r>
        <w:rPr>
          <w:lang w:val="en-CA"/>
        </w:rPr>
        <w:t xml:space="preserve">will be settled at the fixed </w:t>
      </w:r>
      <w:r>
        <w:rPr>
          <w:i/>
          <w:lang w:val="en-CA"/>
        </w:rPr>
        <w:t xml:space="preserve">energy </w:t>
      </w:r>
      <w:r>
        <w:rPr>
          <w:lang w:val="en-CA"/>
        </w:rPr>
        <w:t>rate of 4.7</w:t>
      </w:r>
      <w:r w:rsidR="005000D0">
        <w:rPr>
          <w:lang w:val="en-CA"/>
        </w:rPr>
        <w:t xml:space="preserve"> </w:t>
      </w:r>
      <w:r>
        <w:rPr>
          <w:lang w:val="en-CA"/>
        </w:rPr>
        <w:t>cents per kilowatt hour up to and including 750</w:t>
      </w:r>
      <w:r w:rsidR="005000D0">
        <w:rPr>
          <w:lang w:val="en-CA"/>
        </w:rPr>
        <w:t xml:space="preserve"> </w:t>
      </w:r>
      <w:r>
        <w:rPr>
          <w:lang w:val="en-CA"/>
        </w:rPr>
        <w:t>kWh per month and 5.5</w:t>
      </w:r>
      <w:r w:rsidR="005000D0">
        <w:rPr>
          <w:lang w:val="en-CA"/>
        </w:rPr>
        <w:t xml:space="preserve"> </w:t>
      </w:r>
      <w:r>
        <w:rPr>
          <w:lang w:val="en-CA"/>
        </w:rPr>
        <w:t>cents per kilowatt hour in excess of the 750</w:t>
      </w:r>
      <w:r w:rsidR="005000D0">
        <w:rPr>
          <w:lang w:val="en-CA"/>
        </w:rPr>
        <w:t xml:space="preserve"> </w:t>
      </w:r>
      <w:r>
        <w:rPr>
          <w:lang w:val="en-CA"/>
        </w:rPr>
        <w:t>kWh and a fixed 0.62 cents per kWh for the designated charges</w:t>
      </w:r>
      <w:r>
        <w:rPr>
          <w:i/>
          <w:lang w:val="en-CA"/>
        </w:rPr>
        <w:t xml:space="preserve"> </w:t>
      </w:r>
      <w:r>
        <w:rPr>
          <w:lang w:val="en-CA"/>
        </w:rPr>
        <w:t xml:space="preserve">prescribed by government </w:t>
      </w:r>
      <w:r w:rsidRPr="007136F0">
        <w:rPr>
          <w:lang w:val="en-CA"/>
        </w:rPr>
        <w:t>regulation</w:t>
      </w:r>
      <w:r>
        <w:rPr>
          <w:lang w:val="en-CA"/>
        </w:rPr>
        <w:t xml:space="preserve"> (described in Section </w:t>
      </w:r>
      <w:r w:rsidR="001F5B03">
        <w:rPr>
          <w:lang w:val="en-CA"/>
        </w:rPr>
        <w:t>E.2</w:t>
      </w:r>
      <w:r>
        <w:rPr>
          <w:lang w:val="en-CA"/>
        </w:rPr>
        <w:t xml:space="preserve"> below).</w:t>
      </w:r>
    </w:p>
    <w:p w14:paraId="23F906C7" w14:textId="77777777" w:rsidR="009E0A65" w:rsidRDefault="009E0A65">
      <w:pPr>
        <w:spacing w:after="0"/>
        <w:rPr>
          <w:lang w:val="en-CA"/>
        </w:rPr>
      </w:pPr>
      <w:r>
        <w:rPr>
          <w:lang w:val="en-CA"/>
        </w:rPr>
        <w:br w:type="page"/>
      </w:r>
    </w:p>
    <w:p w14:paraId="2385C168" w14:textId="77777777" w:rsidR="003075A6" w:rsidRDefault="003075A6" w:rsidP="001F5B03">
      <w:pPr>
        <w:pStyle w:val="AppendixHead3"/>
        <w:rPr>
          <w:lang w:val="en-CA"/>
        </w:rPr>
      </w:pPr>
      <w:r w:rsidRPr="001F5B03">
        <w:t>IESO Market Participants that are Low-Volume or Designated</w:t>
      </w:r>
      <w:r>
        <w:rPr>
          <w:lang w:val="en-CA"/>
        </w:rPr>
        <w:t xml:space="preserve"> Consumers</w:t>
      </w:r>
    </w:p>
    <w:p w14:paraId="5D5986B3" w14:textId="77777777" w:rsidR="003075A6" w:rsidRDefault="003075A6" w:rsidP="003075A6">
      <w:pPr>
        <w:pStyle w:val="BodyText"/>
        <w:rPr>
          <w:lang w:val="en-CA"/>
        </w:rPr>
      </w:pPr>
      <w:r>
        <w:rPr>
          <w:lang w:val="en-CA"/>
        </w:rPr>
        <w:t xml:space="preserve">Fixed </w:t>
      </w:r>
      <w:r>
        <w:rPr>
          <w:i/>
          <w:lang w:val="en-CA"/>
        </w:rPr>
        <w:t>energy</w:t>
      </w:r>
      <w:r>
        <w:rPr>
          <w:lang w:val="en-CA"/>
        </w:rPr>
        <w:t xml:space="preserve"> rate adjustments for eligible </w:t>
      </w:r>
      <w:r>
        <w:rPr>
          <w:i/>
          <w:lang w:val="en-CA"/>
        </w:rPr>
        <w:t>market participants</w:t>
      </w:r>
      <w:r>
        <w:rPr>
          <w:lang w:val="en-CA"/>
        </w:rPr>
        <w:t xml:space="preserve"> covered under </w:t>
      </w:r>
      <w:r>
        <w:rPr>
          <w:i/>
          <w:lang w:val="en-CA"/>
        </w:rPr>
        <w:t>charge type</w:t>
      </w:r>
      <w:r>
        <w:rPr>
          <w:lang w:val="en-CA"/>
        </w:rPr>
        <w:t xml:space="preserve"> 140 apply to net </w:t>
      </w:r>
      <w:r>
        <w:rPr>
          <w:i/>
          <w:lang w:val="en-CA"/>
        </w:rPr>
        <w:t>energy</w:t>
      </w:r>
      <w:r>
        <w:rPr>
          <w:lang w:val="en-CA"/>
        </w:rPr>
        <w:t xml:space="preserve"> withdrawals, not covered by a </w:t>
      </w:r>
      <w:r>
        <w:rPr>
          <w:i/>
          <w:lang w:val="en-CA"/>
        </w:rPr>
        <w:t>physical bilateral contract,</w:t>
      </w:r>
      <w:r>
        <w:rPr>
          <w:lang w:val="en-CA"/>
        </w:rPr>
        <w:t xml:space="preserve"> from the </w:t>
      </w:r>
      <w:r>
        <w:rPr>
          <w:i/>
          <w:lang w:val="en-CA"/>
        </w:rPr>
        <w:t>IESO-administered market</w:t>
      </w:r>
      <w:r>
        <w:rPr>
          <w:lang w:val="en-CA"/>
        </w:rPr>
        <w:t>.  The net</w:t>
      </w:r>
      <w:r>
        <w:rPr>
          <w:i/>
          <w:lang w:val="en-CA"/>
        </w:rPr>
        <w:t xml:space="preserve"> settlement amount </w:t>
      </w:r>
      <w:r>
        <w:rPr>
          <w:lang w:val="en-CA"/>
        </w:rPr>
        <w:t xml:space="preserve">results in an effective rate equivalent to the fixed price for all eligible uncovered </w:t>
      </w:r>
      <w:r>
        <w:rPr>
          <w:i/>
          <w:lang w:val="en-CA"/>
        </w:rPr>
        <w:t>energy</w:t>
      </w:r>
      <w:r>
        <w:rPr>
          <w:lang w:val="en-CA"/>
        </w:rPr>
        <w:t xml:space="preserve"> transactions.  Eligible </w:t>
      </w:r>
      <w:r>
        <w:rPr>
          <w:i/>
          <w:lang w:val="en-CA"/>
        </w:rPr>
        <w:t>market participants’ settlement statements</w:t>
      </w:r>
      <w:r>
        <w:rPr>
          <w:lang w:val="en-CA"/>
        </w:rPr>
        <w:t xml:space="preserve"> will be adjusted as follows:</w:t>
      </w:r>
    </w:p>
    <w:p w14:paraId="4E916BA6" w14:textId="77777777" w:rsidR="003075A6" w:rsidRDefault="003075A6" w:rsidP="003853C6">
      <w:pPr>
        <w:pStyle w:val="BodyText"/>
        <w:numPr>
          <w:ilvl w:val="0"/>
          <w:numId w:val="22"/>
        </w:numPr>
        <w:rPr>
          <w:lang w:val="en-CA"/>
        </w:rPr>
      </w:pPr>
      <w:r>
        <w:rPr>
          <w:lang w:val="en-CA"/>
        </w:rPr>
        <w:t xml:space="preserve">CRS will create a 140 detailed (DP) record that is incorporated in the </w:t>
      </w:r>
      <w:r>
        <w:rPr>
          <w:i/>
          <w:lang w:val="en-CA"/>
        </w:rPr>
        <w:t xml:space="preserve">settlement statement </w:t>
      </w:r>
      <w:r>
        <w:rPr>
          <w:lang w:val="en-CA"/>
        </w:rPr>
        <w:t>that will</w:t>
      </w:r>
      <w:r w:rsidR="006F3596">
        <w:rPr>
          <w:lang w:val="en-CA"/>
        </w:rPr>
        <w:t>,</w:t>
      </w:r>
      <w:r>
        <w:rPr>
          <w:lang w:val="en-CA"/>
        </w:rPr>
        <w:t xml:space="preserve"> together with the 101 detailed (DP) record</w:t>
      </w:r>
      <w:r w:rsidR="006F3596">
        <w:rPr>
          <w:lang w:val="en-CA"/>
        </w:rPr>
        <w:t>,</w:t>
      </w:r>
      <w:r>
        <w:rPr>
          <w:lang w:val="en-CA"/>
        </w:rPr>
        <w:t xml:space="preserve"> apply an effective fixed rate of 5.5 cents per kWh</w:t>
      </w:r>
      <w:r w:rsidR="006F3596">
        <w:rPr>
          <w:lang w:val="en-CA"/>
        </w:rPr>
        <w:t>; and</w:t>
      </w:r>
    </w:p>
    <w:p w14:paraId="3BDBAB5A" w14:textId="77777777" w:rsidR="003075A6" w:rsidRDefault="006F3596" w:rsidP="003853C6">
      <w:pPr>
        <w:pStyle w:val="BodyText"/>
        <w:numPr>
          <w:ilvl w:val="0"/>
          <w:numId w:val="22"/>
        </w:numPr>
        <w:rPr>
          <w:lang w:val="en-CA"/>
        </w:rPr>
      </w:pPr>
      <w:r>
        <w:rPr>
          <w:lang w:val="en-CA"/>
        </w:rPr>
        <w:t xml:space="preserve">a </w:t>
      </w:r>
      <w:r w:rsidR="003075A6">
        <w:rPr>
          <w:lang w:val="en-CA"/>
        </w:rPr>
        <w:t xml:space="preserve">manual adjustment is applied at the end of the month to apply a rate of 4.7 cents per kWh for </w:t>
      </w:r>
      <w:r w:rsidR="00C2447D" w:rsidRPr="00C2447D">
        <w:rPr>
          <w:i/>
          <w:lang w:val="en-CA"/>
        </w:rPr>
        <w:t>energy</w:t>
      </w:r>
      <w:r w:rsidR="003075A6">
        <w:rPr>
          <w:lang w:val="en-CA"/>
        </w:rPr>
        <w:t xml:space="preserve"> withdrawals up to 750 kWh.</w:t>
      </w:r>
    </w:p>
    <w:p w14:paraId="754972AF" w14:textId="77777777" w:rsidR="003075A6" w:rsidRDefault="003075A6" w:rsidP="001F5B03">
      <w:pPr>
        <w:pStyle w:val="AppendixHead3"/>
        <w:rPr>
          <w:lang w:val="en-CA"/>
        </w:rPr>
      </w:pPr>
      <w:r>
        <w:rPr>
          <w:lang w:val="en-CA"/>
        </w:rPr>
        <w:t>Distributor Claims</w:t>
      </w:r>
    </w:p>
    <w:p w14:paraId="1DC19F5C" w14:textId="77777777" w:rsidR="003075A6" w:rsidRDefault="003075A6" w:rsidP="003075A6">
      <w:pPr>
        <w:pStyle w:val="BodyText"/>
        <w:rPr>
          <w:lang w:val="en-CA"/>
        </w:rPr>
      </w:pPr>
      <w:r w:rsidRPr="007136F0">
        <w:rPr>
          <w:lang w:val="en-CA"/>
        </w:rPr>
        <w:t xml:space="preserve">Regulations </w:t>
      </w:r>
      <w:r>
        <w:rPr>
          <w:lang w:val="en-CA"/>
        </w:rPr>
        <w:t xml:space="preserve">have been passed that provide for month-end adjustments for </w:t>
      </w:r>
      <w:r>
        <w:rPr>
          <w:i/>
          <w:lang w:val="en-CA"/>
        </w:rPr>
        <w:t>distributors</w:t>
      </w:r>
      <w:r>
        <w:rPr>
          <w:lang w:val="en-CA"/>
        </w:rPr>
        <w:t xml:space="preserve">.  The purpose of the adjustments will be to offset the differences that arise from </w:t>
      </w:r>
      <w:r>
        <w:rPr>
          <w:i/>
          <w:lang w:val="en-CA"/>
        </w:rPr>
        <w:t>distributors</w:t>
      </w:r>
      <w:r>
        <w:rPr>
          <w:lang w:val="en-CA"/>
        </w:rPr>
        <w:t xml:space="preserve"> settling with </w:t>
      </w:r>
      <w:r w:rsidR="00466EA0">
        <w:rPr>
          <w:lang w:val="en-CA"/>
        </w:rPr>
        <w:t>us</w:t>
      </w:r>
      <w:r>
        <w:rPr>
          <w:lang w:val="en-CA"/>
        </w:rPr>
        <w:t xml:space="preserve"> at the </w:t>
      </w:r>
      <w:r>
        <w:rPr>
          <w:i/>
          <w:lang w:val="en-CA"/>
        </w:rPr>
        <w:t>market price</w:t>
      </w:r>
      <w:r>
        <w:rPr>
          <w:lang w:val="en-CA"/>
        </w:rPr>
        <w:t xml:space="preserve"> and charging 4.7 cents per kilowatt hour up to and including 750 kWh per month and 5.5 cents per kilowatt hour in excess of the 750 kWh to low-volume </w:t>
      </w:r>
      <w:r w:rsidR="00CC00BC" w:rsidRPr="00CC00BC">
        <w:rPr>
          <w:i/>
          <w:lang w:val="en-CA"/>
        </w:rPr>
        <w:t>consumers</w:t>
      </w:r>
      <w:r w:rsidRPr="00323413">
        <w:rPr>
          <w:lang w:val="en-CA"/>
        </w:rPr>
        <w:t xml:space="preserve"> </w:t>
      </w:r>
      <w:r>
        <w:rPr>
          <w:lang w:val="en-CA"/>
        </w:rPr>
        <w:t xml:space="preserve">and designated </w:t>
      </w:r>
      <w:r w:rsidR="00CC00BC" w:rsidRPr="00CC00BC">
        <w:rPr>
          <w:i/>
          <w:lang w:val="en-CA"/>
        </w:rPr>
        <w:t>consumers</w:t>
      </w:r>
      <w:r w:rsidRPr="00323413">
        <w:rPr>
          <w:lang w:val="en-CA"/>
        </w:rPr>
        <w:t>.</w:t>
      </w:r>
    </w:p>
    <w:p w14:paraId="280B4299" w14:textId="77777777" w:rsidR="003075A6" w:rsidRDefault="003075A6" w:rsidP="003075A6">
      <w:pPr>
        <w:pStyle w:val="BodyText"/>
        <w:rPr>
          <w:lang w:val="en-CA"/>
        </w:rPr>
      </w:pPr>
      <w:r>
        <w:rPr>
          <w:lang w:val="en-CA"/>
        </w:rPr>
        <w:t xml:space="preserve">Eligible </w:t>
      </w:r>
      <w:r>
        <w:rPr>
          <w:i/>
          <w:lang w:val="en-CA"/>
        </w:rPr>
        <w:t>distributors</w:t>
      </w:r>
      <w:r>
        <w:rPr>
          <w:lang w:val="en-CA"/>
        </w:rPr>
        <w:t xml:space="preserve"> that are </w:t>
      </w:r>
      <w:r>
        <w:rPr>
          <w:i/>
          <w:lang w:val="en-CA"/>
        </w:rPr>
        <w:t>market participants</w:t>
      </w:r>
      <w:r>
        <w:rPr>
          <w:lang w:val="en-CA"/>
        </w:rPr>
        <w:t xml:space="preserve"> must submit the relevant information to </w:t>
      </w:r>
      <w:r w:rsidR="00466EA0">
        <w:rPr>
          <w:lang w:val="en-CA"/>
        </w:rPr>
        <w:t>us</w:t>
      </w:r>
      <w:r>
        <w:rPr>
          <w:lang w:val="en-CA"/>
        </w:rPr>
        <w:t xml:space="preserve"> using IMO</w:t>
      </w:r>
      <w:r w:rsidR="00E33158">
        <w:rPr>
          <w:lang w:val="en-CA"/>
        </w:rPr>
        <w:t>_</w:t>
      </w:r>
      <w:r>
        <w:rPr>
          <w:lang w:val="en-CA"/>
        </w:rPr>
        <w:t>FORM</w:t>
      </w:r>
      <w:r w:rsidR="00E33158">
        <w:rPr>
          <w:lang w:val="en-CA"/>
        </w:rPr>
        <w:t>_</w:t>
      </w:r>
      <w:r>
        <w:rPr>
          <w:lang w:val="en-CA"/>
        </w:rPr>
        <w:t xml:space="preserve">1562 “Bill 4 Submission of Information Required for Monthly Fixed Prices” denoting the amount of the claim for each category.  This form is used for all the information required from the </w:t>
      </w:r>
      <w:r>
        <w:rPr>
          <w:i/>
          <w:lang w:val="en-CA"/>
        </w:rPr>
        <w:t>distributor</w:t>
      </w:r>
      <w:r>
        <w:rPr>
          <w:lang w:val="en-CA"/>
        </w:rPr>
        <w:t xml:space="preserve">, embedded </w:t>
      </w:r>
      <w:r>
        <w:rPr>
          <w:i/>
          <w:lang w:val="en-CA"/>
        </w:rPr>
        <w:t>distributor</w:t>
      </w:r>
      <w:r>
        <w:rPr>
          <w:rStyle w:val="FootnoteReference"/>
          <w:i/>
          <w:lang w:val="en-CA"/>
        </w:rPr>
        <w:footnoteReference w:id="46"/>
      </w:r>
      <w:r>
        <w:rPr>
          <w:lang w:val="en-CA"/>
        </w:rPr>
        <w:t xml:space="preserve"> or participating </w:t>
      </w:r>
      <w:r>
        <w:rPr>
          <w:i/>
          <w:lang w:val="en-CA"/>
        </w:rPr>
        <w:t>retailer</w:t>
      </w:r>
      <w:r>
        <w:rPr>
          <w:rStyle w:val="FootnoteReference"/>
          <w:i/>
          <w:lang w:val="en-CA"/>
        </w:rPr>
        <w:footnoteReference w:id="47"/>
      </w:r>
      <w:r>
        <w:rPr>
          <w:i/>
          <w:lang w:val="en-CA"/>
        </w:rPr>
        <w:t xml:space="preserve"> </w:t>
      </w:r>
      <w:r>
        <w:rPr>
          <w:lang w:val="en-CA"/>
        </w:rPr>
        <w:t>to balance the market.  IMO</w:t>
      </w:r>
      <w:r w:rsidR="00E33158">
        <w:rPr>
          <w:lang w:val="en-CA"/>
        </w:rPr>
        <w:t>_</w:t>
      </w:r>
      <w:r>
        <w:rPr>
          <w:lang w:val="en-CA"/>
        </w:rPr>
        <w:t>FORM</w:t>
      </w:r>
      <w:r w:rsidR="00E33158">
        <w:rPr>
          <w:lang w:val="en-CA"/>
        </w:rPr>
        <w:t>_</w:t>
      </w:r>
      <w:r>
        <w:rPr>
          <w:lang w:val="en-CA"/>
        </w:rPr>
        <w:t xml:space="preserve">1562 must be submitted on a monthly basis to </w:t>
      </w:r>
      <w:r w:rsidR="00466EA0">
        <w:rPr>
          <w:lang w:val="en-CA"/>
        </w:rPr>
        <w:t>us</w:t>
      </w:r>
      <w:r>
        <w:rPr>
          <w:lang w:val="en-CA"/>
        </w:rPr>
        <w:t xml:space="preserve"> as soon as possible after the last </w:t>
      </w:r>
      <w:r>
        <w:rPr>
          <w:i/>
          <w:lang w:val="en-CA"/>
        </w:rPr>
        <w:t>trading day</w:t>
      </w:r>
      <w:r>
        <w:rPr>
          <w:lang w:val="en-CA"/>
        </w:rPr>
        <w:t xml:space="preserve"> of the month and no later than the fourth </w:t>
      </w:r>
      <w:r>
        <w:rPr>
          <w:i/>
          <w:lang w:val="en-CA"/>
        </w:rPr>
        <w:t>business day</w:t>
      </w:r>
      <w:r>
        <w:rPr>
          <w:lang w:val="en-CA"/>
        </w:rPr>
        <w:t xml:space="preserve"> after the last</w:t>
      </w:r>
      <w:r>
        <w:rPr>
          <w:i/>
          <w:lang w:val="en-CA"/>
        </w:rPr>
        <w:t xml:space="preserve"> trading day </w:t>
      </w:r>
      <w:r>
        <w:rPr>
          <w:lang w:val="en-CA"/>
        </w:rPr>
        <w:t xml:space="preserve">of the month.  </w:t>
      </w:r>
      <w:r w:rsidR="00466EA0">
        <w:rPr>
          <w:lang w:val="en-CA"/>
        </w:rPr>
        <w:t>We process t</w:t>
      </w:r>
      <w:r>
        <w:rPr>
          <w:lang w:val="en-CA"/>
        </w:rPr>
        <w:t>his information s</w:t>
      </w:r>
      <w:r w:rsidR="00466EA0">
        <w:rPr>
          <w:lang w:val="en-CA"/>
        </w:rPr>
        <w:t>o</w:t>
      </w:r>
      <w:r>
        <w:rPr>
          <w:lang w:val="en-CA"/>
        </w:rPr>
        <w:t xml:space="preserve"> that the </w:t>
      </w:r>
      <w:r>
        <w:rPr>
          <w:i/>
          <w:lang w:val="en-CA"/>
        </w:rPr>
        <w:t xml:space="preserve">preliminary settlement statement </w:t>
      </w:r>
      <w:r>
        <w:rPr>
          <w:lang w:val="en-CA"/>
        </w:rPr>
        <w:t>for the last</w:t>
      </w:r>
      <w:r>
        <w:rPr>
          <w:i/>
          <w:lang w:val="en-CA"/>
        </w:rPr>
        <w:t xml:space="preserve"> trading day </w:t>
      </w:r>
      <w:r>
        <w:rPr>
          <w:lang w:val="en-CA"/>
        </w:rPr>
        <w:t>of the month</w:t>
      </w:r>
      <w:r>
        <w:rPr>
          <w:i/>
          <w:lang w:val="en-CA"/>
        </w:rPr>
        <w:t xml:space="preserve"> </w:t>
      </w:r>
      <w:r>
        <w:rPr>
          <w:lang w:val="en-CA"/>
        </w:rPr>
        <w:t>will indicate a</w:t>
      </w:r>
      <w:r>
        <w:rPr>
          <w:i/>
          <w:lang w:val="en-CA"/>
        </w:rPr>
        <w:t xml:space="preserve"> charge type</w:t>
      </w:r>
      <w:r>
        <w:rPr>
          <w:lang w:val="en-CA"/>
        </w:rPr>
        <w:t xml:space="preserve"> 140 entry with the Comments field noting the relevant category as follows:</w:t>
      </w:r>
    </w:p>
    <w:p w14:paraId="5306A792" w14:textId="77777777" w:rsidR="003075A6" w:rsidRDefault="006F3596" w:rsidP="003075A6">
      <w:pPr>
        <w:pStyle w:val="ListBullet"/>
        <w:rPr>
          <w:lang w:val="en-CA"/>
        </w:rPr>
      </w:pPr>
      <w:r>
        <w:rPr>
          <w:lang w:val="en-CA"/>
        </w:rPr>
        <w:t xml:space="preserve">adjustment </w:t>
      </w:r>
      <w:r w:rsidR="003075A6">
        <w:rPr>
          <w:lang w:val="en-CA"/>
        </w:rPr>
        <w:t xml:space="preserve">for low-volume and designated </w:t>
      </w:r>
      <w:r w:rsidR="00CC00BC" w:rsidRPr="00CC00BC">
        <w:rPr>
          <w:i/>
          <w:lang w:val="en-CA"/>
        </w:rPr>
        <w:t>consumers</w:t>
      </w:r>
      <w:r w:rsidR="003075A6">
        <w:rPr>
          <w:lang w:val="en-CA"/>
        </w:rPr>
        <w:t xml:space="preserve"> billed by a </w:t>
      </w:r>
      <w:r w:rsidR="003075A6">
        <w:rPr>
          <w:i/>
          <w:lang w:val="en-CA"/>
        </w:rPr>
        <w:t>distributor</w:t>
      </w:r>
      <w:r w:rsidR="00081A5A" w:rsidRPr="00081A5A">
        <w:rPr>
          <w:lang w:val="en-CA"/>
        </w:rPr>
        <w:t>;</w:t>
      </w:r>
    </w:p>
    <w:p w14:paraId="41576A86" w14:textId="77777777" w:rsidR="003075A6" w:rsidRDefault="006F3596" w:rsidP="003075A6">
      <w:pPr>
        <w:pStyle w:val="ListBullet"/>
        <w:rPr>
          <w:lang w:val="en-CA"/>
        </w:rPr>
      </w:pPr>
      <w:r>
        <w:rPr>
          <w:lang w:val="en-CA"/>
        </w:rPr>
        <w:t xml:space="preserve">adjustment </w:t>
      </w:r>
      <w:r w:rsidR="003075A6">
        <w:rPr>
          <w:lang w:val="en-CA"/>
        </w:rPr>
        <w:t xml:space="preserve">for low-volume and </w:t>
      </w:r>
      <w:r w:rsidR="003075A6" w:rsidRPr="00323413">
        <w:rPr>
          <w:lang w:val="en-CA"/>
        </w:rPr>
        <w:t xml:space="preserve">designated </w:t>
      </w:r>
      <w:r w:rsidR="00CC00BC" w:rsidRPr="00CC00BC">
        <w:rPr>
          <w:i/>
          <w:lang w:val="en-CA"/>
        </w:rPr>
        <w:t>consumers</w:t>
      </w:r>
      <w:r w:rsidR="003075A6">
        <w:rPr>
          <w:lang w:val="en-CA"/>
        </w:rPr>
        <w:t xml:space="preserve"> supplied by embedded generation billed by a </w:t>
      </w:r>
      <w:r w:rsidR="003075A6">
        <w:rPr>
          <w:i/>
          <w:lang w:val="en-CA"/>
        </w:rPr>
        <w:t>distributor</w:t>
      </w:r>
      <w:r>
        <w:rPr>
          <w:lang w:val="en-CA"/>
        </w:rPr>
        <w:t>;</w:t>
      </w:r>
    </w:p>
    <w:p w14:paraId="519E7264" w14:textId="77777777" w:rsidR="003075A6" w:rsidRDefault="006F3596" w:rsidP="003075A6">
      <w:pPr>
        <w:pStyle w:val="ListBullet"/>
        <w:rPr>
          <w:lang w:val="en-CA"/>
        </w:rPr>
      </w:pPr>
      <w:r>
        <w:rPr>
          <w:lang w:val="en-CA"/>
        </w:rPr>
        <w:t xml:space="preserve">adjustment </w:t>
      </w:r>
      <w:r w:rsidR="003075A6">
        <w:rPr>
          <w:lang w:val="en-CA"/>
        </w:rPr>
        <w:t xml:space="preserve">for low-volume and </w:t>
      </w:r>
      <w:r w:rsidR="003075A6" w:rsidRPr="00323413">
        <w:rPr>
          <w:lang w:val="en-CA"/>
        </w:rPr>
        <w:t xml:space="preserve">designated </w:t>
      </w:r>
      <w:r w:rsidR="00CC00BC" w:rsidRPr="00CC00BC">
        <w:rPr>
          <w:i/>
          <w:lang w:val="en-CA"/>
        </w:rPr>
        <w:t>consumers</w:t>
      </w:r>
      <w:r w:rsidR="003075A6">
        <w:rPr>
          <w:lang w:val="en-CA"/>
        </w:rPr>
        <w:t xml:space="preserve"> billed by an embedded </w:t>
      </w:r>
      <w:r w:rsidR="003075A6">
        <w:rPr>
          <w:i/>
          <w:lang w:val="en-CA"/>
        </w:rPr>
        <w:t>distributor</w:t>
      </w:r>
      <w:r>
        <w:rPr>
          <w:lang w:val="en-CA"/>
        </w:rPr>
        <w:t>;</w:t>
      </w:r>
    </w:p>
    <w:p w14:paraId="46974CC1" w14:textId="77777777" w:rsidR="003075A6" w:rsidRDefault="006F3596" w:rsidP="003075A6">
      <w:pPr>
        <w:pStyle w:val="ListBullet"/>
        <w:rPr>
          <w:lang w:val="en-CA"/>
        </w:rPr>
      </w:pPr>
      <w:r>
        <w:rPr>
          <w:lang w:val="en-CA"/>
        </w:rPr>
        <w:t xml:space="preserve">adjustment </w:t>
      </w:r>
      <w:r w:rsidR="003075A6">
        <w:rPr>
          <w:lang w:val="en-CA"/>
        </w:rPr>
        <w:t xml:space="preserve">for low-volume and designated </w:t>
      </w:r>
      <w:r w:rsidR="00CC00BC" w:rsidRPr="00CC00BC">
        <w:rPr>
          <w:i/>
          <w:lang w:val="en-CA"/>
        </w:rPr>
        <w:t>consumers</w:t>
      </w:r>
      <w:r w:rsidR="003075A6" w:rsidRPr="00323413">
        <w:rPr>
          <w:lang w:val="en-CA"/>
        </w:rPr>
        <w:t xml:space="preserve"> s</w:t>
      </w:r>
      <w:r w:rsidR="003075A6">
        <w:rPr>
          <w:lang w:val="en-CA"/>
        </w:rPr>
        <w:t xml:space="preserve">upplied by embedded generation billed by an embedded </w:t>
      </w:r>
      <w:r w:rsidR="003075A6">
        <w:rPr>
          <w:i/>
          <w:lang w:val="en-CA"/>
        </w:rPr>
        <w:t>distributor</w:t>
      </w:r>
      <w:r>
        <w:rPr>
          <w:lang w:val="en-CA"/>
        </w:rPr>
        <w:t>;</w:t>
      </w:r>
    </w:p>
    <w:p w14:paraId="35686D91" w14:textId="77777777" w:rsidR="003075A6" w:rsidRDefault="006F3596" w:rsidP="003075A6">
      <w:pPr>
        <w:pStyle w:val="ListBullet"/>
        <w:rPr>
          <w:lang w:val="en-CA"/>
        </w:rPr>
      </w:pPr>
      <w:r>
        <w:rPr>
          <w:lang w:val="en-CA"/>
        </w:rPr>
        <w:t xml:space="preserve">adjustment </w:t>
      </w:r>
      <w:r w:rsidR="003075A6">
        <w:rPr>
          <w:lang w:val="en-CA"/>
        </w:rPr>
        <w:t xml:space="preserve">for participating </w:t>
      </w:r>
      <w:r w:rsidR="003075A6">
        <w:rPr>
          <w:i/>
          <w:lang w:val="en-CA"/>
        </w:rPr>
        <w:t>retailers</w:t>
      </w:r>
      <w:r w:rsidR="003075A6">
        <w:rPr>
          <w:lang w:val="en-CA"/>
        </w:rPr>
        <w:t xml:space="preserve"> using </w:t>
      </w:r>
      <w:r w:rsidR="003075A6">
        <w:rPr>
          <w:i/>
          <w:lang w:val="en-CA"/>
        </w:rPr>
        <w:t>distributor</w:t>
      </w:r>
      <w:r w:rsidR="003075A6">
        <w:rPr>
          <w:lang w:val="en-CA"/>
        </w:rPr>
        <w:t>-consolidated billing</w:t>
      </w:r>
      <w:r>
        <w:rPr>
          <w:lang w:val="en-CA"/>
        </w:rPr>
        <w:t>;</w:t>
      </w:r>
    </w:p>
    <w:p w14:paraId="02402B45" w14:textId="77777777" w:rsidR="003075A6" w:rsidRDefault="006F3596" w:rsidP="003075A6">
      <w:pPr>
        <w:pStyle w:val="ListBullet"/>
        <w:rPr>
          <w:lang w:val="en-CA"/>
        </w:rPr>
      </w:pPr>
      <w:r>
        <w:rPr>
          <w:lang w:val="en-CA"/>
        </w:rPr>
        <w:t xml:space="preserve">adjustment </w:t>
      </w:r>
      <w:r w:rsidR="003075A6">
        <w:rPr>
          <w:lang w:val="en-CA"/>
        </w:rPr>
        <w:t xml:space="preserve">for participating </w:t>
      </w:r>
      <w:r w:rsidR="003075A6">
        <w:rPr>
          <w:i/>
          <w:lang w:val="en-CA"/>
        </w:rPr>
        <w:t>retailers</w:t>
      </w:r>
      <w:r w:rsidR="003075A6">
        <w:rPr>
          <w:lang w:val="en-CA"/>
        </w:rPr>
        <w:t xml:space="preserve"> using </w:t>
      </w:r>
      <w:r w:rsidR="003075A6">
        <w:rPr>
          <w:i/>
          <w:lang w:val="en-CA"/>
        </w:rPr>
        <w:t>distributor</w:t>
      </w:r>
      <w:r w:rsidR="003075A6">
        <w:rPr>
          <w:lang w:val="en-CA"/>
        </w:rPr>
        <w:t xml:space="preserve">-consolidated billing, within an embedded </w:t>
      </w:r>
      <w:r w:rsidR="003075A6">
        <w:rPr>
          <w:i/>
          <w:lang w:val="en-CA"/>
        </w:rPr>
        <w:t>distributor</w:t>
      </w:r>
      <w:r>
        <w:rPr>
          <w:lang w:val="en-CA"/>
        </w:rPr>
        <w:t>;</w:t>
      </w:r>
    </w:p>
    <w:p w14:paraId="72C8B681" w14:textId="77777777" w:rsidR="003075A6" w:rsidRDefault="006F3596" w:rsidP="003075A6">
      <w:pPr>
        <w:pStyle w:val="ListBullet"/>
        <w:rPr>
          <w:lang w:val="en-CA"/>
        </w:rPr>
      </w:pPr>
      <w:r>
        <w:rPr>
          <w:lang w:val="en-CA"/>
        </w:rPr>
        <w:t xml:space="preserve">adjustment </w:t>
      </w:r>
      <w:r w:rsidR="003075A6">
        <w:rPr>
          <w:lang w:val="en-CA"/>
        </w:rPr>
        <w:t xml:space="preserve">for participating </w:t>
      </w:r>
      <w:r w:rsidR="003075A6">
        <w:rPr>
          <w:i/>
          <w:lang w:val="en-CA"/>
        </w:rPr>
        <w:t>retailers</w:t>
      </w:r>
      <w:r w:rsidR="003075A6">
        <w:rPr>
          <w:lang w:val="en-CA"/>
        </w:rPr>
        <w:t xml:space="preserve"> using </w:t>
      </w:r>
      <w:r w:rsidR="003075A6">
        <w:rPr>
          <w:i/>
          <w:lang w:val="en-CA"/>
        </w:rPr>
        <w:t>retailer</w:t>
      </w:r>
      <w:r w:rsidR="003075A6">
        <w:rPr>
          <w:lang w:val="en-CA"/>
        </w:rPr>
        <w:t>-consolidated billing</w:t>
      </w:r>
      <w:r>
        <w:rPr>
          <w:lang w:val="en-CA"/>
        </w:rPr>
        <w:t>; and</w:t>
      </w:r>
    </w:p>
    <w:p w14:paraId="190E54CD" w14:textId="77777777" w:rsidR="009E0A65" w:rsidRPr="001B72DE" w:rsidRDefault="006F3596" w:rsidP="001B72DE">
      <w:pPr>
        <w:pStyle w:val="ListBullet"/>
        <w:rPr>
          <w:lang w:val="en-CA"/>
        </w:rPr>
      </w:pPr>
      <w:r w:rsidRPr="001B72DE">
        <w:rPr>
          <w:lang w:val="en-CA"/>
        </w:rPr>
        <w:t xml:space="preserve">adjustment </w:t>
      </w:r>
      <w:r w:rsidR="003075A6" w:rsidRPr="001B72DE">
        <w:rPr>
          <w:lang w:val="en-CA"/>
        </w:rPr>
        <w:t xml:space="preserve">for participating </w:t>
      </w:r>
      <w:r w:rsidR="003075A6" w:rsidRPr="001B72DE">
        <w:rPr>
          <w:i/>
          <w:lang w:val="en-CA"/>
        </w:rPr>
        <w:t>retailers</w:t>
      </w:r>
      <w:r w:rsidR="003075A6" w:rsidRPr="001B72DE">
        <w:rPr>
          <w:lang w:val="en-CA"/>
        </w:rPr>
        <w:t xml:space="preserve"> using </w:t>
      </w:r>
      <w:r w:rsidR="003075A6" w:rsidRPr="001B72DE">
        <w:rPr>
          <w:i/>
          <w:lang w:val="en-CA"/>
        </w:rPr>
        <w:t>retailer</w:t>
      </w:r>
      <w:r w:rsidR="003075A6" w:rsidRPr="001B72DE">
        <w:rPr>
          <w:lang w:val="en-CA"/>
        </w:rPr>
        <w:t xml:space="preserve">-consolidated billing, within an embedded </w:t>
      </w:r>
      <w:r w:rsidR="003075A6" w:rsidRPr="001B72DE">
        <w:rPr>
          <w:i/>
          <w:lang w:val="en-CA"/>
        </w:rPr>
        <w:t>distributor.</w:t>
      </w:r>
    </w:p>
    <w:p w14:paraId="55D7F019" w14:textId="77777777" w:rsidR="00397AEE" w:rsidRDefault="003075A6" w:rsidP="00397AEE">
      <w:pPr>
        <w:pStyle w:val="AppendixHead3"/>
        <w:spacing w:after="0"/>
        <w:rPr>
          <w:lang w:val="en-CA"/>
        </w:rPr>
      </w:pPr>
      <w:r>
        <w:rPr>
          <w:lang w:val="en-CA"/>
        </w:rPr>
        <w:t>Opt Out Provisions</w:t>
      </w:r>
    </w:p>
    <w:p w14:paraId="5822CEB0" w14:textId="77777777" w:rsidR="00397AEE" w:rsidRDefault="003075A6" w:rsidP="00397AEE">
      <w:pPr>
        <w:pStyle w:val="BodyText"/>
        <w:spacing w:after="0"/>
        <w:rPr>
          <w:lang w:val="en-CA"/>
        </w:rPr>
      </w:pPr>
      <w:r>
        <w:rPr>
          <w:lang w:val="en-CA"/>
        </w:rPr>
        <w:t xml:space="preserve">Eligibility of </w:t>
      </w:r>
      <w:r>
        <w:rPr>
          <w:i/>
          <w:lang w:val="en-CA"/>
        </w:rPr>
        <w:t>market participants</w:t>
      </w:r>
      <w:r>
        <w:rPr>
          <w:lang w:val="en-CA"/>
        </w:rPr>
        <w:t xml:space="preserve"> to opt out of the Fixed Energy Rate Program is based on the following provision:</w:t>
      </w:r>
    </w:p>
    <w:p w14:paraId="4A602D73" w14:textId="77777777" w:rsidR="00791AA4" w:rsidRDefault="006F3596" w:rsidP="003853C6">
      <w:pPr>
        <w:pStyle w:val="BodyText"/>
        <w:numPr>
          <w:ilvl w:val="0"/>
          <w:numId w:val="21"/>
        </w:numPr>
        <w:spacing w:before="0" w:after="0"/>
        <w:rPr>
          <w:lang w:val="en-CA"/>
        </w:rPr>
      </w:pPr>
      <w:r>
        <w:rPr>
          <w:lang w:val="en-CA"/>
        </w:rPr>
        <w:t>directly</w:t>
      </w:r>
      <w:r w:rsidR="003075A6">
        <w:rPr>
          <w:lang w:val="en-CA"/>
        </w:rPr>
        <w:t>-</w:t>
      </w:r>
      <w:r w:rsidR="00CC00BC" w:rsidRPr="00CC00BC">
        <w:rPr>
          <w:i/>
          <w:lang w:val="en-CA"/>
        </w:rPr>
        <w:t>connected</w:t>
      </w:r>
      <w:r w:rsidR="003075A6">
        <w:rPr>
          <w:lang w:val="en-CA"/>
        </w:rPr>
        <w:t xml:space="preserve"> load-consuming </w:t>
      </w:r>
      <w:r w:rsidR="003075A6">
        <w:rPr>
          <w:i/>
          <w:lang w:val="en-CA"/>
        </w:rPr>
        <w:t>market participants</w:t>
      </w:r>
      <w:r w:rsidR="003075A6">
        <w:rPr>
          <w:lang w:val="en-CA"/>
        </w:rPr>
        <w:t xml:space="preserve"> meeting the regulated definition of “low-volume </w:t>
      </w:r>
      <w:r w:rsidR="00CC00BC" w:rsidRPr="00CC00BC">
        <w:rPr>
          <w:i/>
          <w:lang w:val="en-CA"/>
        </w:rPr>
        <w:t>consumers</w:t>
      </w:r>
      <w:r w:rsidR="003075A6">
        <w:rPr>
          <w:lang w:val="en-CA"/>
        </w:rPr>
        <w:t xml:space="preserve">” or “designated </w:t>
      </w:r>
      <w:r w:rsidR="00CC00BC" w:rsidRPr="00CC00BC">
        <w:rPr>
          <w:i/>
          <w:lang w:val="en-CA"/>
        </w:rPr>
        <w:t>consumers</w:t>
      </w:r>
      <w:r w:rsidR="003075A6" w:rsidRPr="00323413">
        <w:rPr>
          <w:lang w:val="en-CA"/>
        </w:rPr>
        <w:t>”</w:t>
      </w:r>
      <w:r w:rsidR="003075A6">
        <w:rPr>
          <w:lang w:val="en-CA"/>
        </w:rPr>
        <w:t xml:space="preserve"> may opt out of the Fixed Energy Rate Program for all </w:t>
      </w:r>
      <w:r w:rsidR="003075A6">
        <w:rPr>
          <w:i/>
          <w:lang w:val="en-CA"/>
        </w:rPr>
        <w:t>registered facilities</w:t>
      </w:r>
      <w:r w:rsidR="003075A6">
        <w:rPr>
          <w:lang w:val="en-CA"/>
        </w:rPr>
        <w:t xml:space="preserve"> for which they play the role of a </w:t>
      </w:r>
      <w:r w:rsidR="003075A6">
        <w:rPr>
          <w:i/>
          <w:lang w:val="en-CA"/>
        </w:rPr>
        <w:t>metered</w:t>
      </w:r>
      <w:r w:rsidR="003075A6">
        <w:rPr>
          <w:lang w:val="en-CA"/>
        </w:rPr>
        <w:t xml:space="preserve"> </w:t>
      </w:r>
      <w:r w:rsidR="003075A6">
        <w:rPr>
          <w:i/>
          <w:lang w:val="en-CA"/>
        </w:rPr>
        <w:t>market participant</w:t>
      </w:r>
      <w:r w:rsidR="003075A6">
        <w:rPr>
          <w:lang w:val="en-CA"/>
        </w:rPr>
        <w:t xml:space="preserve"> provided they have interval </w:t>
      </w:r>
      <w:r w:rsidR="003075A6">
        <w:rPr>
          <w:i/>
          <w:lang w:val="en-CA"/>
        </w:rPr>
        <w:t>metering</w:t>
      </w:r>
      <w:r w:rsidR="003075A6">
        <w:rPr>
          <w:lang w:val="en-CA"/>
        </w:rPr>
        <w:t>.</w:t>
      </w:r>
    </w:p>
    <w:p w14:paraId="66BC63C0" w14:textId="77777777" w:rsidR="003075A6" w:rsidRDefault="003075A6" w:rsidP="003075A6">
      <w:pPr>
        <w:pStyle w:val="BodyText"/>
        <w:rPr>
          <w:lang w:val="en-CA"/>
        </w:rPr>
      </w:pPr>
      <w:r>
        <w:rPr>
          <w:i/>
          <w:lang w:val="en-CA"/>
        </w:rPr>
        <w:t>Market participants</w:t>
      </w:r>
      <w:r>
        <w:rPr>
          <w:lang w:val="en-CA"/>
        </w:rPr>
        <w:t xml:space="preserve"> must inform </w:t>
      </w:r>
      <w:r w:rsidR="00466EA0">
        <w:rPr>
          <w:lang w:val="en-CA"/>
        </w:rPr>
        <w:t>us</w:t>
      </w:r>
      <w:r>
        <w:rPr>
          <w:lang w:val="en-CA"/>
        </w:rPr>
        <w:t xml:space="preserve"> in writing if they wish to exercise this option.</w:t>
      </w:r>
    </w:p>
    <w:p w14:paraId="644BA7D2" w14:textId="77777777" w:rsidR="003075A6" w:rsidRDefault="003075A6" w:rsidP="001F5B03">
      <w:pPr>
        <w:pStyle w:val="AppendixHead2"/>
        <w:rPr>
          <w:lang w:val="en-CA"/>
        </w:rPr>
      </w:pPr>
      <w:bookmarkStart w:id="1629" w:name="_Ref33863441"/>
      <w:r>
        <w:rPr>
          <w:lang w:val="en-CA"/>
        </w:rPr>
        <w:t>Authorized Charge for the Operation of the IESO</w:t>
      </w:r>
      <w:r>
        <w:rPr>
          <w:lang w:val="en-CA"/>
        </w:rPr>
        <w:noBreakHyphen/>
        <w:t>Administered Markets</w:t>
      </w:r>
      <w:bookmarkEnd w:id="1629"/>
    </w:p>
    <w:p w14:paraId="457212C8" w14:textId="77777777" w:rsidR="0050452D" w:rsidRDefault="003075A6">
      <w:pPr>
        <w:pStyle w:val="BodyTextNote"/>
        <w:pBdr>
          <w:top w:val="single" w:sz="2" w:space="1" w:color="auto"/>
          <w:left w:val="single" w:sz="2" w:space="4" w:color="auto"/>
          <w:bottom w:val="single" w:sz="2" w:space="1" w:color="auto"/>
          <w:right w:val="single" w:sz="2" w:space="4" w:color="auto"/>
        </w:pBdr>
        <w:tabs>
          <w:tab w:val="clear" w:pos="576"/>
          <w:tab w:val="left" w:pos="720"/>
        </w:tabs>
        <w:ind w:left="720" w:hanging="720"/>
        <w:rPr>
          <w:szCs w:val="22"/>
          <w:lang w:val="en-CA"/>
        </w:rPr>
      </w:pPr>
      <w:r w:rsidRPr="00962246">
        <w:rPr>
          <w:szCs w:val="22"/>
          <w:lang w:val="en-CA"/>
        </w:rPr>
        <w:t xml:space="preserve">The provisions of </w:t>
      </w:r>
      <w:r>
        <w:rPr>
          <w:szCs w:val="22"/>
          <w:lang w:val="en-CA"/>
        </w:rPr>
        <w:t>this section</w:t>
      </w:r>
      <w:r w:rsidRPr="00962246">
        <w:rPr>
          <w:szCs w:val="22"/>
          <w:lang w:val="en-CA"/>
        </w:rPr>
        <w:t xml:space="preserve"> do not apply for any period beginning after March 31, 2005, as their operation expired as of that date.  Accordingly, </w:t>
      </w:r>
      <w:r w:rsidRPr="00962246">
        <w:rPr>
          <w:i/>
          <w:szCs w:val="22"/>
          <w:lang w:val="en-CA"/>
        </w:rPr>
        <w:t>charge types</w:t>
      </w:r>
      <w:r w:rsidRPr="00962246">
        <w:rPr>
          <w:szCs w:val="22"/>
          <w:lang w:val="en-CA"/>
        </w:rPr>
        <w:t xml:space="preserve"> 141 &amp; 191 are no longer applicable for any such period.  The provisions of </w:t>
      </w:r>
      <w:r>
        <w:rPr>
          <w:szCs w:val="22"/>
          <w:lang w:val="en-CA"/>
        </w:rPr>
        <w:t>this section</w:t>
      </w:r>
      <w:r w:rsidRPr="00962246">
        <w:rPr>
          <w:szCs w:val="22"/>
          <w:lang w:val="en-CA"/>
        </w:rPr>
        <w:t xml:space="preserve"> have been retained in the event that a re-calculation of the authorized charge for any period prior to April</w:t>
      </w:r>
      <w:r>
        <w:rPr>
          <w:szCs w:val="22"/>
          <w:lang w:val="en-CA"/>
        </w:rPr>
        <w:t> </w:t>
      </w:r>
      <w:r w:rsidRPr="00962246">
        <w:rPr>
          <w:szCs w:val="22"/>
          <w:lang w:val="en-CA"/>
        </w:rPr>
        <w:t>1,</w:t>
      </w:r>
      <w:r>
        <w:rPr>
          <w:szCs w:val="22"/>
          <w:lang w:val="en-CA"/>
        </w:rPr>
        <w:t> </w:t>
      </w:r>
      <w:r w:rsidRPr="00962246">
        <w:rPr>
          <w:szCs w:val="22"/>
          <w:lang w:val="en-CA"/>
        </w:rPr>
        <w:t>2005 is necessary.</w:t>
      </w:r>
    </w:p>
    <w:p w14:paraId="44476749" w14:textId="77777777" w:rsidR="003075A6" w:rsidRDefault="003075A6" w:rsidP="003075A6">
      <w:pPr>
        <w:pStyle w:val="BodyText"/>
        <w:rPr>
          <w:snapToGrid w:val="0"/>
          <w:lang w:val="en-CA" w:eastAsia="en-US"/>
        </w:rPr>
      </w:pPr>
      <w:r>
        <w:rPr>
          <w:lang w:val="en-CA"/>
        </w:rPr>
        <w:t xml:space="preserve">Effective December 2002, “Regulation 436/02” establishes a fixed charge of 0.62 cents per kWh for the operation of the </w:t>
      </w:r>
      <w:r>
        <w:rPr>
          <w:i/>
          <w:lang w:val="en-CA"/>
        </w:rPr>
        <w:t>IESO-administered markets</w:t>
      </w:r>
      <w:r>
        <w:rPr>
          <w:lang w:val="en-CA"/>
        </w:rPr>
        <w:t xml:space="preserve">, operation of the </w:t>
      </w:r>
      <w:r>
        <w:rPr>
          <w:i/>
          <w:lang w:val="en-CA"/>
        </w:rPr>
        <w:t xml:space="preserve">IESO-controlled grid </w:t>
      </w:r>
      <w:r>
        <w:rPr>
          <w:lang w:val="en-CA"/>
        </w:rPr>
        <w:t>and the rate protection provided under Section 79 of the “</w:t>
      </w:r>
      <w:r w:rsidR="00CC00BC" w:rsidRPr="00CC00BC">
        <w:rPr>
          <w:i/>
          <w:lang w:val="en-CA"/>
        </w:rPr>
        <w:t>Ontario Energy Board Act, 1998</w:t>
      </w:r>
      <w:r>
        <w:rPr>
          <w:lang w:val="en-CA"/>
        </w:rPr>
        <w:t xml:space="preserve">” for rural and remote </w:t>
      </w:r>
      <w:r w:rsidR="00CC00BC" w:rsidRPr="00CC00BC">
        <w:rPr>
          <w:i/>
          <w:lang w:val="en-CA"/>
        </w:rPr>
        <w:t>consumers</w:t>
      </w:r>
      <w:r>
        <w:rPr>
          <w:lang w:val="en-CA"/>
        </w:rPr>
        <w:t xml:space="preserve"> (defined as the ‘authorized charge’).  The authorized charge applies to </w:t>
      </w:r>
      <w:r>
        <w:rPr>
          <w:i/>
          <w:lang w:val="en-CA"/>
        </w:rPr>
        <w:t>distributors,</w:t>
      </w:r>
      <w:r>
        <w:rPr>
          <w:lang w:val="en-CA"/>
        </w:rPr>
        <w:t xml:space="preserve"> low-volume </w:t>
      </w:r>
      <w:r w:rsidR="00CC00BC" w:rsidRPr="00CC00BC">
        <w:rPr>
          <w:i/>
          <w:lang w:val="en-CA"/>
        </w:rPr>
        <w:t>consumers</w:t>
      </w:r>
      <w:r>
        <w:rPr>
          <w:lang w:val="en-CA"/>
        </w:rPr>
        <w:t xml:space="preserve"> and designated </w:t>
      </w:r>
      <w:r w:rsidR="00CC00BC" w:rsidRPr="00CC00BC">
        <w:rPr>
          <w:i/>
          <w:lang w:val="en-CA"/>
        </w:rPr>
        <w:t>consumers</w:t>
      </w:r>
      <w:r w:rsidRPr="00323413">
        <w:rPr>
          <w:lang w:val="en-CA"/>
        </w:rPr>
        <w:t xml:space="preserve"> </w:t>
      </w:r>
      <w:r>
        <w:rPr>
          <w:lang w:val="en-CA"/>
        </w:rPr>
        <w:t xml:space="preserve">who are </w:t>
      </w:r>
      <w:r>
        <w:rPr>
          <w:i/>
          <w:lang w:val="en-CA"/>
        </w:rPr>
        <w:t>market participants</w:t>
      </w:r>
      <w:r>
        <w:rPr>
          <w:lang w:val="en-CA"/>
        </w:rPr>
        <w:t xml:space="preserve">.  The relevant </w:t>
      </w:r>
      <w:r>
        <w:rPr>
          <w:i/>
          <w:lang w:val="en-CA"/>
        </w:rPr>
        <w:t>IESO charge types</w:t>
      </w:r>
      <w:r>
        <w:rPr>
          <w:lang w:val="en-CA"/>
        </w:rPr>
        <w:t xml:space="preserve"> (refer to Appendix C: “IESO Charge Types Applicable to the Authorized Charge”) will continue to appear on daily </w:t>
      </w:r>
      <w:r>
        <w:rPr>
          <w:i/>
          <w:lang w:val="en-CA"/>
        </w:rPr>
        <w:t>settlement statements</w:t>
      </w:r>
      <w:r>
        <w:rPr>
          <w:lang w:val="en-CA"/>
        </w:rPr>
        <w:t xml:space="preserve"> in the usual manner.  On the </w:t>
      </w:r>
      <w:r>
        <w:rPr>
          <w:i/>
          <w:lang w:val="en-CA"/>
        </w:rPr>
        <w:t xml:space="preserve">preliminary </w:t>
      </w:r>
      <w:r>
        <w:rPr>
          <w:lang w:val="en-CA"/>
        </w:rPr>
        <w:t xml:space="preserve">and </w:t>
      </w:r>
      <w:r>
        <w:rPr>
          <w:i/>
          <w:lang w:val="en-CA"/>
        </w:rPr>
        <w:t>final settlement statement</w:t>
      </w:r>
      <w:r>
        <w:rPr>
          <w:lang w:val="en-CA"/>
        </w:rPr>
        <w:t xml:space="preserve"> for the last </w:t>
      </w:r>
      <w:r>
        <w:rPr>
          <w:i/>
          <w:lang w:val="en-CA"/>
        </w:rPr>
        <w:t>trading day</w:t>
      </w:r>
      <w:r>
        <w:rPr>
          <w:lang w:val="en-CA"/>
        </w:rPr>
        <w:t xml:space="preserve"> of the month, </w:t>
      </w:r>
      <w:r w:rsidR="00466EA0">
        <w:rPr>
          <w:lang w:val="en-CA"/>
        </w:rPr>
        <w:t>we</w:t>
      </w:r>
      <w:r>
        <w:rPr>
          <w:lang w:val="en-CA"/>
        </w:rPr>
        <w:t xml:space="preserve"> will total these specified charges and apply an adjustment for the month to </w:t>
      </w:r>
      <w:r>
        <w:rPr>
          <w:snapToGrid w:val="0"/>
          <w:lang w:val="en-CA" w:eastAsia="en-US"/>
        </w:rPr>
        <w:t>ensure that the authorized charge of 0.62 cents per kWh has been applied for all AQEW.</w:t>
      </w:r>
    </w:p>
    <w:p w14:paraId="02523331" w14:textId="77777777" w:rsidR="003075A6" w:rsidRDefault="003075A6" w:rsidP="003075A6">
      <w:pPr>
        <w:pStyle w:val="BodyText"/>
        <w:spacing w:before="0" w:after="0"/>
        <w:rPr>
          <w:lang w:val="en-CA"/>
        </w:rPr>
      </w:pPr>
      <w:r>
        <w:rPr>
          <w:snapToGrid w:val="0"/>
          <w:lang w:val="en-CA" w:eastAsia="en-US"/>
        </w:rPr>
        <w:t xml:space="preserve">The authorized charge is </w:t>
      </w:r>
      <w:r>
        <w:rPr>
          <w:lang w:val="en-CA"/>
        </w:rPr>
        <w:t xml:space="preserve">applied to </w:t>
      </w:r>
      <w:r>
        <w:rPr>
          <w:i/>
          <w:lang w:val="en-CA"/>
        </w:rPr>
        <w:t>settlement statements</w:t>
      </w:r>
      <w:r>
        <w:rPr>
          <w:lang w:val="en-CA"/>
        </w:rPr>
        <w:t xml:space="preserve"> as follows:</w:t>
      </w:r>
    </w:p>
    <w:p w14:paraId="26827FD9" w14:textId="77777777" w:rsidR="003075A6" w:rsidRDefault="003075A6" w:rsidP="003853C6">
      <w:pPr>
        <w:pStyle w:val="BodyText"/>
        <w:numPr>
          <w:ilvl w:val="0"/>
          <w:numId w:val="23"/>
        </w:numPr>
        <w:rPr>
          <w:lang w:val="en-CA"/>
        </w:rPr>
      </w:pPr>
      <w:r>
        <w:rPr>
          <w:lang w:val="en-CA"/>
        </w:rPr>
        <w:t xml:space="preserve">CRS will calculate a monthly value that is incorporated into </w:t>
      </w:r>
      <w:r>
        <w:rPr>
          <w:i/>
          <w:lang w:val="en-CA"/>
        </w:rPr>
        <w:t xml:space="preserve">preliminary </w:t>
      </w:r>
      <w:r>
        <w:rPr>
          <w:lang w:val="en-CA"/>
        </w:rPr>
        <w:t xml:space="preserve">and </w:t>
      </w:r>
      <w:r>
        <w:rPr>
          <w:i/>
          <w:lang w:val="en-CA"/>
        </w:rPr>
        <w:t xml:space="preserve">final settlement statements </w:t>
      </w:r>
      <w:r>
        <w:rPr>
          <w:lang w:val="en-CA"/>
        </w:rPr>
        <w:t>for the</w:t>
      </w:r>
      <w:r>
        <w:rPr>
          <w:i/>
          <w:lang w:val="en-CA"/>
        </w:rPr>
        <w:t xml:space="preserve"> </w:t>
      </w:r>
      <w:r>
        <w:rPr>
          <w:lang w:val="en-CA"/>
        </w:rPr>
        <w:t xml:space="preserve">last </w:t>
      </w:r>
      <w:r>
        <w:rPr>
          <w:i/>
          <w:lang w:val="en-CA"/>
        </w:rPr>
        <w:t>trading day</w:t>
      </w:r>
      <w:r>
        <w:rPr>
          <w:lang w:val="en-CA"/>
        </w:rPr>
        <w:t xml:space="preserve"> of the month as detailed (DP) records.</w:t>
      </w:r>
    </w:p>
    <w:p w14:paraId="776F5F47" w14:textId="77777777" w:rsidR="003075A6" w:rsidRDefault="003075A6" w:rsidP="003075A6">
      <w:pPr>
        <w:pStyle w:val="BodyText"/>
        <w:rPr>
          <w:lang w:val="en-CA"/>
        </w:rPr>
      </w:pPr>
      <w:r>
        <w:rPr>
          <w:i/>
          <w:lang w:val="en-CA"/>
        </w:rPr>
        <w:t>Distributors</w:t>
      </w:r>
      <w:r>
        <w:rPr>
          <w:lang w:val="en-CA"/>
        </w:rPr>
        <w:t xml:space="preserve"> are required to submit to </w:t>
      </w:r>
      <w:r w:rsidR="00466EA0">
        <w:rPr>
          <w:lang w:val="en-CA"/>
        </w:rPr>
        <w:t>us</w:t>
      </w:r>
      <w:r>
        <w:rPr>
          <w:lang w:val="en-CA"/>
        </w:rPr>
        <w:t xml:space="preserve"> the wholesale market charges associated with the </w:t>
      </w:r>
      <w:r>
        <w:rPr>
          <w:i/>
          <w:lang w:val="en-CA"/>
        </w:rPr>
        <w:t>energy</w:t>
      </w:r>
      <w:r>
        <w:rPr>
          <w:lang w:val="en-CA"/>
        </w:rPr>
        <w:t xml:space="preserve"> purchased from </w:t>
      </w:r>
      <w:r>
        <w:rPr>
          <w:i/>
          <w:lang w:val="en-CA"/>
        </w:rPr>
        <w:t>embedded generators</w:t>
      </w:r>
      <w:r>
        <w:rPr>
          <w:lang w:val="en-CA"/>
        </w:rPr>
        <w:t>.  Again, IMO</w:t>
      </w:r>
      <w:r w:rsidR="00E33158">
        <w:rPr>
          <w:lang w:val="en-CA"/>
        </w:rPr>
        <w:t>_</w:t>
      </w:r>
      <w:r>
        <w:rPr>
          <w:lang w:val="en-CA"/>
        </w:rPr>
        <w:t>FORM</w:t>
      </w:r>
      <w:r w:rsidR="00E33158">
        <w:rPr>
          <w:lang w:val="en-CA"/>
        </w:rPr>
        <w:t>_</w:t>
      </w:r>
      <w:r>
        <w:rPr>
          <w:lang w:val="en-CA"/>
        </w:rPr>
        <w:t xml:space="preserve">1562 “Bill 4 Submission of Information Required for Monthly Fixed Prices” must be submitted on a monthly basis to </w:t>
      </w:r>
      <w:r w:rsidR="00466EA0">
        <w:rPr>
          <w:lang w:val="en-CA"/>
        </w:rPr>
        <w:t>us</w:t>
      </w:r>
      <w:r>
        <w:rPr>
          <w:lang w:val="en-CA"/>
        </w:rPr>
        <w:t xml:space="preserve"> as soon as possible after the last </w:t>
      </w:r>
      <w:r>
        <w:rPr>
          <w:i/>
          <w:lang w:val="en-CA"/>
        </w:rPr>
        <w:t>trading day</w:t>
      </w:r>
      <w:r>
        <w:rPr>
          <w:lang w:val="en-CA"/>
        </w:rPr>
        <w:t xml:space="preserve"> of the month and no later than the fourth </w:t>
      </w:r>
      <w:r>
        <w:rPr>
          <w:i/>
          <w:lang w:val="en-CA"/>
        </w:rPr>
        <w:t>business day</w:t>
      </w:r>
      <w:r>
        <w:rPr>
          <w:lang w:val="en-CA"/>
        </w:rPr>
        <w:t xml:space="preserve"> after the last</w:t>
      </w:r>
      <w:r>
        <w:rPr>
          <w:i/>
          <w:lang w:val="en-CA"/>
        </w:rPr>
        <w:t xml:space="preserve"> trading day </w:t>
      </w:r>
      <w:r>
        <w:rPr>
          <w:lang w:val="en-CA"/>
        </w:rPr>
        <w:t>of the month.</w:t>
      </w:r>
    </w:p>
    <w:p w14:paraId="06A72786" w14:textId="77777777" w:rsidR="003075A6" w:rsidRDefault="003075A6" w:rsidP="003075A6">
      <w:pPr>
        <w:pStyle w:val="BodyText"/>
        <w:rPr>
          <w:lang w:val="en-CA"/>
        </w:rPr>
      </w:pPr>
      <w:r>
        <w:rPr>
          <w:lang w:val="en-CA"/>
        </w:rPr>
        <w:t xml:space="preserve">The adjustment to the uplift charges will appear on the </w:t>
      </w:r>
      <w:r>
        <w:rPr>
          <w:i/>
          <w:lang w:val="en-CA"/>
        </w:rPr>
        <w:t>settlement statements</w:t>
      </w:r>
      <w:r>
        <w:rPr>
          <w:lang w:val="en-CA"/>
        </w:rPr>
        <w:t xml:space="preserve"> for the last </w:t>
      </w:r>
      <w:r>
        <w:rPr>
          <w:i/>
          <w:lang w:val="en-CA"/>
        </w:rPr>
        <w:t>trading day</w:t>
      </w:r>
      <w:r>
        <w:rPr>
          <w:lang w:val="en-CA"/>
        </w:rPr>
        <w:t xml:space="preserve"> of each month.  This offsetting amount is included as a new item on </w:t>
      </w:r>
      <w:r>
        <w:rPr>
          <w:i/>
          <w:lang w:val="en-CA"/>
        </w:rPr>
        <w:t>settlement statements</w:t>
      </w:r>
      <w:r>
        <w:rPr>
          <w:lang w:val="en-CA"/>
        </w:rPr>
        <w:t xml:space="preserve"> and </w:t>
      </w:r>
      <w:r>
        <w:rPr>
          <w:i/>
          <w:lang w:val="en-CA"/>
        </w:rPr>
        <w:t>invoices</w:t>
      </w:r>
      <w:r>
        <w:rPr>
          <w:lang w:val="en-CA"/>
        </w:rPr>
        <w:t xml:space="preserve"> under </w:t>
      </w:r>
      <w:r>
        <w:rPr>
          <w:i/>
          <w:lang w:val="en-CA"/>
        </w:rPr>
        <w:t>charge type</w:t>
      </w:r>
      <w:r>
        <w:rPr>
          <w:lang w:val="en-CA"/>
        </w:rPr>
        <w:t xml:space="preserve"> 141 “Fixed Wholesale Charge Rate Settlement Amount”.</w:t>
      </w:r>
    </w:p>
    <w:p w14:paraId="55A3F58D" w14:textId="77777777" w:rsidR="009E0A65" w:rsidRDefault="003075A6" w:rsidP="003075A6">
      <w:pPr>
        <w:pStyle w:val="BodyText"/>
        <w:rPr>
          <w:lang w:val="en-CA"/>
        </w:rPr>
      </w:pPr>
      <w:r>
        <w:rPr>
          <w:lang w:val="en-CA"/>
        </w:rPr>
        <w:t xml:space="preserve">All charges associated with </w:t>
      </w:r>
      <w:r>
        <w:rPr>
          <w:i/>
          <w:lang w:val="en-CA"/>
        </w:rPr>
        <w:t>charge type</w:t>
      </w:r>
      <w:r>
        <w:rPr>
          <w:lang w:val="en-CA"/>
        </w:rPr>
        <w:t xml:space="preserve"> 141 require a corresponding off-set </w:t>
      </w:r>
      <w:r>
        <w:rPr>
          <w:i/>
          <w:lang w:val="en-CA"/>
        </w:rPr>
        <w:t>charge type</w:t>
      </w:r>
      <w:r>
        <w:rPr>
          <w:lang w:val="en-CA"/>
        </w:rPr>
        <w:t xml:space="preserve"> in order to balance the market.  This corresponding new </w:t>
      </w:r>
      <w:r>
        <w:rPr>
          <w:i/>
          <w:lang w:val="en-CA"/>
        </w:rPr>
        <w:t>charge type</w:t>
      </w:r>
      <w:r>
        <w:rPr>
          <w:lang w:val="en-CA"/>
        </w:rPr>
        <w:t xml:space="preserve"> 191 “Fixed Wholesale Charge</w:t>
      </w:r>
      <w:r>
        <w:rPr>
          <w:i/>
          <w:lang w:val="en-CA"/>
        </w:rPr>
        <w:t xml:space="preserve"> </w:t>
      </w:r>
      <w:r>
        <w:rPr>
          <w:lang w:val="en-CA"/>
        </w:rPr>
        <w:t>Rate Balancing Amount” will be debited or credited to the Ontario Electricity Financial Corporation (</w:t>
      </w:r>
      <w:r>
        <w:rPr>
          <w:i/>
          <w:lang w:val="en-CA"/>
        </w:rPr>
        <w:t>OEFC</w:t>
      </w:r>
      <w:r>
        <w:rPr>
          <w:lang w:val="en-CA"/>
        </w:rPr>
        <w:t xml:space="preserve">).  </w:t>
      </w:r>
      <w:r>
        <w:rPr>
          <w:i/>
          <w:lang w:val="en-CA"/>
        </w:rPr>
        <w:t>Market participants’ settlement statements</w:t>
      </w:r>
      <w:r>
        <w:rPr>
          <w:lang w:val="en-CA"/>
        </w:rPr>
        <w:t xml:space="preserve"> will reflect additions of new manual line items as detailed in these two new </w:t>
      </w:r>
      <w:r>
        <w:rPr>
          <w:i/>
          <w:lang w:val="en-CA"/>
        </w:rPr>
        <w:t>charge types</w:t>
      </w:r>
      <w:r>
        <w:rPr>
          <w:lang w:val="en-CA"/>
        </w:rPr>
        <w:t>.</w:t>
      </w:r>
    </w:p>
    <w:p w14:paraId="0E101311" w14:textId="77777777" w:rsidR="007036DE" w:rsidRDefault="007036DE" w:rsidP="003075A6">
      <w:pPr>
        <w:pStyle w:val="BodyText"/>
        <w:rPr>
          <w:lang w:val="en-CA"/>
        </w:rPr>
      </w:pPr>
    </w:p>
    <w:p w14:paraId="19B83BC9" w14:textId="77777777" w:rsidR="007036DE" w:rsidRDefault="007036DE" w:rsidP="007036DE">
      <w:pPr>
        <w:pStyle w:val="AppendixHead2"/>
      </w:pPr>
      <w:r>
        <w:t>OPA’s Demand Response (DR3) Program</w:t>
      </w:r>
      <w:r w:rsidRPr="00E305AB">
        <w:rPr>
          <w:rStyle w:val="FootnoteReference"/>
          <w:sz w:val="22"/>
          <w:szCs w:val="22"/>
        </w:rPr>
        <w:footnoteReference w:id="48"/>
      </w:r>
    </w:p>
    <w:p w14:paraId="4BDA41DF" w14:textId="77777777" w:rsidR="007036DE" w:rsidRDefault="007036DE" w:rsidP="007036DE">
      <w:pPr>
        <w:pStyle w:val="BodyText"/>
      </w:pPr>
      <w:r>
        <w:t>The</w:t>
      </w:r>
      <w:r w:rsidR="009C37C4">
        <w:t xml:space="preserve"> IESO implemented </w:t>
      </w:r>
      <w:r>
        <w:t xml:space="preserve">a contractual load reduction program for </w:t>
      </w:r>
      <w:r w:rsidRPr="00BE1409">
        <w:rPr>
          <w:i/>
        </w:rPr>
        <w:t>market participants</w:t>
      </w:r>
      <w:r>
        <w:t>, LDC-</w:t>
      </w:r>
      <w:r w:rsidRPr="00CC00BC">
        <w:rPr>
          <w:i/>
        </w:rPr>
        <w:t>connected</w:t>
      </w:r>
      <w:r>
        <w:t xml:space="preserve"> participants and aggregators who are capable of providing a net electricity load reduction of at least 5 MW and, for aggregators, 25 MW.  Refer to the </w:t>
      </w:r>
      <w:r w:rsidRPr="005B4048">
        <w:rPr>
          <w:i/>
        </w:rPr>
        <w:t>OPA</w:t>
      </w:r>
      <w:r>
        <w:t>’s DR3 Contract, Program Rules and related Manuals on their web site for full details.</w:t>
      </w:r>
    </w:p>
    <w:p w14:paraId="0F1DD62A" w14:textId="77777777" w:rsidR="007036DE" w:rsidRPr="00BE4221" w:rsidRDefault="007036DE" w:rsidP="007036DE">
      <w:pPr>
        <w:pStyle w:val="BodyText"/>
        <w:rPr>
          <w:szCs w:val="22"/>
        </w:rPr>
      </w:pPr>
      <w:r>
        <w:rPr>
          <w:szCs w:val="22"/>
        </w:rPr>
        <w:t xml:space="preserve">This section sets out how the </w:t>
      </w:r>
      <w:r w:rsidRPr="00BE4221">
        <w:rPr>
          <w:i/>
          <w:szCs w:val="22"/>
        </w:rPr>
        <w:t>IESO</w:t>
      </w:r>
      <w:r w:rsidR="007A7D6F">
        <w:rPr>
          <w:szCs w:val="22"/>
        </w:rPr>
        <w:t xml:space="preserve"> settles the DR3 Program</w:t>
      </w:r>
      <w:r>
        <w:rPr>
          <w:szCs w:val="22"/>
        </w:rPr>
        <w:t>. To the extent of any inconsistency between the provisions of the DR3 Program rules and this section, the DR3 Program rules shall govern.</w:t>
      </w:r>
    </w:p>
    <w:p w14:paraId="06ADCE0C" w14:textId="77777777" w:rsidR="007036DE" w:rsidRDefault="007036DE" w:rsidP="007036DE">
      <w:pPr>
        <w:pStyle w:val="BodyText"/>
      </w:pPr>
      <w:r w:rsidRPr="007C27BA">
        <w:t xml:space="preserve">DR3 participants are paid a monthly Availability Payment for being available to reduce their load during </w:t>
      </w:r>
      <w:r>
        <w:t xml:space="preserve">the </w:t>
      </w:r>
      <w:r w:rsidRPr="007C27BA">
        <w:t xml:space="preserve">Hours of Availability and a Utilization Payment for </w:t>
      </w:r>
      <w:r>
        <w:t xml:space="preserve">their </w:t>
      </w:r>
      <w:r w:rsidRPr="007C27BA">
        <w:t xml:space="preserve">actual load </w:t>
      </w:r>
      <w:r w:rsidRPr="00DA3379">
        <w:rPr>
          <w:i/>
        </w:rPr>
        <w:t>curtailment</w:t>
      </w:r>
      <w:r w:rsidRPr="007C27BA">
        <w:t xml:space="preserve"> when directed by </w:t>
      </w:r>
      <w:r>
        <w:t>us</w:t>
      </w:r>
      <w:r w:rsidRPr="007C27BA">
        <w:t>.  Given that as a DR3 participant, you may have more than one DR3 Contract Schedule for a given Settlement</w:t>
      </w:r>
      <w:r>
        <w:t xml:space="preserve"> Account</w:t>
      </w:r>
      <w:r w:rsidRPr="007C27BA">
        <w:t xml:space="preserve">; your payment will be based on the total Monthly Contracted MWs for all such DR3 Contact Schedules and the weighted average of each of the applicable </w:t>
      </w:r>
      <w:r>
        <w:t>rates.</w:t>
      </w:r>
    </w:p>
    <w:p w14:paraId="54C64C18" w14:textId="77777777" w:rsidR="007036DE" w:rsidRPr="007C27BA" w:rsidRDefault="007036DE" w:rsidP="007036DE">
      <w:pPr>
        <w:pStyle w:val="BodyText"/>
      </w:pPr>
      <w:r>
        <w:t>The DR3 program also includes a</w:t>
      </w:r>
      <w:r w:rsidRPr="007C27BA">
        <w:t xml:space="preserve">n Availability </w:t>
      </w:r>
      <w:r>
        <w:t>Over-Delivery Payment</w:t>
      </w:r>
      <w:r w:rsidRPr="007C27BA">
        <w:t xml:space="preserve"> </w:t>
      </w:r>
      <w:r>
        <w:t xml:space="preserve">to </w:t>
      </w:r>
      <w:r w:rsidRPr="007C27BA">
        <w:t xml:space="preserve">encourage </w:t>
      </w:r>
      <w:r>
        <w:t>higher</w:t>
      </w:r>
      <w:r w:rsidRPr="007C27BA">
        <w:t xml:space="preserve"> </w:t>
      </w:r>
      <w:r>
        <w:t xml:space="preserve">than contracted </w:t>
      </w:r>
      <w:r w:rsidRPr="00DA3379">
        <w:rPr>
          <w:i/>
        </w:rPr>
        <w:t>demand</w:t>
      </w:r>
      <w:r w:rsidRPr="007C27BA">
        <w:t xml:space="preserve"> reduction </w:t>
      </w:r>
      <w:r>
        <w:t>in response to an Open Standby Notification.</w:t>
      </w:r>
    </w:p>
    <w:p w14:paraId="5662153A" w14:textId="77777777" w:rsidR="007036DE" w:rsidRPr="007C27BA" w:rsidRDefault="007036DE" w:rsidP="007036DE">
      <w:pPr>
        <w:pStyle w:val="BodyText"/>
        <w:ind w:right="360"/>
      </w:pPr>
      <w:r w:rsidRPr="00DA3379">
        <w:rPr>
          <w:i/>
        </w:rPr>
        <w:t>Settlement</w:t>
      </w:r>
      <w:r w:rsidRPr="007C27BA">
        <w:t xml:space="preserve"> payments are subject to</w:t>
      </w:r>
      <w:r>
        <w:t xml:space="preserve"> </w:t>
      </w:r>
      <w:r w:rsidRPr="007C27BA">
        <w:t xml:space="preserve">Performance Set-Offs for </w:t>
      </w:r>
      <w:r>
        <w:t xml:space="preserve">both Availability and Utilization for </w:t>
      </w:r>
      <w:r w:rsidRPr="007C27BA">
        <w:t xml:space="preserve">failure to comply with DR3 Contract terms </w:t>
      </w:r>
      <w:r>
        <w:t>including</w:t>
      </w:r>
      <w:r w:rsidRPr="007C27BA">
        <w:t>:</w:t>
      </w:r>
    </w:p>
    <w:p w14:paraId="0BD52A1D" w14:textId="77777777" w:rsidR="007036DE" w:rsidRPr="007C27BA" w:rsidRDefault="007036DE" w:rsidP="007036DE">
      <w:pPr>
        <w:pStyle w:val="ListBullet2"/>
        <w:numPr>
          <w:ilvl w:val="0"/>
          <w:numId w:val="59"/>
        </w:numPr>
      </w:pPr>
      <w:r>
        <w:t>maintaining</w:t>
      </w:r>
      <w:r w:rsidRPr="007C27BA">
        <w:t xml:space="preserve"> </w:t>
      </w:r>
      <w:r>
        <w:t xml:space="preserve">a </w:t>
      </w:r>
      <w:r w:rsidRPr="007C27BA">
        <w:t>Reliability Rate</w:t>
      </w:r>
      <w:r>
        <w:t xml:space="preserve"> of at least 8</w:t>
      </w:r>
      <w:r w:rsidRPr="007C27BA">
        <w:t>5%</w:t>
      </w:r>
      <w:r>
        <w:t xml:space="preserve"> for each interval</w:t>
      </w:r>
      <w:r w:rsidRPr="007C27BA">
        <w:t>;</w:t>
      </w:r>
    </w:p>
    <w:p w14:paraId="0BBD5E6C" w14:textId="77777777" w:rsidR="007036DE" w:rsidRPr="007C27BA" w:rsidRDefault="007036DE" w:rsidP="007036DE">
      <w:pPr>
        <w:pStyle w:val="ListBullet2"/>
        <w:numPr>
          <w:ilvl w:val="0"/>
          <w:numId w:val="59"/>
        </w:numPr>
      </w:pPr>
      <w:r>
        <w:t>confirming in a timely manner when required by us to do so</w:t>
      </w:r>
      <w:r w:rsidRPr="007C27BA">
        <w:t>; or</w:t>
      </w:r>
    </w:p>
    <w:p w14:paraId="7ADC1E70" w14:textId="77777777" w:rsidR="007036DE" w:rsidRDefault="007036DE" w:rsidP="007036DE">
      <w:pPr>
        <w:pStyle w:val="ListBullet2"/>
        <w:numPr>
          <w:ilvl w:val="0"/>
          <w:numId w:val="59"/>
        </w:numPr>
      </w:pPr>
      <w:r>
        <w:t>confirming at least 8</w:t>
      </w:r>
      <w:r w:rsidRPr="007C27BA">
        <w:t>5% of the Monthly contacted MW for a Confirmed Hour.</w:t>
      </w:r>
    </w:p>
    <w:p w14:paraId="69889A48" w14:textId="77777777" w:rsidR="007036DE" w:rsidRDefault="007036DE" w:rsidP="007036DE">
      <w:pPr>
        <w:pStyle w:val="ListBullet2"/>
        <w:numPr>
          <w:ilvl w:val="0"/>
          <w:numId w:val="0"/>
        </w:numPr>
        <w:spacing w:before="120"/>
      </w:pPr>
      <w:r>
        <w:t>Additionally, DR3 participants will be subject to an Availability Payment Set-Off for:</w:t>
      </w:r>
    </w:p>
    <w:p w14:paraId="3893B611" w14:textId="77777777" w:rsidR="007036DE" w:rsidRDefault="007036DE" w:rsidP="007036DE">
      <w:pPr>
        <w:pStyle w:val="ListBullet2"/>
        <w:numPr>
          <w:ilvl w:val="0"/>
          <w:numId w:val="59"/>
        </w:numPr>
        <w:spacing w:before="120"/>
      </w:pPr>
      <w:r>
        <w:t xml:space="preserve">not being fully available for </w:t>
      </w:r>
      <w:r w:rsidRPr="00DA3379">
        <w:rPr>
          <w:i/>
        </w:rPr>
        <w:t>curtailment</w:t>
      </w:r>
      <w:r>
        <w:t>;</w:t>
      </w:r>
    </w:p>
    <w:p w14:paraId="15BC71F6" w14:textId="77777777" w:rsidR="007036DE" w:rsidRDefault="007036DE" w:rsidP="007036DE">
      <w:pPr>
        <w:pStyle w:val="ListBullet2"/>
        <w:numPr>
          <w:ilvl w:val="0"/>
          <w:numId w:val="59"/>
        </w:numPr>
      </w:pPr>
      <w:r>
        <w:t>any days that they declare a planned non-performance event; or</w:t>
      </w:r>
    </w:p>
    <w:p w14:paraId="796C9E4A" w14:textId="77777777" w:rsidR="007036DE" w:rsidRDefault="007036DE" w:rsidP="007036DE">
      <w:pPr>
        <w:pStyle w:val="ListBullet2"/>
        <w:numPr>
          <w:ilvl w:val="0"/>
          <w:numId w:val="59"/>
        </w:numPr>
      </w:pPr>
      <w:r>
        <w:t xml:space="preserve">failing to deliver </w:t>
      </w:r>
      <w:r w:rsidRPr="00DA3379">
        <w:rPr>
          <w:i/>
        </w:rPr>
        <w:t xml:space="preserve">meter </w:t>
      </w:r>
      <w:r>
        <w:t>data in a timely manner.</w:t>
      </w:r>
    </w:p>
    <w:p w14:paraId="5701785D" w14:textId="77777777" w:rsidR="007036DE" w:rsidRDefault="007036DE" w:rsidP="007036DE">
      <w:pPr>
        <w:pStyle w:val="AppendixHead3"/>
      </w:pPr>
      <w:r w:rsidRPr="007C27BA">
        <w:t>Settlement of Demand Response Payments</w:t>
      </w:r>
    </w:p>
    <w:p w14:paraId="6E736ECF" w14:textId="43E1BF64" w:rsidR="007036DE" w:rsidRPr="00C46412" w:rsidRDefault="007036DE" w:rsidP="00C46412">
      <w:pPr>
        <w:pStyle w:val="Heading51"/>
      </w:pPr>
      <w:r w:rsidRPr="00C46412">
        <w:t xml:space="preserve">How Availability Payments </w:t>
      </w:r>
      <w:r w:rsidR="00C46412">
        <w:t>A</w:t>
      </w:r>
      <w:r w:rsidRPr="00C46412">
        <w:t>re Settled</w:t>
      </w:r>
    </w:p>
    <w:p w14:paraId="5D6EF209" w14:textId="77777777" w:rsidR="007036DE" w:rsidRDefault="007036DE" w:rsidP="007036DE">
      <w:pPr>
        <w:pStyle w:val="BodyText"/>
      </w:pPr>
      <w:r>
        <w:t>Each month, you will receive an Availability Payment for each Settlement Account based on the Hours of Availability, Monthly Contracted MW and the Adjusted Availability Rate as described in the DR3 Contract.  The Adjusted Availability Rate is the weighted average of the rates for all Contract Schedules for a given Settlement Account and adjusted for premium zones and discount zones.</w:t>
      </w:r>
    </w:p>
    <w:p w14:paraId="04482069" w14:textId="77777777" w:rsidR="007036DE" w:rsidRDefault="007036DE" w:rsidP="007036DE">
      <w:pPr>
        <w:pStyle w:val="BodyText"/>
      </w:pPr>
      <w:r>
        <w:t>We calculate Availability P</w:t>
      </w:r>
      <w:r w:rsidRPr="007C27BA">
        <w:t xml:space="preserve">ayments once a month </w:t>
      </w:r>
      <w:r>
        <w:t>in the month following the contract month</w:t>
      </w:r>
      <w:r w:rsidRPr="007C27BA">
        <w:t xml:space="preserve"> and </w:t>
      </w:r>
      <w:r>
        <w:t>apply them</w:t>
      </w:r>
      <w:r w:rsidRPr="007C27BA">
        <w:t xml:space="preserve"> as a manual line item to the last </w:t>
      </w:r>
      <w:r w:rsidRPr="00BE1409">
        <w:rPr>
          <w:i/>
        </w:rPr>
        <w:t>trading day</w:t>
      </w:r>
      <w:r w:rsidRPr="007C27BA">
        <w:t xml:space="preserve"> of the month</w:t>
      </w:r>
      <w:r>
        <w:t xml:space="preserve"> following the contract month</w:t>
      </w:r>
      <w:r w:rsidRPr="007C27BA">
        <w:t>.</w:t>
      </w:r>
      <w:r>
        <w:t xml:space="preserve"> </w:t>
      </w:r>
      <w:r w:rsidRPr="007C27BA">
        <w:t xml:space="preserve"> We use </w:t>
      </w:r>
      <w:r w:rsidRPr="00BB5149">
        <w:rPr>
          <w:i/>
        </w:rPr>
        <w:t>charge type</w:t>
      </w:r>
      <w:r w:rsidRPr="007C27BA">
        <w:t xml:space="preserve"> </w:t>
      </w:r>
      <w:r w:rsidRPr="00AA60EC">
        <w:t xml:space="preserve">1340 “On behalf of </w:t>
      </w:r>
      <w:r w:rsidRPr="00AA60EC">
        <w:rPr>
          <w:i/>
        </w:rPr>
        <w:t>OPA</w:t>
      </w:r>
      <w:r w:rsidRPr="00AA60EC">
        <w:t xml:space="preserve"> for the DR3 Program - Availability Payment Settlement Amount</w:t>
      </w:r>
      <w:r>
        <w:t>” for Availability Payments to participants.</w:t>
      </w:r>
      <w:r>
        <w:rPr>
          <w:rStyle w:val="FootnoteReference"/>
        </w:rPr>
        <w:footnoteReference w:id="49"/>
      </w:r>
    </w:p>
    <w:p w14:paraId="5E100727" w14:textId="77777777" w:rsidR="007036DE" w:rsidRDefault="007036DE" w:rsidP="007036DE">
      <w:pPr>
        <w:pStyle w:val="BodyText"/>
      </w:pPr>
      <w:r>
        <w:t xml:space="preserve">Where you have multiple DR3 Contract Schedules at a given Settlement Account, these DR3 Contract Schedules are aggregated into one manual line item for </w:t>
      </w:r>
      <w:r w:rsidRPr="00DA3379">
        <w:rPr>
          <w:i/>
        </w:rPr>
        <w:t>settlement</w:t>
      </w:r>
      <w:r>
        <w:t xml:space="preserve"> purposes.</w:t>
      </w:r>
    </w:p>
    <w:p w14:paraId="27EF470D" w14:textId="77777777" w:rsidR="007036DE" w:rsidRDefault="007036DE" w:rsidP="007036DE">
      <w:pPr>
        <w:pStyle w:val="BodyText"/>
        <w:rPr>
          <w:rFonts w:ascii="Arial" w:hAnsi="Arial"/>
          <w:b/>
          <w:sz w:val="24"/>
          <w:szCs w:val="24"/>
        </w:rPr>
      </w:pPr>
      <w:r>
        <w:t xml:space="preserve">We recover availability payments through </w:t>
      </w:r>
      <w:r w:rsidRPr="00BB5149">
        <w:rPr>
          <w:i/>
        </w:rPr>
        <w:t>charge type</w:t>
      </w:r>
      <w:r w:rsidRPr="00B91F3E">
        <w:t xml:space="preserve"> </w:t>
      </w:r>
      <w:r>
        <w:t>1390</w:t>
      </w:r>
      <w:r w:rsidRPr="00B91F3E">
        <w:t xml:space="preserve"> </w:t>
      </w:r>
      <w:r w:rsidRPr="007C27BA">
        <w:t>“</w:t>
      </w:r>
      <w:r>
        <w:t>Demand Response 3 Availability Payment Balancing Amount</w:t>
      </w:r>
      <w:r w:rsidRPr="00B91F3E">
        <w:t>”</w:t>
      </w:r>
      <w:r>
        <w:t>.</w:t>
      </w:r>
    </w:p>
    <w:p w14:paraId="21857612" w14:textId="467842C2" w:rsidR="007036DE" w:rsidRPr="007C27BA" w:rsidRDefault="007036DE" w:rsidP="00C46412">
      <w:pPr>
        <w:pStyle w:val="Heading51"/>
      </w:pPr>
      <w:r w:rsidRPr="007C27BA">
        <w:t xml:space="preserve">How Availability Over-Delivery Payments </w:t>
      </w:r>
      <w:r w:rsidR="00C46412">
        <w:t>A</w:t>
      </w:r>
      <w:r w:rsidRPr="007C27BA">
        <w:t>re Settled</w:t>
      </w:r>
    </w:p>
    <w:p w14:paraId="180F5ACC" w14:textId="77777777" w:rsidR="007036DE" w:rsidRDefault="007036DE" w:rsidP="007036DE">
      <w:pPr>
        <w:pStyle w:val="BodyText"/>
      </w:pPr>
      <w:r>
        <w:t>When you receive an Open Standby Notification, you may respond to us that you are available to deliver more MWs or reduce load for a longer period than agreed to in your DR3 Contract Schedule.  In this case, you are entitled to receive an Over-Delivery Payment for each over-delivery hour in a Contract Month.</w:t>
      </w:r>
    </w:p>
    <w:p w14:paraId="201AF7D0" w14:textId="77777777" w:rsidR="007036DE" w:rsidRDefault="007036DE" w:rsidP="007036DE">
      <w:pPr>
        <w:pStyle w:val="BodyText"/>
      </w:pPr>
      <w:r>
        <w:t xml:space="preserve">In each hour, the Confirmed MWs are limited to the lesser of the Monthly Contracted MW plus 15 MW or 130% of the Monthly Contracted MW.  In addition, </w:t>
      </w:r>
      <w:r w:rsidRPr="00781EC6">
        <w:rPr>
          <w:szCs w:val="22"/>
        </w:rPr>
        <w:t xml:space="preserve">the </w:t>
      </w:r>
      <w:r w:rsidRPr="00781EC6">
        <w:t xml:space="preserve">number of activations is limited to </w:t>
      </w:r>
      <w:r w:rsidRPr="00781EC6">
        <w:rPr>
          <w:szCs w:val="22"/>
        </w:rPr>
        <w:t>an additional 7 times if the Maximum Contract Hours is 100 and an additional 14 times if the Maximum Contract Hours is 200,</w:t>
      </w:r>
      <w:r w:rsidRPr="00781EC6">
        <w:t xml:space="preserve"> for each calendar year.</w:t>
      </w:r>
    </w:p>
    <w:p w14:paraId="45A1A6C7" w14:textId="77777777" w:rsidR="007036DE" w:rsidRDefault="007036DE" w:rsidP="007036DE">
      <w:pPr>
        <w:pStyle w:val="BodyText"/>
      </w:pPr>
      <w:r>
        <w:t xml:space="preserve">We calculate Availability Over-Delivery Payments once a month in the month following the Contract Month and apply them as a manual line item to the last </w:t>
      </w:r>
      <w:r w:rsidRPr="00657BEA">
        <w:rPr>
          <w:i/>
        </w:rPr>
        <w:t>trading day</w:t>
      </w:r>
      <w:r>
        <w:t xml:space="preserve"> of the month following the Contract Month.</w:t>
      </w:r>
    </w:p>
    <w:p w14:paraId="6587ED51" w14:textId="77777777" w:rsidR="007036DE" w:rsidRDefault="007036DE" w:rsidP="007036DE">
      <w:pPr>
        <w:pStyle w:val="BodyText"/>
      </w:pPr>
      <w:r w:rsidRPr="007C27BA">
        <w:t xml:space="preserve">We use </w:t>
      </w:r>
      <w:r w:rsidRPr="00BE1409">
        <w:rPr>
          <w:i/>
        </w:rPr>
        <w:t>charge type</w:t>
      </w:r>
      <w:r w:rsidRPr="007C27BA">
        <w:t xml:space="preserve"> </w:t>
      </w:r>
      <w:r w:rsidRPr="00AA60EC">
        <w:t xml:space="preserve">1341 “On behalf of </w:t>
      </w:r>
      <w:r w:rsidRPr="00AA60EC">
        <w:rPr>
          <w:i/>
        </w:rPr>
        <w:t>OPA</w:t>
      </w:r>
      <w:r w:rsidRPr="00AA60EC">
        <w:t xml:space="preserve"> for the DR3 Program - Availability Over-Delivery Payment Settlement Amount</w:t>
      </w:r>
      <w:r>
        <w:t>” for the monthly Availability Over-Delivery Payments to participants</w:t>
      </w:r>
      <w:r>
        <w:rPr>
          <w:rStyle w:val="FootnoteReference"/>
        </w:rPr>
        <w:footnoteReference w:id="50"/>
      </w:r>
      <w:r>
        <w:t>.</w:t>
      </w:r>
    </w:p>
    <w:p w14:paraId="2AA83224" w14:textId="3E457BD0" w:rsidR="007036DE" w:rsidRPr="007C27BA" w:rsidRDefault="007036DE" w:rsidP="007036DE">
      <w:pPr>
        <w:pStyle w:val="BodyText"/>
      </w:pPr>
      <w:r>
        <w:t xml:space="preserve">We recover Over-Delivery Payments through </w:t>
      </w:r>
      <w:r w:rsidRPr="00BE1409">
        <w:rPr>
          <w:i/>
        </w:rPr>
        <w:t>charge type</w:t>
      </w:r>
      <w:r>
        <w:t xml:space="preserve"> 1391</w:t>
      </w:r>
      <w:r w:rsidRPr="007C27BA">
        <w:t xml:space="preserve"> “</w:t>
      </w:r>
      <w:r>
        <w:t>Demand Response 3 Availability Over-</w:t>
      </w:r>
      <w:r w:rsidR="00A57654">
        <w:t>Delivery</w:t>
      </w:r>
      <w:r>
        <w:t xml:space="preserve"> Balancing Amount”.</w:t>
      </w:r>
    </w:p>
    <w:p w14:paraId="11985045" w14:textId="0EA5E7BE" w:rsidR="007036DE" w:rsidRPr="007C27BA" w:rsidRDefault="007036DE" w:rsidP="00C46412">
      <w:pPr>
        <w:pStyle w:val="Heading51"/>
      </w:pPr>
      <w:r w:rsidRPr="007C27BA">
        <w:t xml:space="preserve">How Utilization </w:t>
      </w:r>
      <w:r w:rsidRPr="00EE2681">
        <w:t xml:space="preserve">Payments </w:t>
      </w:r>
      <w:r w:rsidR="00C46412">
        <w:t>A</w:t>
      </w:r>
      <w:r w:rsidRPr="00EE2681">
        <w:t>re</w:t>
      </w:r>
      <w:r w:rsidRPr="007C27BA">
        <w:t xml:space="preserve"> Settled</w:t>
      </w:r>
    </w:p>
    <w:p w14:paraId="1B4C1B98" w14:textId="77777777" w:rsidR="007036DE" w:rsidRDefault="007036DE" w:rsidP="007036DE">
      <w:pPr>
        <w:pStyle w:val="BodyText"/>
      </w:pPr>
      <w:r w:rsidRPr="007C27BA">
        <w:t>You are paid for the amount of load reduction you actu</w:t>
      </w:r>
      <w:r>
        <w:t xml:space="preserve">ally provide for a </w:t>
      </w:r>
      <w:r w:rsidRPr="007C27BA">
        <w:t xml:space="preserve">DR3 activation </w:t>
      </w:r>
      <w:r>
        <w:t>for each Settlement Account based on the Actual Activated MWh and the Utilization Rate as described in the Contract.</w:t>
      </w:r>
    </w:p>
    <w:p w14:paraId="51CB565B" w14:textId="77777777" w:rsidR="007036DE" w:rsidRPr="009C6894" w:rsidRDefault="007036DE" w:rsidP="007036DE">
      <w:pPr>
        <w:pStyle w:val="BodyText"/>
      </w:pPr>
      <w:r>
        <w:t>The Actual Activated MWhs are the metered reduction for the Activation Period.  W</w:t>
      </w:r>
      <w:r w:rsidRPr="007C27BA">
        <w:t xml:space="preserve">e will calculate your load reduction and </w:t>
      </w:r>
      <w:r w:rsidRPr="00FE2184">
        <w:rPr>
          <w:i/>
        </w:rPr>
        <w:t>settlement</w:t>
      </w:r>
      <w:r w:rsidRPr="007C27BA">
        <w:t xml:space="preserve"> from the data you submit, according to your M&amp;V Plan. </w:t>
      </w:r>
      <w:r>
        <w:t xml:space="preserve"> </w:t>
      </w:r>
      <w:r w:rsidRPr="007C27BA">
        <w:t xml:space="preserve">For load reduction payments, </w:t>
      </w:r>
      <w:r>
        <w:t xml:space="preserve">the total reduction cannot exceed the </w:t>
      </w:r>
      <w:r w:rsidRPr="00AA60EC">
        <w:t>confirmed</w:t>
      </w:r>
      <w:r>
        <w:t xml:space="preserve"> reduction for the period plus the lesser of </w:t>
      </w:r>
      <w:r w:rsidRPr="009C6894">
        <w:t xml:space="preserve">an additional 15 MWh </w:t>
      </w:r>
      <w:r>
        <w:t>or</w:t>
      </w:r>
      <w:r w:rsidRPr="009C6894">
        <w:t xml:space="preserve"> 1</w:t>
      </w:r>
      <w:r>
        <w:t xml:space="preserve">5% of the Activation MW </w:t>
      </w:r>
      <w:r w:rsidRPr="009C6894">
        <w:t>per hour of the Activation Period</w:t>
      </w:r>
      <w:r>
        <w:t xml:space="preserve">.  In addition, </w:t>
      </w:r>
      <w:r w:rsidRPr="00781EC6">
        <w:rPr>
          <w:szCs w:val="22"/>
        </w:rPr>
        <w:t xml:space="preserve">the </w:t>
      </w:r>
      <w:r w:rsidRPr="00781EC6">
        <w:t xml:space="preserve">number of activations is limited to </w:t>
      </w:r>
      <w:r w:rsidRPr="00781EC6">
        <w:rPr>
          <w:szCs w:val="22"/>
        </w:rPr>
        <w:t>an additional 7 times if the Maximum Contract Hours is 100 and an additional 14 times if the Maximum Contract Hours is 200,</w:t>
      </w:r>
      <w:r>
        <w:t xml:space="preserve"> for each calendar year.</w:t>
      </w:r>
    </w:p>
    <w:p w14:paraId="00BCCD7C" w14:textId="77777777" w:rsidR="007036DE" w:rsidRDefault="007036DE" w:rsidP="007036DE">
      <w:pPr>
        <w:pStyle w:val="BodyText"/>
      </w:pPr>
      <w:r>
        <w:t>We calculate Utilization P</w:t>
      </w:r>
      <w:r w:rsidRPr="007C27BA">
        <w:t xml:space="preserve">ayments once a month </w:t>
      </w:r>
      <w:r>
        <w:t>in the month following the contract month</w:t>
      </w:r>
      <w:r w:rsidRPr="007C27BA">
        <w:t xml:space="preserve"> and </w:t>
      </w:r>
      <w:r>
        <w:t>apply them</w:t>
      </w:r>
      <w:r w:rsidRPr="007C27BA">
        <w:t xml:space="preserve"> as a manual line item to the last </w:t>
      </w:r>
      <w:r w:rsidRPr="006D2660">
        <w:rPr>
          <w:i/>
        </w:rPr>
        <w:t>trading day</w:t>
      </w:r>
      <w:r w:rsidRPr="007C27BA">
        <w:t xml:space="preserve"> of the month</w:t>
      </w:r>
      <w:r w:rsidRPr="00A42EF9">
        <w:t xml:space="preserve"> </w:t>
      </w:r>
      <w:r>
        <w:t>following the contract month</w:t>
      </w:r>
      <w:r w:rsidRPr="007C27BA">
        <w:t>.</w:t>
      </w:r>
      <w:r>
        <w:t xml:space="preserve"> </w:t>
      </w:r>
      <w:r w:rsidRPr="007C27BA">
        <w:t xml:space="preserve"> We use </w:t>
      </w:r>
      <w:r w:rsidRPr="00BE1409">
        <w:rPr>
          <w:i/>
        </w:rPr>
        <w:t>charge type</w:t>
      </w:r>
      <w:r w:rsidRPr="007C27BA">
        <w:t xml:space="preserve"> </w:t>
      </w:r>
      <w:r w:rsidRPr="00AA60EC">
        <w:t xml:space="preserve">1343 “On behalf of </w:t>
      </w:r>
      <w:r w:rsidRPr="00AA60EC">
        <w:rPr>
          <w:i/>
        </w:rPr>
        <w:t>OPA</w:t>
      </w:r>
      <w:r w:rsidRPr="00AA60EC">
        <w:t xml:space="preserve"> for the DR3 Program - Utilization Payment Settlement Amount</w:t>
      </w:r>
      <w:r>
        <w:t>” for Utilization Payments to participants.</w:t>
      </w:r>
      <w:r>
        <w:rPr>
          <w:rStyle w:val="FootnoteReference"/>
        </w:rPr>
        <w:footnoteReference w:id="51"/>
      </w:r>
    </w:p>
    <w:p w14:paraId="6623BB27" w14:textId="77777777" w:rsidR="007036DE" w:rsidRDefault="007036DE" w:rsidP="007036DE">
      <w:pPr>
        <w:pStyle w:val="BodyText"/>
      </w:pPr>
      <w:r>
        <w:t>Utilization Payments are not made when an Activation Notice is sent by us and you are using one of the Planned Non-Performance Events at the Settlement Account.</w:t>
      </w:r>
    </w:p>
    <w:p w14:paraId="03CFAE59" w14:textId="77777777" w:rsidR="007036DE" w:rsidRDefault="007036DE" w:rsidP="007036DE">
      <w:pPr>
        <w:pStyle w:val="BodyText"/>
      </w:pPr>
      <w:r>
        <w:t xml:space="preserve">Utilization Payments are recovered through </w:t>
      </w:r>
      <w:r w:rsidRPr="00BE1409">
        <w:rPr>
          <w:i/>
        </w:rPr>
        <w:t>charge type</w:t>
      </w:r>
      <w:r w:rsidRPr="00B91F3E">
        <w:t xml:space="preserve"> </w:t>
      </w:r>
      <w:r>
        <w:t>1393</w:t>
      </w:r>
      <w:r w:rsidRPr="00B91F3E">
        <w:t xml:space="preserve"> “</w:t>
      </w:r>
      <w:r>
        <w:t>Demand Response 3 Utilization Payment Balancing Amount</w:t>
      </w:r>
      <w:r w:rsidRPr="00B91F3E">
        <w:t>”</w:t>
      </w:r>
      <w:r>
        <w:t>.</w:t>
      </w:r>
    </w:p>
    <w:p w14:paraId="51604FD7" w14:textId="77777777" w:rsidR="007036DE" w:rsidRDefault="007036DE" w:rsidP="00C46412">
      <w:pPr>
        <w:pStyle w:val="Heading51"/>
      </w:pPr>
      <w:r w:rsidRPr="007C27BA">
        <w:t>How We Process Your Meter Data</w:t>
      </w:r>
    </w:p>
    <w:p w14:paraId="76E3DE31" w14:textId="77777777" w:rsidR="007036DE" w:rsidRPr="002E7C44" w:rsidRDefault="007036DE" w:rsidP="007036DE">
      <w:pPr>
        <w:pStyle w:val="BodyText"/>
      </w:pPr>
      <w:r>
        <w:t xml:space="preserve">As part of the DR3 application, participants submit an M&amp;V Plan for each Settlement Account. </w:t>
      </w:r>
      <w:r w:rsidRPr="005A3A82">
        <w:t xml:space="preserve"> </w:t>
      </w:r>
      <w:r>
        <w:t xml:space="preserve">We calculate a Baseline for each and every Activation Hour.  For DR3 participants that are not </w:t>
      </w:r>
      <w:r w:rsidRPr="00DA3379">
        <w:rPr>
          <w:i/>
        </w:rPr>
        <w:t>IESO administered market participants</w:t>
      </w:r>
      <w:r>
        <w:t>, we will use:</w:t>
      </w:r>
    </w:p>
    <w:p w14:paraId="1ECFFE01" w14:textId="77777777" w:rsidR="007036DE" w:rsidRDefault="007036DE" w:rsidP="007036DE">
      <w:pPr>
        <w:pStyle w:val="ListBullet"/>
      </w:pPr>
      <w:r>
        <w:t>y</w:t>
      </w:r>
      <w:r w:rsidRPr="007C27BA">
        <w:t xml:space="preserve">our </w:t>
      </w:r>
      <w:r>
        <w:t xml:space="preserve">weekly retail revenue </w:t>
      </w:r>
      <w:r w:rsidRPr="00DA3379">
        <w:rPr>
          <w:i/>
        </w:rPr>
        <w:t>meter</w:t>
      </w:r>
      <w:r>
        <w:t xml:space="preserve"> data </w:t>
      </w:r>
      <w:r w:rsidRPr="007C27BA">
        <w:t xml:space="preserve">submitted </w:t>
      </w:r>
      <w:r>
        <w:t xml:space="preserve">by 15:00 EST on the first </w:t>
      </w:r>
      <w:r w:rsidRPr="00BE1409">
        <w:rPr>
          <w:i/>
        </w:rPr>
        <w:t>business day</w:t>
      </w:r>
      <w:r>
        <w:t xml:space="preserve"> of the following week; and</w:t>
      </w:r>
    </w:p>
    <w:p w14:paraId="2C503E1D" w14:textId="77777777" w:rsidR="007036DE" w:rsidRDefault="007036DE" w:rsidP="007036DE">
      <w:pPr>
        <w:pStyle w:val="ListBullet"/>
      </w:pPr>
      <w:r>
        <w:t xml:space="preserve">revisions to the weekly data received by 15:00 EST on the last </w:t>
      </w:r>
      <w:r w:rsidRPr="00BE1409">
        <w:rPr>
          <w:i/>
        </w:rPr>
        <w:t>business day</w:t>
      </w:r>
      <w:r>
        <w:t xml:space="preserve"> of the month following the completed contract month.</w:t>
      </w:r>
    </w:p>
    <w:p w14:paraId="1D6B9888" w14:textId="77777777" w:rsidR="007036DE" w:rsidRDefault="007036DE" w:rsidP="007036DE">
      <w:pPr>
        <w:pStyle w:val="ListBullet"/>
        <w:numPr>
          <w:ilvl w:val="0"/>
          <w:numId w:val="0"/>
        </w:numPr>
      </w:pPr>
      <w:r>
        <w:t xml:space="preserve">For DR3 participants that are </w:t>
      </w:r>
      <w:r w:rsidRPr="00DA3379">
        <w:rPr>
          <w:i/>
        </w:rPr>
        <w:t>market participants</w:t>
      </w:r>
      <w:r>
        <w:t xml:space="preserve">, we will use your revenue metering data that we’ve collected as part of our market </w:t>
      </w:r>
      <w:r w:rsidRPr="00DA3379">
        <w:rPr>
          <w:i/>
        </w:rPr>
        <w:t>settlement process</w:t>
      </w:r>
      <w:r>
        <w:t>.</w:t>
      </w:r>
    </w:p>
    <w:p w14:paraId="43C76383" w14:textId="77777777" w:rsidR="007036DE" w:rsidRPr="007C27BA" w:rsidRDefault="007036DE" w:rsidP="007036DE">
      <w:pPr>
        <w:pStyle w:val="BodyText"/>
      </w:pPr>
      <w:r>
        <w:t xml:space="preserve">The Baseline calculation may be adjusted using the measured </w:t>
      </w:r>
      <w:r w:rsidRPr="00DA3379">
        <w:rPr>
          <w:i/>
        </w:rPr>
        <w:t>demand</w:t>
      </w:r>
      <w:r>
        <w:t xml:space="preserve"> prior to the </w:t>
      </w:r>
      <w:r w:rsidRPr="00DA3379">
        <w:rPr>
          <w:i/>
        </w:rPr>
        <w:t>Curtailment</w:t>
      </w:r>
      <w:r>
        <w:t xml:space="preserve"> hour as described in Exhibit B of the </w:t>
      </w:r>
      <w:r w:rsidRPr="007C27BA">
        <w:t>DR3</w:t>
      </w:r>
      <w:r>
        <w:t xml:space="preserve"> Contract.</w:t>
      </w:r>
    </w:p>
    <w:p w14:paraId="534164B7" w14:textId="77777777" w:rsidR="007036DE" w:rsidRPr="007C27BA" w:rsidRDefault="007036DE" w:rsidP="007036DE">
      <w:pPr>
        <w:pStyle w:val="BodyText"/>
      </w:pPr>
      <w:r>
        <w:t xml:space="preserve">We </w:t>
      </w:r>
      <w:r w:rsidRPr="007C27BA">
        <w:t xml:space="preserve">verify the </w:t>
      </w:r>
      <w:r>
        <w:t xml:space="preserve">actual </w:t>
      </w:r>
      <w:r w:rsidRPr="009B4E09">
        <w:rPr>
          <w:i/>
        </w:rPr>
        <w:t>metering data</w:t>
      </w:r>
      <w:r w:rsidRPr="007C27BA">
        <w:t xml:space="preserve"> against the M&amp;V Plan</w:t>
      </w:r>
      <w:r>
        <w:t xml:space="preserve"> and our calculations.</w:t>
      </w:r>
    </w:p>
    <w:p w14:paraId="0EC1AF4E" w14:textId="77777777" w:rsidR="007036DE" w:rsidRPr="007C27BA" w:rsidRDefault="007036DE" w:rsidP="00C46412">
      <w:pPr>
        <w:pStyle w:val="Heading51"/>
      </w:pPr>
      <w:r w:rsidRPr="007C27BA">
        <w:t xml:space="preserve">Calculating </w:t>
      </w:r>
      <w:r>
        <w:t>Performance</w:t>
      </w:r>
      <w:r w:rsidRPr="007C27BA">
        <w:t xml:space="preserve"> Set-Offs</w:t>
      </w:r>
    </w:p>
    <w:p w14:paraId="376EE940" w14:textId="77777777" w:rsidR="007036DE" w:rsidRDefault="007036DE" w:rsidP="007036DE">
      <w:pPr>
        <w:pStyle w:val="BodyText"/>
      </w:pPr>
      <w:r w:rsidRPr="007C27BA">
        <w:t>Delivery of your load reduction amount is subject to performance</w:t>
      </w:r>
      <w:r>
        <w:t xml:space="preserve"> criteria</w:t>
      </w:r>
      <w:r w:rsidRPr="007C27BA">
        <w:t xml:space="preserve">. </w:t>
      </w:r>
      <w:r>
        <w:t xml:space="preserve"> Performance criteria consist of:</w:t>
      </w:r>
    </w:p>
    <w:p w14:paraId="34F712A5" w14:textId="77777777" w:rsidR="007036DE" w:rsidRDefault="007036DE" w:rsidP="007036DE">
      <w:pPr>
        <w:pStyle w:val="BodyText"/>
        <w:numPr>
          <w:ilvl w:val="0"/>
          <w:numId w:val="58"/>
        </w:numPr>
      </w:pPr>
      <w:r w:rsidRPr="003F6B4E">
        <w:rPr>
          <w:b/>
        </w:rPr>
        <w:t>Reliability</w:t>
      </w:r>
      <w:r>
        <w:t xml:space="preserve">:  </w:t>
      </w:r>
      <w:r w:rsidRPr="007C27BA">
        <w:t>If you do not achieve an average reduction</w:t>
      </w:r>
      <w:r>
        <w:t xml:space="preserve"> (Reliability Rate)</w:t>
      </w:r>
      <w:r w:rsidRPr="007C27BA">
        <w:t xml:space="preserve"> </w:t>
      </w:r>
      <w:r>
        <w:t xml:space="preserve">during any 5-minute interval in the hour </w:t>
      </w:r>
      <w:r w:rsidRPr="007C27BA">
        <w:t xml:space="preserve">of at least </w:t>
      </w:r>
      <w:r>
        <w:t>85</w:t>
      </w:r>
      <w:r w:rsidRPr="007C27BA">
        <w:t xml:space="preserve">% of the </w:t>
      </w:r>
      <w:r>
        <w:t>Activated MW</w:t>
      </w:r>
      <w:r w:rsidRPr="007C27BA">
        <w:t>,</w:t>
      </w:r>
      <w:r>
        <w:t xml:space="preserve"> or if you are Not Fully Available for Curtailment</w:t>
      </w:r>
      <w:r w:rsidRPr="007C27BA">
        <w:t xml:space="preserve"> you will be subject to </w:t>
      </w:r>
      <w:r>
        <w:t>reliability Performance Set-Offs.  Performance Set-Offs for below-standard reliability applies to both availability and utilization</w:t>
      </w:r>
      <w:r w:rsidRPr="007C27BA">
        <w:t xml:space="preserve"> payment</w:t>
      </w:r>
      <w:r>
        <w:t xml:space="preserve">s whereas not being fully available for </w:t>
      </w:r>
      <w:r w:rsidRPr="00DA3379">
        <w:rPr>
          <w:i/>
        </w:rPr>
        <w:t>curtailment</w:t>
      </w:r>
      <w:r>
        <w:t xml:space="preserve"> applies only to the availability payment.</w:t>
      </w:r>
    </w:p>
    <w:p w14:paraId="059307FB" w14:textId="77777777" w:rsidR="007036DE" w:rsidRPr="003F6B4E" w:rsidRDefault="007036DE" w:rsidP="007036DE">
      <w:pPr>
        <w:pStyle w:val="ListContinue"/>
        <w:ind w:left="720"/>
        <w:rPr>
          <w:b/>
        </w:rPr>
      </w:pPr>
      <w:r>
        <w:rPr>
          <w:b/>
        </w:rPr>
        <w:t>Calculating Your Reliability Rate:</w:t>
      </w:r>
    </w:p>
    <w:p w14:paraId="74A5D8F6" w14:textId="77777777" w:rsidR="007036DE" w:rsidRDefault="007036DE" w:rsidP="007036DE">
      <w:pPr>
        <w:pStyle w:val="ListContinue"/>
        <w:ind w:left="720"/>
      </w:pPr>
      <w:r>
        <w:t xml:space="preserve">Due to the importance of reliable load reduction for assessing and managing the </w:t>
      </w:r>
      <w:r w:rsidRPr="00F65B31">
        <w:rPr>
          <w:i/>
        </w:rPr>
        <w:t>IESO-controlled grid</w:t>
      </w:r>
      <w:r>
        <w:t>, you are required to maintain a Reliability Rate for each Settlement Account  of at least 85% for each interval of an Activation Hour.  The Reliability Rate is calculated for each 5-minute interval and the rate for any interval cannot exceed 100%.</w:t>
      </w:r>
    </w:p>
    <w:p w14:paraId="198138BA" w14:textId="77777777" w:rsidR="007036DE" w:rsidRDefault="007036DE" w:rsidP="007036DE">
      <w:pPr>
        <w:pStyle w:val="ListContinue"/>
        <w:ind w:left="720"/>
      </w:pPr>
      <w:r>
        <w:t xml:space="preserve">For Settlement Accounts that include more than one contract schedule, your Reliability Rate is based on your actual </w:t>
      </w:r>
      <w:r w:rsidRPr="00DA3379">
        <w:rPr>
          <w:i/>
        </w:rPr>
        <w:t xml:space="preserve">curtailment </w:t>
      </w:r>
      <w:r>
        <w:t>as a percentage of the aggregated Activation MW.</w:t>
      </w:r>
    </w:p>
    <w:p w14:paraId="0D69E5A8" w14:textId="77777777" w:rsidR="007036DE" w:rsidRDefault="007036DE" w:rsidP="007036DE">
      <w:pPr>
        <w:pStyle w:val="BodyText"/>
        <w:numPr>
          <w:ilvl w:val="0"/>
          <w:numId w:val="58"/>
        </w:numPr>
      </w:pPr>
      <w:r w:rsidRPr="003F6B4E">
        <w:rPr>
          <w:b/>
        </w:rPr>
        <w:t>Timely Confirmation</w:t>
      </w:r>
      <w:r>
        <w:t>: If a Confirmation is required by us and you do not submit or submit a Confirmation late, both availability and utilization</w:t>
      </w:r>
      <w:r w:rsidRPr="007C27BA">
        <w:t xml:space="preserve"> payment</w:t>
      </w:r>
      <w:r>
        <w:t>s</w:t>
      </w:r>
      <w:r w:rsidRPr="007C27BA">
        <w:t xml:space="preserve"> </w:t>
      </w:r>
      <w:r>
        <w:t>are subject to set-offs.  The severity of the set-off will depend on how late the Confirmation is received.</w:t>
      </w:r>
    </w:p>
    <w:p w14:paraId="329C0658" w14:textId="77777777" w:rsidR="007036DE" w:rsidRDefault="007036DE" w:rsidP="007036DE">
      <w:pPr>
        <w:pStyle w:val="BodyText"/>
        <w:numPr>
          <w:ilvl w:val="0"/>
          <w:numId w:val="58"/>
        </w:numPr>
      </w:pPr>
      <w:r w:rsidRPr="003F6B4E">
        <w:rPr>
          <w:b/>
        </w:rPr>
        <w:t>Low Confirmation</w:t>
      </w:r>
      <w:r>
        <w:t>: If the Confirmed MWs are less than 95% of the Monthly Contracted MW for a Confirmed Hour, a Performance Set-Off will be calculated for each confirmed hour.  This Set-Off will apply even if the actual load reduction is equal to or greater than the Monthly Contracted MW.</w:t>
      </w:r>
    </w:p>
    <w:p w14:paraId="26AC2D2B" w14:textId="77777777" w:rsidR="007036DE" w:rsidRDefault="007036DE" w:rsidP="007036DE">
      <w:pPr>
        <w:pStyle w:val="BodyText"/>
      </w:pPr>
      <w:r>
        <w:t>If more than one of the set-offs listed above apply to a Settlement Account, only the highest availability set-off amount shall be applied against your availability payment and similarly, only the highest Utilization Set-Off shall be applied against your Utilization Payment.</w:t>
      </w:r>
    </w:p>
    <w:p w14:paraId="364DA43C" w14:textId="77777777" w:rsidR="007036DE" w:rsidRDefault="007036DE" w:rsidP="007036DE">
      <w:pPr>
        <w:pStyle w:val="BodyText"/>
      </w:pPr>
      <w:r>
        <w:t xml:space="preserve">A Performance Set-Off Factor is included in the performance set-off calculations and is described in the </w:t>
      </w:r>
      <w:r w:rsidRPr="00115E6D">
        <w:rPr>
          <w:i/>
        </w:rPr>
        <w:t>OPA</w:t>
      </w:r>
      <w:r>
        <w:t xml:space="preserve"> DR3 Contract.</w:t>
      </w:r>
    </w:p>
    <w:p w14:paraId="5BA274ED" w14:textId="77777777" w:rsidR="007036DE" w:rsidRDefault="007036DE" w:rsidP="007036DE">
      <w:pPr>
        <w:pStyle w:val="BodyText"/>
      </w:pPr>
      <w:r>
        <w:t>We calculate Performance Set-Offs</w:t>
      </w:r>
      <w:r w:rsidRPr="007C27BA">
        <w:t xml:space="preserve"> </w:t>
      </w:r>
      <w:r>
        <w:t xml:space="preserve">to be applied </w:t>
      </w:r>
      <w:r w:rsidRPr="007C27BA">
        <w:t xml:space="preserve">once a month at month-end as a manual line item </w:t>
      </w:r>
      <w:r w:rsidRPr="00AA60EC">
        <w:t xml:space="preserve">for the last </w:t>
      </w:r>
      <w:r w:rsidRPr="00AA60EC">
        <w:rPr>
          <w:i/>
        </w:rPr>
        <w:t>trading day</w:t>
      </w:r>
      <w:r w:rsidRPr="00AA60EC">
        <w:t xml:space="preserve"> of the month.  We use </w:t>
      </w:r>
      <w:r w:rsidRPr="00AA60EC">
        <w:rPr>
          <w:i/>
        </w:rPr>
        <w:t>charge type</w:t>
      </w:r>
      <w:r w:rsidRPr="00AA60EC">
        <w:t xml:space="preserve"> 1342 “On behalf of </w:t>
      </w:r>
      <w:r w:rsidRPr="00AA60EC">
        <w:rPr>
          <w:i/>
        </w:rPr>
        <w:t xml:space="preserve">OPA </w:t>
      </w:r>
      <w:r w:rsidRPr="00AA60EC">
        <w:t xml:space="preserve">for the DR3 Program - Availability Set-Off Payment Settlement Amount” to recover Availability Payments from participants and </w:t>
      </w:r>
      <w:r w:rsidRPr="00AA60EC">
        <w:rPr>
          <w:i/>
        </w:rPr>
        <w:t>charge type</w:t>
      </w:r>
      <w:r w:rsidRPr="00AA60EC">
        <w:t xml:space="preserve"> 1344 “On behalf of </w:t>
      </w:r>
      <w:r w:rsidRPr="00AA60EC">
        <w:rPr>
          <w:i/>
        </w:rPr>
        <w:t xml:space="preserve">OPA </w:t>
      </w:r>
      <w:r w:rsidRPr="00AA60EC">
        <w:t>for the DR3 Program - Utilization Set-Off Payment Settlement Amount</w:t>
      </w:r>
      <w:r>
        <w:t>” to recover Utilization Payments from participants.</w:t>
      </w:r>
      <w:r>
        <w:rPr>
          <w:rStyle w:val="FootnoteReference"/>
        </w:rPr>
        <w:footnoteReference w:id="52"/>
      </w:r>
    </w:p>
    <w:p w14:paraId="026C8DDB" w14:textId="77777777" w:rsidR="007036DE" w:rsidRDefault="007036DE" w:rsidP="007036DE">
      <w:pPr>
        <w:pStyle w:val="BodyText"/>
      </w:pPr>
      <w:r>
        <w:t xml:space="preserve">We use </w:t>
      </w:r>
      <w:r w:rsidRPr="00DC11D0">
        <w:rPr>
          <w:i/>
        </w:rPr>
        <w:t>charge type</w:t>
      </w:r>
      <w:r>
        <w:t xml:space="preserve"> 1392</w:t>
      </w:r>
      <w:r w:rsidRPr="007C27BA">
        <w:t xml:space="preserve"> “</w:t>
      </w:r>
      <w:r>
        <w:t xml:space="preserve">Demand Response 3 Availability Set-Off Payment Balancing Amount” and </w:t>
      </w:r>
      <w:r w:rsidRPr="00DC11D0">
        <w:rPr>
          <w:i/>
        </w:rPr>
        <w:t>charge type</w:t>
      </w:r>
      <w:r>
        <w:t xml:space="preserve"> 1394 </w:t>
      </w:r>
      <w:r w:rsidRPr="007C27BA">
        <w:t>“</w:t>
      </w:r>
      <w:r>
        <w:t>Demand Response 3 Utilization Set-Off Payment Balancing Amount” to balance</w:t>
      </w:r>
      <w:r w:rsidRPr="00D62D3B">
        <w:t xml:space="preserve"> </w:t>
      </w:r>
      <w:r>
        <w:t>Performance Set-Off amounts.</w:t>
      </w:r>
    </w:p>
    <w:p w14:paraId="198AB14D" w14:textId="77777777" w:rsidR="007036DE" w:rsidRDefault="007036DE" w:rsidP="00C46412">
      <w:pPr>
        <w:pStyle w:val="Heading51"/>
      </w:pPr>
      <w:r>
        <w:t>Additional Availability Set</w:t>
      </w:r>
      <w:r w:rsidRPr="00781EC6">
        <w:t>-Offs</w:t>
      </w:r>
    </w:p>
    <w:p w14:paraId="78C086ED" w14:textId="77777777" w:rsidR="00A442B9" w:rsidRDefault="007036DE" w:rsidP="00A442B9">
      <w:pPr>
        <w:pStyle w:val="BodyText0"/>
        <w:spacing w:after="120"/>
      </w:pPr>
      <w:r>
        <w:t>In addition to the Performance Set-Offs described above wherein only the highest availability set-off amount shall be applied against your availability payment there are two availability set-offs that will be applied independently of whether or not other set-offs exist.</w:t>
      </w:r>
    </w:p>
    <w:p w14:paraId="0D052C89" w14:textId="77777777" w:rsidR="007036DE" w:rsidRDefault="007036DE" w:rsidP="00A442B9">
      <w:pPr>
        <w:pStyle w:val="BodyText0"/>
        <w:numPr>
          <w:ilvl w:val="0"/>
          <w:numId w:val="63"/>
        </w:numPr>
        <w:tabs>
          <w:tab w:val="clear" w:pos="1080"/>
          <w:tab w:val="num" w:pos="720"/>
        </w:tabs>
        <w:spacing w:after="120"/>
        <w:ind w:left="720"/>
      </w:pPr>
      <w:r>
        <w:rPr>
          <w:b/>
        </w:rPr>
        <w:t>Planned Non-Performance Availability Set-Off:</w:t>
      </w:r>
      <w:r>
        <w:t xml:space="preserve">  The Planned Non-Performance Availability Set-Off is calculated based on the impact to the </w:t>
      </w:r>
      <w:r w:rsidRPr="00DA3379">
        <w:rPr>
          <w:i/>
        </w:rPr>
        <w:t>electricity system</w:t>
      </w:r>
      <w:r>
        <w:t xml:space="preserve"> of a DR3 participant’s planned unavailability.  The severity of the set-off will depend on whether the participant would have been asked to curtail on the day they chose to be unavailable for </w:t>
      </w:r>
      <w:r w:rsidRPr="00DA3379">
        <w:rPr>
          <w:i/>
        </w:rPr>
        <w:t>curtailment</w:t>
      </w:r>
      <w:r>
        <w:t>.</w:t>
      </w:r>
    </w:p>
    <w:p w14:paraId="1A8A2FC1" w14:textId="77777777" w:rsidR="007036DE" w:rsidRPr="00AA60EC" w:rsidRDefault="007036DE" w:rsidP="00A442B9">
      <w:pPr>
        <w:pStyle w:val="BodyText0"/>
        <w:spacing w:after="120"/>
        <w:ind w:left="720"/>
      </w:pPr>
      <w:r>
        <w:t xml:space="preserve">We calculate the Planned Non-Performance Availability Set-Offs to be applied once a month at month-end as a manual line item for the last </w:t>
      </w:r>
      <w:r>
        <w:rPr>
          <w:i/>
        </w:rPr>
        <w:t>trading day</w:t>
      </w:r>
      <w:r>
        <w:t xml:space="preserve"> of the month.  We use </w:t>
      </w:r>
      <w:r w:rsidRPr="00AA60EC">
        <w:rPr>
          <w:i/>
        </w:rPr>
        <w:t>charge type</w:t>
      </w:r>
      <w:r w:rsidRPr="00AA60EC">
        <w:t xml:space="preserve"> 1345 “On behalf of </w:t>
      </w:r>
      <w:r w:rsidRPr="00AA60EC">
        <w:rPr>
          <w:i/>
        </w:rPr>
        <w:t xml:space="preserve">OPA </w:t>
      </w:r>
      <w:r w:rsidRPr="00AA60EC">
        <w:t xml:space="preserve">for the DR3 Program - Planned Non-Performance Event Set-Off Settlement Amt” to recover Availability Payments from participants.  We use </w:t>
      </w:r>
      <w:r w:rsidRPr="00AA60EC">
        <w:rPr>
          <w:i/>
        </w:rPr>
        <w:t>charge type</w:t>
      </w:r>
      <w:r w:rsidRPr="00AA60EC">
        <w:t xml:space="preserve"> 1395 “Demand Response 3 Planned Non-Performance Event Set-Off Balancing Amount” to balance Planned Non-Performance Set-Off amounts.</w:t>
      </w:r>
    </w:p>
    <w:p w14:paraId="4256CA7E" w14:textId="77777777" w:rsidR="007036DE" w:rsidRPr="00AA60EC" w:rsidRDefault="007036DE" w:rsidP="00A442B9">
      <w:pPr>
        <w:pStyle w:val="BodyText0"/>
        <w:numPr>
          <w:ilvl w:val="0"/>
          <w:numId w:val="63"/>
        </w:numPr>
        <w:tabs>
          <w:tab w:val="clear" w:pos="1080"/>
          <w:tab w:val="num" w:pos="720"/>
        </w:tabs>
        <w:spacing w:after="120"/>
        <w:ind w:left="720"/>
      </w:pPr>
      <w:r w:rsidRPr="00AA60EC">
        <w:rPr>
          <w:b/>
        </w:rPr>
        <w:t>Meter Data Set-Off:</w:t>
      </w:r>
      <w:r w:rsidRPr="00AA60EC">
        <w:t xml:space="preserve">  The Meter Data Set-Off will be applied against the Availability Payment if a complete set of weekly data for a Settlement Account is not received by the </w:t>
      </w:r>
      <w:r w:rsidRPr="00AA60EC">
        <w:rPr>
          <w:i/>
        </w:rPr>
        <w:t>IESO</w:t>
      </w:r>
      <w:r w:rsidRPr="00AA60EC">
        <w:t xml:space="preserve"> by 15:00 EST of the first </w:t>
      </w:r>
      <w:r w:rsidRPr="00AA60EC">
        <w:rPr>
          <w:i/>
        </w:rPr>
        <w:t>business day</w:t>
      </w:r>
      <w:r w:rsidRPr="00AA60EC">
        <w:t xml:space="preserve"> of the following week.  The amount of the Set-Off for the first occurrence will be 20% of the Availability Payment prorated for the week and will increase in severity thereafter.</w:t>
      </w:r>
    </w:p>
    <w:p w14:paraId="16A31346" w14:textId="77777777" w:rsidR="007036DE" w:rsidRDefault="007036DE" w:rsidP="00A442B9">
      <w:pPr>
        <w:pStyle w:val="BodyText0"/>
        <w:tabs>
          <w:tab w:val="left" w:pos="720"/>
        </w:tabs>
        <w:ind w:left="720"/>
      </w:pPr>
      <w:r w:rsidRPr="00AA60EC">
        <w:t xml:space="preserve">We use </w:t>
      </w:r>
      <w:r w:rsidRPr="00AA60EC">
        <w:rPr>
          <w:i/>
        </w:rPr>
        <w:t>charge type</w:t>
      </w:r>
      <w:r w:rsidRPr="00AA60EC">
        <w:t xml:space="preserve"> 1346 “On behalf of </w:t>
      </w:r>
      <w:r w:rsidRPr="00AA60EC">
        <w:rPr>
          <w:i/>
        </w:rPr>
        <w:t xml:space="preserve">OPA </w:t>
      </w:r>
      <w:r w:rsidRPr="00AA60EC">
        <w:t>for the DR3 Program - Meter Data Set-Off Settlement Amount</w:t>
      </w:r>
      <w:r>
        <w:t xml:space="preserve">” to recover Availability Payments from participants.  Meter Data that is not received by the fourth week after the deadline shall be considered to be a Performance Breach.  We use </w:t>
      </w:r>
      <w:r>
        <w:rPr>
          <w:i/>
        </w:rPr>
        <w:t>charge type</w:t>
      </w:r>
      <w:r>
        <w:t xml:space="preserve"> 1396 “Demand Response 3 Meter Data Set-Off Balancing Amount” to balance Meter Data Set-Off amounts.</w:t>
      </w:r>
    </w:p>
    <w:p w14:paraId="0927338F" w14:textId="77777777" w:rsidR="007036DE" w:rsidRPr="007C27BA" w:rsidRDefault="007036DE" w:rsidP="007036DE">
      <w:pPr>
        <w:pStyle w:val="AppendixHead3"/>
      </w:pPr>
      <w:r w:rsidRPr="007C27BA">
        <w:t>Breach of Contract</w:t>
      </w:r>
    </w:p>
    <w:p w14:paraId="3FF1A13B" w14:textId="77777777" w:rsidR="007036DE" w:rsidRDefault="007036DE" w:rsidP="007036DE">
      <w:pPr>
        <w:pStyle w:val="BodyText"/>
      </w:pPr>
      <w:r>
        <w:t xml:space="preserve">Material Non-Performance Events leading to a Performance Breach are described in the DR3 Program Rules in Section 5.4.  </w:t>
      </w:r>
      <w:r w:rsidRPr="00F430DB">
        <w:t xml:space="preserve">In the event of </w:t>
      </w:r>
      <w:r>
        <w:t>a</w:t>
      </w:r>
      <w:r w:rsidRPr="00F430DB">
        <w:t xml:space="preserve"> Performance Breach</w:t>
      </w:r>
      <w:r>
        <w:t>,</w:t>
      </w:r>
      <w:r w:rsidRPr="00F430DB">
        <w:t xml:space="preserve"> the Availability Payment for the Contract Month following the month in which</w:t>
      </w:r>
      <w:r>
        <w:t xml:space="preserve"> the Performance Breach occurs</w:t>
      </w:r>
      <w:r w:rsidRPr="00F430DB">
        <w:t xml:space="preserve"> shall be </w:t>
      </w:r>
      <w:r>
        <w:t>withheld.</w:t>
      </w:r>
    </w:p>
    <w:p w14:paraId="33C33BB0" w14:textId="77777777" w:rsidR="007036DE" w:rsidRDefault="007036DE" w:rsidP="007036DE">
      <w:pPr>
        <w:pStyle w:val="BodyText"/>
      </w:pPr>
      <w:r>
        <w:t xml:space="preserve">For further details with respect to breaches in performance, refer to your </w:t>
      </w:r>
      <w:r w:rsidRPr="001C6E25">
        <w:rPr>
          <w:i/>
        </w:rPr>
        <w:t>OPA</w:t>
      </w:r>
      <w:r>
        <w:t xml:space="preserve"> </w:t>
      </w:r>
      <w:r w:rsidRPr="007C27BA">
        <w:t>DR3</w:t>
      </w:r>
      <w:r>
        <w:t xml:space="preserve"> Contract</w:t>
      </w:r>
      <w:r w:rsidRPr="00F430DB">
        <w:t>.</w:t>
      </w:r>
    </w:p>
    <w:p w14:paraId="63D58DF3" w14:textId="77777777" w:rsidR="007036DE" w:rsidRDefault="007036DE" w:rsidP="007036DE">
      <w:pPr>
        <w:pStyle w:val="AppendixHead2"/>
      </w:pPr>
      <w:r>
        <w:t>OPA’s Demand Response (DR2) Program</w:t>
      </w:r>
      <w:r w:rsidRPr="00E305AB">
        <w:rPr>
          <w:rStyle w:val="FootnoteReference"/>
          <w:sz w:val="22"/>
          <w:szCs w:val="22"/>
        </w:rPr>
        <w:footnoteReference w:id="53"/>
      </w:r>
    </w:p>
    <w:p w14:paraId="12B39A44" w14:textId="77777777" w:rsidR="007036DE" w:rsidRDefault="007036DE" w:rsidP="007036DE">
      <w:pPr>
        <w:pStyle w:val="BodyText"/>
      </w:pPr>
      <w:r>
        <w:t xml:space="preserve">The </w:t>
      </w:r>
      <w:r w:rsidR="007815E3">
        <w:rPr>
          <w:i/>
        </w:rPr>
        <w:t>IESO</w:t>
      </w:r>
      <w:r>
        <w:t xml:space="preserve"> implement</w:t>
      </w:r>
      <w:r w:rsidR="007815E3">
        <w:t>ed</w:t>
      </w:r>
      <w:r>
        <w:t xml:space="preserve"> a contractual load shifting program for participants who are capable of shifting a load of between 5.0 MW and 125.0 MW from the On-Peak Period to the off-peak period.  Participants in DR2 will choose to load shift</w:t>
      </w:r>
      <w:r w:rsidRPr="009746DD">
        <w:t xml:space="preserve"> </w:t>
      </w:r>
      <w:r>
        <w:t>for a four to twelve hour period.</w:t>
      </w:r>
    </w:p>
    <w:p w14:paraId="0F31E744" w14:textId="77777777" w:rsidR="007036DE" w:rsidRDefault="007036DE" w:rsidP="007036DE">
      <w:pPr>
        <w:pStyle w:val="BodyText"/>
      </w:pPr>
      <w:r>
        <w:rPr>
          <w:szCs w:val="22"/>
        </w:rPr>
        <w:t xml:space="preserve">This section sets out how the </w:t>
      </w:r>
      <w:r w:rsidRPr="00BE4221">
        <w:rPr>
          <w:i/>
          <w:szCs w:val="22"/>
        </w:rPr>
        <w:t>IESO</w:t>
      </w:r>
      <w:r>
        <w:rPr>
          <w:szCs w:val="22"/>
        </w:rPr>
        <w:t xml:space="preserve"> settles the DR2 Program. To the extent of any inconsistency between the provisions of the DR2 Program rules and this section, the DR2 Program rules shall govern.</w:t>
      </w:r>
    </w:p>
    <w:p w14:paraId="0881D6E6" w14:textId="77777777" w:rsidR="007036DE" w:rsidRDefault="007036DE" w:rsidP="007036DE">
      <w:pPr>
        <w:pStyle w:val="BodyText"/>
      </w:pPr>
      <w:r>
        <w:t>The On-Peak Period refers to the hours between 7:00 am and 7:00 pm EPT</w:t>
      </w:r>
      <w:r w:rsidRPr="009B32A1">
        <w:t xml:space="preserve"> </w:t>
      </w:r>
      <w:r>
        <w:rPr>
          <w:rStyle w:val="FootnoteReference"/>
        </w:rPr>
        <w:footnoteReference w:id="54"/>
      </w:r>
      <w:r w:rsidRPr="009B32A1">
        <w:t xml:space="preserve"> </w:t>
      </w:r>
      <w:r>
        <w:t xml:space="preserve">during business days only.  You may select a time period of four to twelve consecutive hours for your “On-Peak Contract Period”.  Refer to the </w:t>
      </w:r>
      <w:r w:rsidRPr="005B4048">
        <w:rPr>
          <w:i/>
        </w:rPr>
        <w:t>OPA</w:t>
      </w:r>
      <w:r>
        <w:t>’s DR2 Program Rules for full details.</w:t>
      </w:r>
    </w:p>
    <w:p w14:paraId="781DFC0F" w14:textId="77777777" w:rsidR="007036DE" w:rsidRDefault="007036DE" w:rsidP="007036DE">
      <w:pPr>
        <w:pStyle w:val="BodyText"/>
      </w:pPr>
      <w:r>
        <w:t xml:space="preserve">As a DR2 participant, you are paid a monthly Availability Payment for being available for load shifting.  In addition to the Availability Payment, you are also entitled to Utilization Payments when your </w:t>
      </w:r>
      <w:r w:rsidRPr="00DA3379">
        <w:rPr>
          <w:i/>
        </w:rPr>
        <w:t>energy</w:t>
      </w:r>
      <w:r>
        <w:t xml:space="preserve"> savings from load shifting are less than the guaranteed </w:t>
      </w:r>
      <w:r w:rsidRPr="00DA3379">
        <w:rPr>
          <w:i/>
        </w:rPr>
        <w:t>energy</w:t>
      </w:r>
      <w:r>
        <w:t xml:space="preserve"> savings threshold set by the </w:t>
      </w:r>
      <w:r w:rsidRPr="00DA3379">
        <w:rPr>
          <w:i/>
        </w:rPr>
        <w:t>OPA</w:t>
      </w:r>
      <w:r>
        <w:t xml:space="preserve">.  The </w:t>
      </w:r>
      <w:r w:rsidRPr="00DA3379">
        <w:rPr>
          <w:i/>
        </w:rPr>
        <w:t>OPA</w:t>
      </w:r>
      <w:r>
        <w:t xml:space="preserve"> will publish, from time to time, the minimum weekly </w:t>
      </w:r>
      <w:r w:rsidRPr="00DA3379">
        <w:rPr>
          <w:i/>
        </w:rPr>
        <w:t>HOEP</w:t>
      </w:r>
      <w:r>
        <w:t xml:space="preserve"> differential rates between each hour on-peak and the average off-peak price.</w:t>
      </w:r>
    </w:p>
    <w:p w14:paraId="315BC8BB" w14:textId="77777777" w:rsidR="007036DE" w:rsidRDefault="007036DE" w:rsidP="007036DE">
      <w:pPr>
        <w:pStyle w:val="BodyText"/>
      </w:pPr>
      <w:r>
        <w:t xml:space="preserve">As a DR2 participant, you are obliged under your contract with the </w:t>
      </w:r>
      <w:r w:rsidRPr="00DA3379">
        <w:rPr>
          <w:i/>
        </w:rPr>
        <w:t>OPA</w:t>
      </w:r>
      <w:r>
        <w:t xml:space="preserve">, to load shift according to your DR2 Schedule(s).  Each DR2 Schedule specifies the quantity of MW that you have contracted to load shift, your on-peak contract period, the term of the schedule (one, three or five years), and the relevant </w:t>
      </w:r>
      <w:r w:rsidRPr="00DA3379">
        <w:rPr>
          <w:i/>
        </w:rPr>
        <w:t>settlement</w:t>
      </w:r>
      <w:r>
        <w:t xml:space="preserve"> account to be used for the purposes of </w:t>
      </w:r>
      <w:r w:rsidRPr="00DA3379">
        <w:rPr>
          <w:i/>
        </w:rPr>
        <w:t>settlement</w:t>
      </w:r>
      <w:r>
        <w:t xml:space="preserve">.  The </w:t>
      </w:r>
      <w:r w:rsidRPr="00DA3379">
        <w:rPr>
          <w:i/>
        </w:rPr>
        <w:t>settlements</w:t>
      </w:r>
      <w:r>
        <w:t xml:space="preserve"> of DR2 Schedules are based on the total contracted MW for all DR2 Schedules at the same </w:t>
      </w:r>
      <w:r w:rsidRPr="00DA3379">
        <w:rPr>
          <w:i/>
        </w:rPr>
        <w:t xml:space="preserve">settlement </w:t>
      </w:r>
      <w:r>
        <w:t>account and the applicable compensation rates.</w:t>
      </w:r>
    </w:p>
    <w:p w14:paraId="29307C63" w14:textId="77777777" w:rsidR="007036DE" w:rsidRDefault="007036DE" w:rsidP="007036DE">
      <w:pPr>
        <w:pStyle w:val="BodyText"/>
      </w:pPr>
      <w:r w:rsidRPr="00DA3379">
        <w:rPr>
          <w:i/>
        </w:rPr>
        <w:t>Settlement</w:t>
      </w:r>
      <w:r>
        <w:t xml:space="preserve"> payments are subject to Performance Set-Offs for both Availability and Utilization for failure to comply with DR2 Contract terms including:</w:t>
      </w:r>
    </w:p>
    <w:p w14:paraId="44209C42" w14:textId="77777777" w:rsidR="007036DE" w:rsidRDefault="007036DE" w:rsidP="007036DE">
      <w:pPr>
        <w:pStyle w:val="BodyText"/>
        <w:numPr>
          <w:ilvl w:val="0"/>
          <w:numId w:val="60"/>
        </w:numPr>
      </w:pPr>
      <w:r>
        <w:t>maintaining a Required Reliability Ratio of at least 90% during the shoulder seasons and at least 95% during the summer and winter seasons;</w:t>
      </w:r>
    </w:p>
    <w:p w14:paraId="321775F5" w14:textId="77777777" w:rsidR="007036DE" w:rsidRDefault="007036DE" w:rsidP="007036DE">
      <w:pPr>
        <w:pStyle w:val="BodyText"/>
        <w:numPr>
          <w:ilvl w:val="0"/>
          <w:numId w:val="60"/>
        </w:numPr>
      </w:pPr>
      <w:r>
        <w:t>f</w:t>
      </w:r>
      <w:r w:rsidRPr="00EA5D54">
        <w:t>ailing to confirm, or confirming late, as required by us; or</w:t>
      </w:r>
    </w:p>
    <w:p w14:paraId="4914F3A6" w14:textId="77777777" w:rsidR="007036DE" w:rsidRDefault="007036DE" w:rsidP="007036DE">
      <w:pPr>
        <w:pStyle w:val="BodyText"/>
        <w:numPr>
          <w:ilvl w:val="0"/>
          <w:numId w:val="60"/>
        </w:numPr>
      </w:pPr>
      <w:r>
        <w:t>confirming less than 90% during the shoulder seasons and 95% during the summer and winter seasons</w:t>
      </w:r>
      <w:r w:rsidRPr="007C27BA">
        <w:t xml:space="preserve"> of the contacted MW for a</w:t>
      </w:r>
      <w:r>
        <w:t>n</w:t>
      </w:r>
      <w:r w:rsidRPr="007C27BA">
        <w:t xml:space="preserve"> </w:t>
      </w:r>
      <w:r>
        <w:t>h</w:t>
      </w:r>
      <w:r w:rsidRPr="007C27BA">
        <w:t>our</w:t>
      </w:r>
      <w:r>
        <w:t>.</w:t>
      </w:r>
    </w:p>
    <w:p w14:paraId="43D3F142" w14:textId="77777777" w:rsidR="007036DE" w:rsidRDefault="007036DE" w:rsidP="007036DE">
      <w:pPr>
        <w:pStyle w:val="BodyText"/>
      </w:pPr>
      <w:r>
        <w:t>Additionally, DR2 participants will be subject to an Availability Payment Set-Off for:</w:t>
      </w:r>
    </w:p>
    <w:p w14:paraId="34DB5588" w14:textId="77777777" w:rsidR="007036DE" w:rsidRDefault="007036DE" w:rsidP="007036DE">
      <w:pPr>
        <w:pStyle w:val="BodyText"/>
        <w:numPr>
          <w:ilvl w:val="0"/>
          <w:numId w:val="64"/>
        </w:numPr>
        <w:tabs>
          <w:tab w:val="clear" w:pos="1080"/>
          <w:tab w:val="num" w:pos="900"/>
        </w:tabs>
        <w:ind w:left="900"/>
      </w:pPr>
      <w:r>
        <w:t>any days that they declare a planned non-performance event; or</w:t>
      </w:r>
    </w:p>
    <w:p w14:paraId="5D6D131A" w14:textId="77777777" w:rsidR="007036DE" w:rsidRDefault="007036DE" w:rsidP="007036DE">
      <w:pPr>
        <w:pStyle w:val="BodyText"/>
        <w:numPr>
          <w:ilvl w:val="0"/>
          <w:numId w:val="64"/>
        </w:numPr>
        <w:tabs>
          <w:tab w:val="clear" w:pos="1080"/>
          <w:tab w:val="num" w:pos="900"/>
        </w:tabs>
        <w:ind w:left="900"/>
      </w:pPr>
      <w:r>
        <w:t xml:space="preserve">failing to deliver </w:t>
      </w:r>
      <w:r w:rsidRPr="00DA3379">
        <w:rPr>
          <w:i/>
        </w:rPr>
        <w:t>meter</w:t>
      </w:r>
      <w:r>
        <w:t xml:space="preserve"> data in a timely manner.</w:t>
      </w:r>
    </w:p>
    <w:p w14:paraId="3C82BE56" w14:textId="77777777" w:rsidR="007036DE" w:rsidRDefault="007036DE" w:rsidP="007036DE">
      <w:pPr>
        <w:pStyle w:val="BodyText"/>
      </w:pPr>
      <w:r>
        <w:t>Note:</w:t>
      </w:r>
      <w:r>
        <w:tab/>
      </w:r>
      <w:r w:rsidRPr="00DA3379">
        <w:rPr>
          <w:i/>
        </w:rPr>
        <w:t>Generation</w:t>
      </w:r>
      <w:r>
        <w:t xml:space="preserve"> is not permitted as a means of contributing towards load shifting under DR2.</w:t>
      </w:r>
    </w:p>
    <w:p w14:paraId="7ECCC6AD" w14:textId="77777777" w:rsidR="007036DE" w:rsidRPr="003C308A" w:rsidRDefault="007036DE" w:rsidP="007036DE">
      <w:pPr>
        <w:pStyle w:val="AppendixHead3"/>
      </w:pPr>
      <w:r w:rsidRPr="003C308A">
        <w:t>Settlement of Demand Response Payments</w:t>
      </w:r>
    </w:p>
    <w:p w14:paraId="10EEC819" w14:textId="0DB820A5" w:rsidR="007036DE" w:rsidRPr="003C308A" w:rsidRDefault="007036DE" w:rsidP="00C46412">
      <w:pPr>
        <w:pStyle w:val="Heading51"/>
      </w:pPr>
      <w:r w:rsidRPr="003C308A">
        <w:t xml:space="preserve">How Availability Payments </w:t>
      </w:r>
      <w:r w:rsidR="00C46412">
        <w:t>A</w:t>
      </w:r>
      <w:r w:rsidRPr="003C308A">
        <w:t>re Settled</w:t>
      </w:r>
    </w:p>
    <w:p w14:paraId="337F1444" w14:textId="77777777" w:rsidR="007036DE" w:rsidRDefault="007036DE" w:rsidP="007036DE">
      <w:pPr>
        <w:pStyle w:val="BodyText"/>
      </w:pPr>
      <w:r>
        <w:t>Each month, you will receive an Availability Payment for each Settlement Account based on your Contracted MWs and the Availability Rate</w:t>
      </w:r>
      <w:r w:rsidRPr="0003384B">
        <w:t xml:space="preserve"> </w:t>
      </w:r>
      <w:r>
        <w:t>as described in the DR2 Program Rules.  Should a participant have multiple DR2 Schedules for the same Settlement Account, the Availability Rate applicable is the weighted average of the availability rates for all of the DR2 Schedules and similarly, the Contracted MWs are the sum total of all your contract schedules.</w:t>
      </w:r>
    </w:p>
    <w:p w14:paraId="2D393C7C" w14:textId="77777777" w:rsidR="007036DE" w:rsidRPr="006464A0" w:rsidRDefault="007036DE" w:rsidP="007036DE">
      <w:pPr>
        <w:pStyle w:val="BodyText"/>
      </w:pPr>
      <w:r>
        <w:t>We calculate Availability Payments once a month in the month following the contract month and apply them as a manual line item to the last</w:t>
      </w:r>
      <w:r>
        <w:rPr>
          <w:i/>
        </w:rPr>
        <w:t xml:space="preserve"> trading day</w:t>
      </w:r>
      <w:r>
        <w:t xml:space="preserve"> of the month following the contract month.  </w:t>
      </w:r>
      <w:r w:rsidRPr="006464A0">
        <w:t xml:space="preserve">We use </w:t>
      </w:r>
      <w:r w:rsidRPr="006464A0">
        <w:rPr>
          <w:i/>
        </w:rPr>
        <w:t>charge type</w:t>
      </w:r>
      <w:r w:rsidRPr="006464A0">
        <w:t xml:space="preserve"> 1330 “</w:t>
      </w:r>
      <w:r>
        <w:t xml:space="preserve">On behalf of </w:t>
      </w:r>
      <w:r w:rsidRPr="00DC0E09">
        <w:rPr>
          <w:i/>
        </w:rPr>
        <w:t>OPA</w:t>
      </w:r>
      <w:r>
        <w:t xml:space="preserve"> for the DR2 Program - </w:t>
      </w:r>
      <w:r w:rsidRPr="006464A0">
        <w:t>Availability Payment Settlement Amount” for Availability Payments to participants.</w:t>
      </w:r>
      <w:r w:rsidRPr="006464A0">
        <w:rPr>
          <w:rStyle w:val="FootnoteReference"/>
        </w:rPr>
        <w:footnoteReference w:id="55"/>
      </w:r>
    </w:p>
    <w:p w14:paraId="07D23B57" w14:textId="77777777" w:rsidR="007036DE" w:rsidRPr="006464A0" w:rsidRDefault="007036DE" w:rsidP="007036DE">
      <w:pPr>
        <w:pStyle w:val="BodyText"/>
      </w:pPr>
      <w:r w:rsidRPr="006464A0">
        <w:t xml:space="preserve">Where you have multiple DR2 Schedules at a given Settlement Account, these DR2 Schedules are aggregated into one manual line item for </w:t>
      </w:r>
      <w:r w:rsidRPr="00DC0E09">
        <w:rPr>
          <w:i/>
        </w:rPr>
        <w:t>settlement</w:t>
      </w:r>
      <w:r w:rsidRPr="006464A0">
        <w:t xml:space="preserve"> purposes.</w:t>
      </w:r>
    </w:p>
    <w:p w14:paraId="273B275D" w14:textId="77777777" w:rsidR="007036DE" w:rsidRDefault="007036DE" w:rsidP="007036DE">
      <w:pPr>
        <w:pStyle w:val="BodyText"/>
      </w:pPr>
      <w:r w:rsidRPr="006464A0">
        <w:t xml:space="preserve">We recover </w:t>
      </w:r>
      <w:r>
        <w:t>availability</w:t>
      </w:r>
      <w:r w:rsidRPr="006464A0">
        <w:t xml:space="preserve"> payments through </w:t>
      </w:r>
      <w:r w:rsidRPr="006464A0">
        <w:rPr>
          <w:i/>
        </w:rPr>
        <w:t>charge type</w:t>
      </w:r>
      <w:r w:rsidRPr="006464A0">
        <w:t xml:space="preserve"> 1380 “Demand Response 2 Availability Payment Balancing Amount”.</w:t>
      </w:r>
    </w:p>
    <w:p w14:paraId="2361DB73" w14:textId="6BC90B64" w:rsidR="007036DE" w:rsidRPr="006464A0" w:rsidRDefault="007036DE" w:rsidP="00C46412">
      <w:pPr>
        <w:pStyle w:val="Heading51"/>
      </w:pPr>
      <w:r w:rsidRPr="006464A0">
        <w:t xml:space="preserve">How Utilization Payments </w:t>
      </w:r>
      <w:r w:rsidR="00C46412">
        <w:t>A</w:t>
      </w:r>
      <w:r w:rsidRPr="006464A0">
        <w:t>re Settled</w:t>
      </w:r>
    </w:p>
    <w:p w14:paraId="7C2C9B3F" w14:textId="77777777" w:rsidR="007036DE" w:rsidRPr="006464A0" w:rsidRDefault="007036DE" w:rsidP="007036DE">
      <w:pPr>
        <w:pStyle w:val="BodyText"/>
      </w:pPr>
      <w:r w:rsidRPr="006464A0">
        <w:t xml:space="preserve">In addition to your monthly availability payment, you are entitled to receive a Utilization Payment if your weekly </w:t>
      </w:r>
      <w:r w:rsidRPr="00DA3379">
        <w:rPr>
          <w:i/>
        </w:rPr>
        <w:t>energy</w:t>
      </w:r>
      <w:r w:rsidRPr="006464A0">
        <w:t xml:space="preserve"> savings are less than the guaranteed minimum amount published by the </w:t>
      </w:r>
      <w:r w:rsidRPr="00DA3379">
        <w:rPr>
          <w:i/>
        </w:rPr>
        <w:t>OPA</w:t>
      </w:r>
      <w:r w:rsidRPr="006464A0">
        <w:t xml:space="preserve">.  The payment is based on your actual load reduction during each On-Peak contract </w:t>
      </w:r>
      <w:r>
        <w:t>period</w:t>
      </w:r>
      <w:r w:rsidRPr="006464A0">
        <w:t>, and the difference between the Minimum Weekly HOEP Differential Rate and the Actual Weekly HOEP Differential.</w:t>
      </w:r>
    </w:p>
    <w:p w14:paraId="564CC33C" w14:textId="77777777" w:rsidR="007036DE" w:rsidRPr="006464A0" w:rsidRDefault="007036DE" w:rsidP="007036DE">
      <w:pPr>
        <w:pStyle w:val="BodyText"/>
      </w:pPr>
      <w:r w:rsidRPr="006464A0">
        <w:t>Utilization Payments are limited to the lesser of the confirmed MWhs or actual load reduction up to the total contracted MWhs.</w:t>
      </w:r>
    </w:p>
    <w:p w14:paraId="59EABEAB" w14:textId="77777777" w:rsidR="007036DE" w:rsidRPr="006464A0" w:rsidRDefault="007036DE" w:rsidP="007036DE">
      <w:pPr>
        <w:pStyle w:val="BodyText"/>
      </w:pPr>
      <w:r w:rsidRPr="006464A0">
        <w:t xml:space="preserve">We calculate Utilization Payments once a month in the month following the contract month and apply them as a manual item to the last </w:t>
      </w:r>
      <w:r w:rsidRPr="006464A0">
        <w:rPr>
          <w:i/>
        </w:rPr>
        <w:t>trading day</w:t>
      </w:r>
      <w:r w:rsidRPr="006464A0">
        <w:t xml:space="preserve"> of the month following the contract month.  We use </w:t>
      </w:r>
      <w:r w:rsidRPr="006464A0">
        <w:rPr>
          <w:i/>
        </w:rPr>
        <w:t>charge type</w:t>
      </w:r>
      <w:r w:rsidRPr="006464A0">
        <w:t xml:space="preserve"> 1332 “</w:t>
      </w:r>
      <w:r>
        <w:t xml:space="preserve">On behalf of </w:t>
      </w:r>
      <w:r w:rsidRPr="00DC0E09">
        <w:rPr>
          <w:i/>
        </w:rPr>
        <w:t>OPA</w:t>
      </w:r>
      <w:r>
        <w:t xml:space="preserve"> for the DR2 Program - </w:t>
      </w:r>
      <w:r w:rsidRPr="006464A0">
        <w:t>Utilization Payment Settlement Amount” for Utilization Payments to participants.</w:t>
      </w:r>
      <w:r w:rsidRPr="006464A0">
        <w:rPr>
          <w:rStyle w:val="FootnoteReference"/>
        </w:rPr>
        <w:footnoteReference w:id="56"/>
      </w:r>
    </w:p>
    <w:p w14:paraId="1DA19937" w14:textId="77777777" w:rsidR="007036DE" w:rsidRPr="001B4599" w:rsidRDefault="007036DE" w:rsidP="007036DE">
      <w:pPr>
        <w:pStyle w:val="BodyText"/>
      </w:pPr>
      <w:r w:rsidRPr="006464A0">
        <w:t xml:space="preserve">We recover </w:t>
      </w:r>
      <w:r>
        <w:t xml:space="preserve">utilization </w:t>
      </w:r>
      <w:r w:rsidRPr="006464A0">
        <w:t xml:space="preserve">payment through </w:t>
      </w:r>
      <w:r w:rsidRPr="006464A0">
        <w:rPr>
          <w:i/>
        </w:rPr>
        <w:t>charge type</w:t>
      </w:r>
      <w:r w:rsidRPr="006464A0">
        <w:t xml:space="preserve"> 1382 “Demand Response 2 Utilization Payment</w:t>
      </w:r>
      <w:r>
        <w:t xml:space="preserve"> Balancing Amount”.</w:t>
      </w:r>
    </w:p>
    <w:p w14:paraId="5B7F8674" w14:textId="77777777" w:rsidR="007036DE" w:rsidRPr="00C961CF" w:rsidRDefault="007036DE" w:rsidP="00C46412">
      <w:pPr>
        <w:pStyle w:val="Heading51"/>
      </w:pPr>
      <w:r w:rsidRPr="00C961CF">
        <w:t>How We Process Your Meter Data</w:t>
      </w:r>
    </w:p>
    <w:p w14:paraId="4656082D" w14:textId="77777777" w:rsidR="007036DE" w:rsidRDefault="007036DE" w:rsidP="007036DE">
      <w:pPr>
        <w:pStyle w:val="BodyText"/>
      </w:pPr>
      <w:r w:rsidRPr="006464A0">
        <w:t xml:space="preserve">As part of the DR2 application, participants must submit a Measurement &amp; Verification Plan (M&amp;V Plan) for each Settlement Account.  Load shifting is determined by comparing your actual on-peak consumption to your baseline consumption.  The calculation of your baseline is described in the </w:t>
      </w:r>
      <w:r w:rsidRPr="006464A0">
        <w:rPr>
          <w:i/>
        </w:rPr>
        <w:t xml:space="preserve">OPA </w:t>
      </w:r>
      <w:r w:rsidRPr="006464A0">
        <w:t>DR2 Program Rules.</w:t>
      </w:r>
    </w:p>
    <w:p w14:paraId="6D847FBC" w14:textId="77777777" w:rsidR="007036DE" w:rsidRDefault="007036DE" w:rsidP="007036DE">
      <w:pPr>
        <w:pStyle w:val="BodyText"/>
      </w:pPr>
      <w:r>
        <w:t xml:space="preserve">All load shifting must be metered using wholesale or retail revenue meters that meet Measurement Canada standards.  For DR2 participants that are not </w:t>
      </w:r>
      <w:r w:rsidRPr="00DC0E09">
        <w:rPr>
          <w:i/>
        </w:rPr>
        <w:t>IESO</w:t>
      </w:r>
      <w:r>
        <w:t xml:space="preserve"> </w:t>
      </w:r>
      <w:r w:rsidRPr="00DA3379">
        <w:rPr>
          <w:i/>
        </w:rPr>
        <w:t>administered market participants</w:t>
      </w:r>
      <w:r>
        <w:t>, we will use:</w:t>
      </w:r>
    </w:p>
    <w:p w14:paraId="0F2543E3" w14:textId="77777777" w:rsidR="007036DE" w:rsidRDefault="007036DE" w:rsidP="007036DE">
      <w:pPr>
        <w:pStyle w:val="BodyText"/>
        <w:numPr>
          <w:ilvl w:val="0"/>
          <w:numId w:val="61"/>
        </w:numPr>
      </w:pPr>
      <w:r>
        <w:t xml:space="preserve">your retail revenue hourly </w:t>
      </w:r>
      <w:r w:rsidRPr="00CC00BC">
        <w:rPr>
          <w:i/>
        </w:rPr>
        <w:t>meter</w:t>
      </w:r>
      <w:r>
        <w:t xml:space="preserve"> data submitted by 15:00 EST on the first </w:t>
      </w:r>
      <w:r>
        <w:rPr>
          <w:i/>
        </w:rPr>
        <w:t>business day</w:t>
      </w:r>
      <w:r>
        <w:t xml:space="preserve"> of the following week; and</w:t>
      </w:r>
    </w:p>
    <w:p w14:paraId="23AA2738" w14:textId="77777777" w:rsidR="007036DE" w:rsidRDefault="007036DE" w:rsidP="007036DE">
      <w:pPr>
        <w:pStyle w:val="BodyText"/>
        <w:numPr>
          <w:ilvl w:val="0"/>
          <w:numId w:val="61"/>
        </w:numPr>
      </w:pPr>
      <w:r>
        <w:t xml:space="preserve">revisions to the metering data received by 15:00 EST on the last </w:t>
      </w:r>
      <w:r>
        <w:rPr>
          <w:i/>
        </w:rPr>
        <w:t>business day</w:t>
      </w:r>
      <w:r>
        <w:t xml:space="preserve"> of the contract month following the event.</w:t>
      </w:r>
    </w:p>
    <w:p w14:paraId="51AF5B52" w14:textId="77777777" w:rsidR="007036DE" w:rsidRDefault="007036DE" w:rsidP="007036DE">
      <w:pPr>
        <w:pStyle w:val="BodyText"/>
      </w:pPr>
      <w:r>
        <w:t xml:space="preserve">For DR2 </w:t>
      </w:r>
      <w:r w:rsidRPr="00DA3379">
        <w:rPr>
          <w:i/>
        </w:rPr>
        <w:t>participants</w:t>
      </w:r>
      <w:r>
        <w:t xml:space="preserve"> that are </w:t>
      </w:r>
      <w:r w:rsidRPr="00DA3379">
        <w:rPr>
          <w:i/>
        </w:rPr>
        <w:t>market participants</w:t>
      </w:r>
      <w:r>
        <w:t xml:space="preserve">, we will use your revenue metering data that we’ve collected as part of our market </w:t>
      </w:r>
      <w:r w:rsidRPr="00DC0E09">
        <w:rPr>
          <w:i/>
        </w:rPr>
        <w:t>settlement</w:t>
      </w:r>
      <w:r>
        <w:t xml:space="preserve"> process.</w:t>
      </w:r>
    </w:p>
    <w:p w14:paraId="4F4F39AC" w14:textId="77777777" w:rsidR="007036DE" w:rsidRPr="00FB4EE9" w:rsidRDefault="007036DE" w:rsidP="007036DE">
      <w:pPr>
        <w:pStyle w:val="BodyText"/>
      </w:pPr>
      <w:r>
        <w:t xml:space="preserve">We verify the actual </w:t>
      </w:r>
      <w:r>
        <w:rPr>
          <w:i/>
        </w:rPr>
        <w:t>metering data</w:t>
      </w:r>
      <w:r>
        <w:t xml:space="preserve"> against the M&amp;V Plan and our calculations.</w:t>
      </w:r>
    </w:p>
    <w:p w14:paraId="2D645001" w14:textId="77777777" w:rsidR="007036DE" w:rsidRPr="008511C0" w:rsidRDefault="007036DE" w:rsidP="00C46412">
      <w:pPr>
        <w:pStyle w:val="Heading51"/>
      </w:pPr>
      <w:r w:rsidRPr="008511C0">
        <w:t>Calculating Performance Set-Offs</w:t>
      </w:r>
    </w:p>
    <w:p w14:paraId="7C5E0C01" w14:textId="77777777" w:rsidR="007036DE" w:rsidRDefault="007036DE" w:rsidP="007036DE">
      <w:pPr>
        <w:pStyle w:val="BodyText"/>
      </w:pPr>
      <w:r>
        <w:t>Shifting load from the On-Peak Contract Period to the Off-Peak Period is a contractual obligation and subject to performance criteria.  Performance criteria consist of:</w:t>
      </w:r>
    </w:p>
    <w:p w14:paraId="3EFF73CE" w14:textId="77777777" w:rsidR="007036DE" w:rsidRDefault="007036DE" w:rsidP="007036DE">
      <w:pPr>
        <w:pStyle w:val="BodyText"/>
        <w:numPr>
          <w:ilvl w:val="0"/>
          <w:numId w:val="62"/>
        </w:numPr>
      </w:pPr>
      <w:r w:rsidRPr="00BF33F3">
        <w:rPr>
          <w:b/>
        </w:rPr>
        <w:t>Reliability</w:t>
      </w:r>
      <w:r>
        <w:t>:  You are required to provide a minimum level of reliability with respect to load shifting of 95% during the summer and winter seasons and 90% during the Shoulder Seasons.  This applies to each Settlement Account for both an Actual MW Reliability Ratio for each On-Peak Contract hour and an Actual MWh Reliability Ratio for each On-Peak Contract Period.  Any reliability ratios less than the seasonal rates of 95% and 90% are subject to both availability and utilization</w:t>
      </w:r>
      <w:r w:rsidDel="006C7521">
        <w:t xml:space="preserve"> </w:t>
      </w:r>
      <w:r>
        <w:t>payment set-offs.</w:t>
      </w:r>
    </w:p>
    <w:p w14:paraId="690A7FF9" w14:textId="77777777" w:rsidR="007036DE" w:rsidRDefault="007036DE" w:rsidP="007036DE">
      <w:pPr>
        <w:pStyle w:val="BodyText"/>
        <w:numPr>
          <w:ilvl w:val="0"/>
          <w:numId w:val="62"/>
        </w:numPr>
      </w:pPr>
      <w:r w:rsidRPr="00BF33F3">
        <w:rPr>
          <w:b/>
        </w:rPr>
        <w:t>Timely Confirmation</w:t>
      </w:r>
      <w:r>
        <w:t>:  Confirmation of the contracted MW for each On-Peak contract hour is only required if there is a change in the quantity of MW and/or the duration of the contract period.  If a Confirmation is required by us and you fail to notify us or if you notify us after the Confirmation deadline, you are subject to availability and utilization payment set-offs.  The severity of the set-off will depend on how late the Confirmation is received.</w:t>
      </w:r>
    </w:p>
    <w:p w14:paraId="52DC6100" w14:textId="77777777" w:rsidR="007036DE" w:rsidRDefault="007036DE" w:rsidP="007036DE">
      <w:pPr>
        <w:pStyle w:val="BodyText"/>
        <w:numPr>
          <w:ilvl w:val="0"/>
          <w:numId w:val="62"/>
        </w:numPr>
      </w:pPr>
      <w:r w:rsidRPr="00BF33F3">
        <w:rPr>
          <w:b/>
        </w:rPr>
        <w:t>Low Confirmation</w:t>
      </w:r>
      <w:r>
        <w:t>:  If your Confirmed MWs are less than 95% of the contracted MW during the summer and winter seasons and 90% of the contracted MW during the shoulder seasons for one or more On-Peak Contract Hours, a Performance Set-Off will be calculated for each applicable On-Peak Contract Hour.  This Set-Off will apply even if the actual quantity of MW is equal to or greater than the Contracted MW.</w:t>
      </w:r>
    </w:p>
    <w:p w14:paraId="6B822C44" w14:textId="77777777" w:rsidR="007036DE" w:rsidRPr="00FB4EE9" w:rsidRDefault="007036DE" w:rsidP="007036DE">
      <w:pPr>
        <w:pStyle w:val="BodyText"/>
        <w:numPr>
          <w:ilvl w:val="0"/>
          <w:numId w:val="62"/>
        </w:numPr>
        <w:rPr>
          <w:b/>
        </w:rPr>
      </w:pPr>
      <w:r w:rsidRPr="00FB4EE9">
        <w:rPr>
          <w:b/>
        </w:rPr>
        <w:t>Non-Performance:</w:t>
      </w:r>
      <w:r>
        <w:t xml:space="preserve">  A Performance Set-Off will be calculated based on the operating state of the </w:t>
      </w:r>
      <w:r w:rsidRPr="00CC00BC">
        <w:rPr>
          <w:i/>
        </w:rPr>
        <w:t>electricity system</w:t>
      </w:r>
      <w:r>
        <w:t xml:space="preserve"> when a DR2 participant takes a Planned Non-Performance event.  Unlike items 1 through 3 above, however, Planned Non-Performance set-offs apply only to the availability payment.</w:t>
      </w:r>
    </w:p>
    <w:p w14:paraId="7BE922C9" w14:textId="77777777" w:rsidR="007036DE" w:rsidRPr="006464A0" w:rsidRDefault="007036DE" w:rsidP="007036DE">
      <w:pPr>
        <w:pStyle w:val="BodyText"/>
      </w:pPr>
      <w:r>
        <w:t xml:space="preserve">If more than one of the set-offs listed above apply to a </w:t>
      </w:r>
      <w:r w:rsidRPr="00DC0E09">
        <w:rPr>
          <w:i/>
        </w:rPr>
        <w:t>settlement</w:t>
      </w:r>
      <w:r>
        <w:t xml:space="preserve"> account, only the highest availability set-off amount shall be applied against your availability payment (one of items 1 – 4) and similarly, only the </w:t>
      </w:r>
      <w:r w:rsidRPr="006464A0">
        <w:t xml:space="preserve">highest utilization set-off </w:t>
      </w:r>
      <w:r>
        <w:t xml:space="preserve">(one of items 1 – 3) </w:t>
      </w:r>
      <w:r w:rsidRPr="006464A0">
        <w:t>shall be applied against your utilization payment.</w:t>
      </w:r>
    </w:p>
    <w:p w14:paraId="39E8836A" w14:textId="77777777" w:rsidR="007036DE" w:rsidRPr="006464A0" w:rsidRDefault="007036DE" w:rsidP="007036DE">
      <w:pPr>
        <w:pStyle w:val="BodyText"/>
      </w:pPr>
      <w:r w:rsidRPr="006464A0">
        <w:t xml:space="preserve">We calculate Performance Set-Offs to be applied once a month at month-end as a manual line item for the last </w:t>
      </w:r>
      <w:r w:rsidRPr="006464A0">
        <w:rPr>
          <w:i/>
        </w:rPr>
        <w:t>trading day</w:t>
      </w:r>
      <w:r w:rsidRPr="006464A0">
        <w:t xml:space="preserve"> of the month.  We use </w:t>
      </w:r>
      <w:r w:rsidRPr="006464A0">
        <w:rPr>
          <w:i/>
        </w:rPr>
        <w:t>charge type</w:t>
      </w:r>
      <w:r w:rsidRPr="006464A0">
        <w:t xml:space="preserve"> 1331 “</w:t>
      </w:r>
      <w:r>
        <w:t xml:space="preserve">On behalf of </w:t>
      </w:r>
      <w:r w:rsidRPr="00DC0E09">
        <w:rPr>
          <w:i/>
        </w:rPr>
        <w:t>OPA</w:t>
      </w:r>
      <w:r>
        <w:t xml:space="preserve"> for the DR2 Program -</w:t>
      </w:r>
      <w:r w:rsidRPr="006464A0">
        <w:t xml:space="preserve"> Availability Set-Off Settlement Amount” to recover Availability Payments from participants and </w:t>
      </w:r>
      <w:r w:rsidRPr="006464A0">
        <w:rPr>
          <w:i/>
        </w:rPr>
        <w:t>charge type</w:t>
      </w:r>
      <w:r w:rsidRPr="006464A0">
        <w:t xml:space="preserve"> 1333 “</w:t>
      </w:r>
      <w:r>
        <w:t xml:space="preserve">On behalf of </w:t>
      </w:r>
      <w:r w:rsidRPr="00DC0E09">
        <w:rPr>
          <w:i/>
        </w:rPr>
        <w:t>OPA</w:t>
      </w:r>
      <w:r>
        <w:t xml:space="preserve"> for the DR2 Program -</w:t>
      </w:r>
      <w:r w:rsidRPr="006464A0">
        <w:t xml:space="preserve"> Utilization Set-Off Settlement Amount” to recover Utilization Payments from participants.</w:t>
      </w:r>
      <w:r w:rsidRPr="006464A0">
        <w:rPr>
          <w:rStyle w:val="FootnoteReference"/>
        </w:rPr>
        <w:footnoteReference w:id="57"/>
      </w:r>
    </w:p>
    <w:p w14:paraId="28063FDE" w14:textId="77777777" w:rsidR="007036DE" w:rsidRDefault="007036DE" w:rsidP="007036DE">
      <w:pPr>
        <w:pStyle w:val="BodyText"/>
      </w:pPr>
      <w:r w:rsidRPr="006464A0">
        <w:t xml:space="preserve">We use </w:t>
      </w:r>
      <w:r w:rsidRPr="006464A0">
        <w:rPr>
          <w:i/>
        </w:rPr>
        <w:t>charge type</w:t>
      </w:r>
      <w:r w:rsidRPr="006464A0">
        <w:t xml:space="preserve"> 1381 “Demand Response 2 Availability Set-Off Balancing Amount” and </w:t>
      </w:r>
      <w:r w:rsidRPr="006464A0">
        <w:rPr>
          <w:i/>
        </w:rPr>
        <w:t>charge type</w:t>
      </w:r>
      <w:r w:rsidRPr="006464A0">
        <w:t xml:space="preserve"> 1383 “Demand Response 2 Utilization Set-Off Balancing Amount” to balance Performance Set-</w:t>
      </w:r>
      <w:r>
        <w:t>Off amounts.</w:t>
      </w:r>
    </w:p>
    <w:p w14:paraId="12CCF0A2" w14:textId="77777777" w:rsidR="007036DE" w:rsidRPr="008511C0" w:rsidRDefault="007036DE" w:rsidP="00C46412">
      <w:pPr>
        <w:pStyle w:val="Heading51"/>
      </w:pPr>
      <w:r w:rsidRPr="008511C0">
        <w:t>Processing Meter Data Set-Offs</w:t>
      </w:r>
    </w:p>
    <w:p w14:paraId="5B38272E" w14:textId="77777777" w:rsidR="007036DE" w:rsidRDefault="007036DE" w:rsidP="007036DE">
      <w:pPr>
        <w:pStyle w:val="BodyText"/>
      </w:pPr>
      <w:r>
        <w:t xml:space="preserve">In addition to the Performance Set Offs, a Meter Data Set-Off will be applied against the Availability payment for a Settlement Account if you fail to submit the weekly </w:t>
      </w:r>
      <w:r w:rsidRPr="00CC00BC">
        <w:rPr>
          <w:i/>
        </w:rPr>
        <w:t>meter</w:t>
      </w:r>
      <w:r>
        <w:t xml:space="preserve"> data for a Settlement Account to us by 15:00 EST on the first </w:t>
      </w:r>
      <w:r>
        <w:rPr>
          <w:i/>
        </w:rPr>
        <w:t>business day</w:t>
      </w:r>
      <w:r>
        <w:t xml:space="preserve"> of the following week.  The amount of the Set-Off for the first occurrence will be 20% of the Availability Payment pro-rated for the week and will increase in severity thereafter.</w:t>
      </w:r>
    </w:p>
    <w:p w14:paraId="1443EF9F" w14:textId="77777777" w:rsidR="007036DE" w:rsidRPr="006464A0" w:rsidRDefault="007036DE" w:rsidP="007036DE">
      <w:pPr>
        <w:pStyle w:val="BodyText"/>
      </w:pPr>
      <w:r w:rsidRPr="006464A0">
        <w:t xml:space="preserve">We use </w:t>
      </w:r>
      <w:r w:rsidRPr="006464A0">
        <w:rPr>
          <w:i/>
        </w:rPr>
        <w:t xml:space="preserve">charge </w:t>
      </w:r>
      <w:r w:rsidRPr="006464A0">
        <w:t>type 133</w:t>
      </w:r>
      <w:r>
        <w:t>4</w:t>
      </w:r>
      <w:r w:rsidRPr="006464A0">
        <w:t xml:space="preserve"> “</w:t>
      </w:r>
      <w:r>
        <w:t xml:space="preserve">On behalf of </w:t>
      </w:r>
      <w:r w:rsidRPr="00DC0E09">
        <w:rPr>
          <w:i/>
        </w:rPr>
        <w:t>OPA</w:t>
      </w:r>
      <w:r>
        <w:t xml:space="preserve"> for the DR2 Program - </w:t>
      </w:r>
      <w:r w:rsidRPr="006464A0">
        <w:t>Meter Data Set-Off Settlement Amount” to recover Availability Payments from participants.</w:t>
      </w:r>
      <w:r>
        <w:t xml:space="preserve">  </w:t>
      </w:r>
      <w:r w:rsidRPr="002C3FBC">
        <w:t>Meter</w:t>
      </w:r>
      <w:r>
        <w:t xml:space="preserve"> data not received by the fourth week after the deadline </w:t>
      </w:r>
      <w:r w:rsidRPr="006464A0">
        <w:t xml:space="preserve">shall be considered a Performance Breach.  We use </w:t>
      </w:r>
      <w:r w:rsidRPr="006464A0">
        <w:rPr>
          <w:i/>
        </w:rPr>
        <w:t>charge type</w:t>
      </w:r>
      <w:r>
        <w:rPr>
          <w:i/>
        </w:rPr>
        <w:t xml:space="preserve"> </w:t>
      </w:r>
      <w:r w:rsidRPr="006464A0">
        <w:t>138</w:t>
      </w:r>
      <w:r>
        <w:t>4</w:t>
      </w:r>
      <w:r w:rsidRPr="006464A0">
        <w:t xml:space="preserve"> “Demand Response 2 Meter Data Set-Off Balancing Amount” to balance Meter Data Set-Off amounts.</w:t>
      </w:r>
    </w:p>
    <w:p w14:paraId="0D4C6D6C" w14:textId="77777777" w:rsidR="007036DE" w:rsidRPr="006464A0" w:rsidRDefault="007036DE" w:rsidP="007036DE">
      <w:pPr>
        <w:pStyle w:val="AppendixHead3"/>
      </w:pPr>
      <w:r w:rsidRPr="006464A0">
        <w:t>Total Monthly Payment</w:t>
      </w:r>
    </w:p>
    <w:p w14:paraId="480E86B9" w14:textId="77777777" w:rsidR="007036DE" w:rsidRPr="000D07A6" w:rsidRDefault="007036DE" w:rsidP="007036DE">
      <w:pPr>
        <w:pStyle w:val="BodyText"/>
      </w:pPr>
      <w:r>
        <w:t>The total amount payable each m</w:t>
      </w:r>
      <w:r w:rsidRPr="00B672B4">
        <w:t>onth</w:t>
      </w:r>
      <w:r>
        <w:t>, (i.e.,</w:t>
      </w:r>
      <w:r w:rsidRPr="00B672B4">
        <w:t xml:space="preserve"> </w:t>
      </w:r>
      <w:r>
        <w:t>the sum of all Availability payments and Utilization p</w:t>
      </w:r>
      <w:r w:rsidRPr="00B672B4">
        <w:t>ayments less any Set-Offs</w:t>
      </w:r>
      <w:r>
        <w:t xml:space="preserve">) </w:t>
      </w:r>
      <w:r w:rsidRPr="00B672B4">
        <w:t xml:space="preserve">to each </w:t>
      </w:r>
      <w:r>
        <w:t>DR2 p</w:t>
      </w:r>
      <w:r w:rsidRPr="00B672B4">
        <w:t xml:space="preserve">articipant </w:t>
      </w:r>
      <w:r>
        <w:t>is</w:t>
      </w:r>
      <w:r w:rsidRPr="00B672B4">
        <w:t xml:space="preserve"> </w:t>
      </w:r>
      <w:r>
        <w:t>adjusted by multiplying</w:t>
      </w:r>
      <w:r w:rsidRPr="00B672B4">
        <w:t xml:space="preserve"> </w:t>
      </w:r>
      <w:r>
        <w:t xml:space="preserve">the monthly total </w:t>
      </w:r>
      <w:r w:rsidRPr="00B672B4">
        <w:t>by the Implied Load Shift Ratio</w:t>
      </w:r>
      <w:r>
        <w:t xml:space="preserve">.  Details for determining the </w:t>
      </w:r>
      <w:r w:rsidRPr="00B672B4">
        <w:t>Implied Load Shift Ratio</w:t>
      </w:r>
      <w:r>
        <w:t>, including the Load Shift Credit, are in Section 7.5 of the DR2 Program Rules.</w:t>
      </w:r>
    </w:p>
    <w:p w14:paraId="705353C7" w14:textId="77777777" w:rsidR="007036DE" w:rsidRPr="008511C0" w:rsidRDefault="007036DE" w:rsidP="007036DE">
      <w:pPr>
        <w:pStyle w:val="AppendixHead3"/>
      </w:pPr>
      <w:r w:rsidRPr="008511C0">
        <w:t>Breach of Contract</w:t>
      </w:r>
    </w:p>
    <w:p w14:paraId="47C1DAB3" w14:textId="77777777" w:rsidR="007036DE" w:rsidRDefault="007036DE" w:rsidP="007036DE">
      <w:pPr>
        <w:pStyle w:val="BodyText"/>
      </w:pPr>
      <w:r>
        <w:t>Material Non-Performance Events leading to a Performance Breach are described in the DR2 Program Rules in Section 6.7.  In the event of a Performance Breach, the Availability Payment for all of the DR2 Schedules at that Settlement Account for the Contract Month following the month in which the Performance Breach occurs shall be withheld.</w:t>
      </w:r>
    </w:p>
    <w:p w14:paraId="72EFE3F5" w14:textId="77777777" w:rsidR="007036DE" w:rsidRDefault="007036DE" w:rsidP="007036DE">
      <w:pPr>
        <w:pStyle w:val="BodyText"/>
      </w:pPr>
      <w:r>
        <w:t xml:space="preserve">For further details with respect to breaches in performance, refer to the </w:t>
      </w:r>
      <w:r>
        <w:rPr>
          <w:i/>
        </w:rPr>
        <w:t>OPA</w:t>
      </w:r>
      <w:r>
        <w:t xml:space="preserve"> DR2 Program Rules.</w:t>
      </w:r>
    </w:p>
    <w:p w14:paraId="78093386" w14:textId="77777777" w:rsidR="008D0F56" w:rsidRDefault="008D0F56" w:rsidP="008D0F56">
      <w:pPr>
        <w:pStyle w:val="AppendixHead2"/>
      </w:pPr>
      <w:r w:rsidRPr="009272F8">
        <w:t xml:space="preserve">Limiting Constrained </w:t>
      </w:r>
      <w:r>
        <w:t>O</w:t>
      </w:r>
      <w:r w:rsidRPr="009272F8">
        <w:t xml:space="preserve">ff CMSC Payments to Importers </w:t>
      </w:r>
      <w:r>
        <w:t>I</w:t>
      </w:r>
      <w:r w:rsidRPr="009272F8">
        <w:t>njecting into Designated Chronically Congested Areas</w:t>
      </w:r>
    </w:p>
    <w:p w14:paraId="140A8FE5" w14:textId="77777777" w:rsidR="008D0F56" w:rsidRPr="00853CEB" w:rsidRDefault="008D0F56" w:rsidP="008D0F56">
      <w:pPr>
        <w:pStyle w:val="BodyText"/>
      </w:pPr>
      <w:r>
        <w:t xml:space="preserve">If you are a </w:t>
      </w:r>
      <w:r w:rsidRPr="001B4599">
        <w:rPr>
          <w:i/>
        </w:rPr>
        <w:t>market participant</w:t>
      </w:r>
      <w:r>
        <w:t xml:space="preserve"> that has offered to inject </w:t>
      </w:r>
      <w:r w:rsidRPr="001B4599">
        <w:rPr>
          <w:i/>
        </w:rPr>
        <w:t xml:space="preserve">energy </w:t>
      </w:r>
      <w:r>
        <w:t xml:space="preserve">over an </w:t>
      </w:r>
      <w:r w:rsidRPr="001B4599">
        <w:rPr>
          <w:i/>
        </w:rPr>
        <w:t>intertie</w:t>
      </w:r>
      <w:r>
        <w:t xml:space="preserve">, you may have been </w:t>
      </w:r>
      <w:r>
        <w:rPr>
          <w:i/>
          <w:iCs/>
        </w:rPr>
        <w:t xml:space="preserve">constrained off </w:t>
      </w:r>
      <w:r>
        <w:t xml:space="preserve">by the </w:t>
      </w:r>
      <w:r>
        <w:rPr>
          <w:i/>
          <w:iCs/>
        </w:rPr>
        <w:t>IESO</w:t>
      </w:r>
      <w:r>
        <w:t xml:space="preserve"> and may be eligible for </w:t>
      </w:r>
      <w:r w:rsidRPr="001B4599">
        <w:rPr>
          <w:i/>
        </w:rPr>
        <w:t>constrained off</w:t>
      </w:r>
      <w:r>
        <w:t xml:space="preserve"> congestion management </w:t>
      </w:r>
      <w:r>
        <w:rPr>
          <w:i/>
          <w:iCs/>
        </w:rPr>
        <w:t>settlement</w:t>
      </w:r>
      <w:r>
        <w:t xml:space="preserve"> credit (CMSC) payments from the marketplace.</w:t>
      </w:r>
    </w:p>
    <w:p w14:paraId="743F138A" w14:textId="77777777" w:rsidR="008D0F56" w:rsidRDefault="008D0F56" w:rsidP="008D0F56">
      <w:pPr>
        <w:autoSpaceDE w:val="0"/>
        <w:autoSpaceDN w:val="0"/>
        <w:rPr>
          <w:b/>
        </w:rPr>
      </w:pPr>
      <w:r>
        <w:t xml:space="preserve">Certain areas within Ontario have a persistent excess of internal supply, and it is unlikely that any imports offered into these areas will flow.  These areas are identified as “Designated Chronically Congested Areas”.  </w:t>
      </w:r>
      <w:r w:rsidRPr="001B4599">
        <w:rPr>
          <w:i/>
        </w:rPr>
        <w:t>Constrained off</w:t>
      </w:r>
      <w:r>
        <w:t xml:space="preserve"> CMSC payments under these circumstances will be clawed back if the </w:t>
      </w:r>
      <w:r w:rsidRPr="001B4599">
        <w:rPr>
          <w:i/>
        </w:rPr>
        <w:t>constrained off</w:t>
      </w:r>
      <w:r>
        <w:t xml:space="preserve"> event appears in the </w:t>
      </w:r>
      <w:r w:rsidRPr="001B4599">
        <w:rPr>
          <w:i/>
        </w:rPr>
        <w:t>pre-dispatch schedule</w:t>
      </w:r>
      <w:r>
        <w:t xml:space="preserve"> used to determine the </w:t>
      </w:r>
      <w:r>
        <w:rPr>
          <w:i/>
          <w:iCs/>
        </w:rPr>
        <w:t>interchange schedule</w:t>
      </w:r>
      <w:r>
        <w:t xml:space="preserve">. The definition for </w:t>
      </w:r>
      <w:r>
        <w:rPr>
          <w:i/>
          <w:iCs/>
        </w:rPr>
        <w:t>designated chronically congested area</w:t>
      </w:r>
      <w:r>
        <w:t xml:space="preserve"> is as follows:</w:t>
      </w:r>
    </w:p>
    <w:p w14:paraId="32DD7CAF" w14:textId="77777777" w:rsidR="008D0F56" w:rsidRPr="001B4599" w:rsidRDefault="008D0F56" w:rsidP="0056454A">
      <w:pPr>
        <w:autoSpaceDE w:val="0"/>
        <w:autoSpaceDN w:val="0"/>
        <w:spacing w:before="120"/>
        <w:rPr>
          <w:b/>
        </w:rPr>
      </w:pPr>
      <w:r w:rsidRPr="001B4599">
        <w:rPr>
          <w:b/>
        </w:rPr>
        <w:t>Designated Chronically Congested Area</w:t>
      </w:r>
    </w:p>
    <w:p w14:paraId="7605209C" w14:textId="77777777" w:rsidR="008D0F56" w:rsidRPr="001B4599" w:rsidRDefault="008D0F56" w:rsidP="008D0F56">
      <w:pPr>
        <w:pStyle w:val="BodyText"/>
      </w:pPr>
      <w:r w:rsidRPr="001B4599">
        <w:t xml:space="preserve">A </w:t>
      </w:r>
      <w:r w:rsidRPr="001B4599">
        <w:rPr>
          <w:i/>
        </w:rPr>
        <w:t>designated chronically congested area</w:t>
      </w:r>
      <w:r w:rsidRPr="001B4599">
        <w:t xml:space="preserve"> is an area of oversupply due to transmission constraints, for which persistent excess of internal supply results in little chance for imports to flow, causing </w:t>
      </w:r>
      <w:r w:rsidRPr="001B4599">
        <w:rPr>
          <w:i/>
        </w:rPr>
        <w:t>constrained off</w:t>
      </w:r>
      <w:r w:rsidRPr="001B4599">
        <w:t xml:space="preserve"> CMSC payments. A </w:t>
      </w:r>
      <w:r w:rsidRPr="001B4599">
        <w:rPr>
          <w:i/>
        </w:rPr>
        <w:t>designated chronically congested area</w:t>
      </w:r>
      <w:r w:rsidRPr="001B4599">
        <w:t xml:space="preserve"> is currently defined as an area designated as a </w:t>
      </w:r>
      <w:r w:rsidRPr="001B4599">
        <w:rPr>
          <w:i/>
        </w:rPr>
        <w:t>constrained off</w:t>
      </w:r>
      <w:r w:rsidRPr="001B4599">
        <w:t xml:space="preserve"> watch zone (for injections). Refer to Market Manual 2.12 for more information on the COWZ designation process.</w:t>
      </w:r>
    </w:p>
    <w:p w14:paraId="3DC0F51C" w14:textId="77777777" w:rsidR="008D0F56" w:rsidRPr="001B4599" w:rsidRDefault="008D0F56" w:rsidP="008D0F56">
      <w:pPr>
        <w:pStyle w:val="BodyText"/>
      </w:pPr>
      <w:r w:rsidRPr="001B4599">
        <w:rPr>
          <w:szCs w:val="22"/>
        </w:rPr>
        <w:t xml:space="preserve">Effective October 1, 2012 with the implementation of </w:t>
      </w:r>
      <w:r w:rsidRPr="001B4599">
        <w:rPr>
          <w:i/>
          <w:szCs w:val="22"/>
        </w:rPr>
        <w:t>market rule</w:t>
      </w:r>
      <w:r w:rsidRPr="001B4599">
        <w:rPr>
          <w:szCs w:val="22"/>
        </w:rPr>
        <w:t xml:space="preserve"> amendment MR-00395-R00, the Northwest, including the Manitoba and Minnesota </w:t>
      </w:r>
      <w:r w:rsidRPr="001B4599">
        <w:rPr>
          <w:i/>
          <w:szCs w:val="22"/>
        </w:rPr>
        <w:t>interties</w:t>
      </w:r>
      <w:r w:rsidRPr="001B4599">
        <w:rPr>
          <w:szCs w:val="22"/>
        </w:rPr>
        <w:t xml:space="preserve">, is identified as a </w:t>
      </w:r>
      <w:r w:rsidRPr="001B4599">
        <w:rPr>
          <w:i/>
          <w:szCs w:val="22"/>
        </w:rPr>
        <w:t xml:space="preserve">designated chronically congested area </w:t>
      </w:r>
      <w:r w:rsidRPr="001B4599">
        <w:rPr>
          <w:szCs w:val="22"/>
        </w:rPr>
        <w:t xml:space="preserve">through its designation as a </w:t>
      </w:r>
      <w:r w:rsidRPr="001B4599">
        <w:rPr>
          <w:i/>
          <w:szCs w:val="22"/>
        </w:rPr>
        <w:t>constrained off</w:t>
      </w:r>
      <w:r w:rsidRPr="001B4599">
        <w:rPr>
          <w:szCs w:val="22"/>
        </w:rPr>
        <w:t xml:space="preserve"> </w:t>
      </w:r>
      <w:r w:rsidRPr="001B4599">
        <w:rPr>
          <w:i/>
          <w:szCs w:val="22"/>
        </w:rPr>
        <w:t>watch zone</w:t>
      </w:r>
      <w:r w:rsidRPr="001B4599">
        <w:rPr>
          <w:szCs w:val="22"/>
        </w:rPr>
        <w:t>.</w:t>
      </w:r>
    </w:p>
    <w:p w14:paraId="2E881781" w14:textId="77777777" w:rsidR="008D0F56" w:rsidRPr="001B4599" w:rsidRDefault="008D0F56" w:rsidP="008D0F56">
      <w:pPr>
        <w:pStyle w:val="BodyText"/>
      </w:pPr>
      <w:r w:rsidRPr="001B4599">
        <w:t xml:space="preserve">If the definition of </w:t>
      </w:r>
      <w:r w:rsidRPr="001B4599">
        <w:rPr>
          <w:i/>
        </w:rPr>
        <w:t>designated chronically congested area</w:t>
      </w:r>
      <w:r w:rsidRPr="001B4599">
        <w:t xml:space="preserve"> needs to be revised or an additional area of oversupply needs to be added, the appropriate analysis will be presented to the Inter-Jurisdictional Trading Standing Committee for stakeholder review. </w:t>
      </w:r>
      <w:r w:rsidRPr="001B4599">
        <w:rPr>
          <w:i/>
        </w:rPr>
        <w:t>Market manual</w:t>
      </w:r>
      <w:r w:rsidRPr="001B4599">
        <w:t xml:space="preserve"> revisions </w:t>
      </w:r>
      <w:r>
        <w:t>will</w:t>
      </w:r>
      <w:r w:rsidRPr="001B4599">
        <w:t xml:space="preserve"> then be posted for stakeholder comment on the Change Notification Listing page of the </w:t>
      </w:r>
      <w:r w:rsidRPr="001B4599">
        <w:rPr>
          <w:i/>
        </w:rPr>
        <w:t>IESO</w:t>
      </w:r>
      <w:r w:rsidRPr="001B4599">
        <w:t xml:space="preserve"> website, following which the </w:t>
      </w:r>
      <w:r w:rsidRPr="001B4599">
        <w:rPr>
          <w:i/>
        </w:rPr>
        <w:t>IESO</w:t>
      </w:r>
      <w:r w:rsidRPr="001B4599">
        <w:t xml:space="preserve"> will respond to each submission and post modified language based on the submissions.</w:t>
      </w:r>
    </w:p>
    <w:p w14:paraId="35FA6BA8" w14:textId="77777777" w:rsidR="007036DE" w:rsidRPr="008D0F56" w:rsidRDefault="008D0F56" w:rsidP="008D0F56">
      <w:pPr>
        <w:pStyle w:val="ListContinue"/>
      </w:pPr>
      <w:r>
        <w:t xml:space="preserve">The CMSC recovery is applied as a manual entry to </w:t>
      </w:r>
      <w:r>
        <w:rPr>
          <w:i/>
          <w:iCs/>
        </w:rPr>
        <w:t>charge type</w:t>
      </w:r>
      <w:r>
        <w:t xml:space="preserve"> 105 “Congestion Management Settlement Credit for Energy” on your </w:t>
      </w:r>
      <w:r>
        <w:rPr>
          <w:i/>
          <w:iCs/>
        </w:rPr>
        <w:t>preliminary settlement statement</w:t>
      </w:r>
      <w:r>
        <w:t xml:space="preserve"> and </w:t>
      </w:r>
      <w:r>
        <w:rPr>
          <w:i/>
          <w:iCs/>
        </w:rPr>
        <w:t>final settlement statement</w:t>
      </w:r>
      <w:r>
        <w:t xml:space="preserve"> for the last </w:t>
      </w:r>
      <w:r>
        <w:rPr>
          <w:i/>
          <w:iCs/>
        </w:rPr>
        <w:t>trading day</w:t>
      </w:r>
      <w:r>
        <w:t xml:space="preserve"> of the month. The adjustment is rebated back to </w:t>
      </w:r>
      <w:r>
        <w:rPr>
          <w:i/>
          <w:iCs/>
        </w:rPr>
        <w:t>market participants</w:t>
      </w:r>
      <w:r>
        <w:t xml:space="preserve"> as a single manual entry to </w:t>
      </w:r>
      <w:r>
        <w:rPr>
          <w:i/>
          <w:iCs/>
        </w:rPr>
        <w:t>charge type</w:t>
      </w:r>
      <w:r>
        <w:t xml:space="preserve"> 155 “Congestion Management Settlement Uplift” on the </w:t>
      </w:r>
      <w:r>
        <w:rPr>
          <w:i/>
          <w:iCs/>
        </w:rPr>
        <w:t>preliminary settlement statement</w:t>
      </w:r>
      <w:r>
        <w:t xml:space="preserve"> and </w:t>
      </w:r>
      <w:r>
        <w:rPr>
          <w:i/>
          <w:iCs/>
        </w:rPr>
        <w:t>final settlement statement</w:t>
      </w:r>
      <w:r>
        <w:t xml:space="preserve"> for the last </w:t>
      </w:r>
      <w:r>
        <w:rPr>
          <w:i/>
          <w:iCs/>
        </w:rPr>
        <w:t>trading day</w:t>
      </w:r>
      <w:r>
        <w:t xml:space="preserve"> of the month.</w:t>
      </w:r>
    </w:p>
    <w:p w14:paraId="6300E3EC" w14:textId="77777777" w:rsidR="001B72DE" w:rsidRDefault="00CB6889" w:rsidP="00CB6889">
      <w:pPr>
        <w:pStyle w:val="AppendixHead2"/>
      </w:pPr>
      <w:r>
        <w:t>OPA Administrative Charge</w:t>
      </w:r>
    </w:p>
    <w:p w14:paraId="3434B10C" w14:textId="77777777" w:rsidR="00CB6889" w:rsidRDefault="00CB6889" w:rsidP="00CB6889">
      <w:pPr>
        <w:pStyle w:val="Default"/>
        <w:spacing w:before="120" w:after="120"/>
        <w:rPr>
          <w:szCs w:val="22"/>
        </w:rPr>
      </w:pPr>
      <w:r w:rsidRPr="0029108A">
        <w:rPr>
          <w:sz w:val="22"/>
          <w:szCs w:val="22"/>
        </w:rPr>
        <w:t>The “OPA Administration Charge”, charge type 754, is a fee levied against all load in Ontario based on AQEW.  Every market participant who has AQEW attributed to it during the preceding month pays the OPA Administration Charge based on its AQEW and the OPA fee.  The OEB sets the OPA fee annually. Charge type 754 appears on your preliminary and final settlement statements for the last trading day of the month.</w:t>
      </w:r>
    </w:p>
    <w:p w14:paraId="6478EACE" w14:textId="77777777" w:rsidR="001B72DE" w:rsidRDefault="00CB6889" w:rsidP="00A442B9">
      <w:pPr>
        <w:pStyle w:val="BodyText"/>
      </w:pPr>
      <w:r>
        <w:t xml:space="preserve">The corresponding setoff, </w:t>
      </w:r>
      <w:r>
        <w:rPr>
          <w:i/>
        </w:rPr>
        <w:t>charge type</w:t>
      </w:r>
      <w:r>
        <w:t xml:space="preserve"> 704 “OPA Administration Credit”, is payable to the IESO on its </w:t>
      </w:r>
      <w:r>
        <w:rPr>
          <w:i/>
        </w:rPr>
        <w:t>preliminary</w:t>
      </w:r>
      <w:r>
        <w:t xml:space="preserve"> </w:t>
      </w:r>
      <w:r>
        <w:rPr>
          <w:i/>
        </w:rPr>
        <w:t xml:space="preserve">settlement statement </w:t>
      </w:r>
      <w:r>
        <w:t xml:space="preserve">and </w:t>
      </w:r>
      <w:r>
        <w:rPr>
          <w:i/>
        </w:rPr>
        <w:t>final</w:t>
      </w:r>
      <w:r>
        <w:t xml:space="preserve"> </w:t>
      </w:r>
      <w:r>
        <w:rPr>
          <w:i/>
        </w:rPr>
        <w:t>settlement statement</w:t>
      </w:r>
      <w:r>
        <w:t xml:space="preserve"> for the last </w:t>
      </w:r>
      <w:r>
        <w:rPr>
          <w:i/>
        </w:rPr>
        <w:t>trading day</w:t>
      </w:r>
      <w:r>
        <w:t xml:space="preserve"> of the month.</w:t>
      </w:r>
    </w:p>
    <w:p w14:paraId="0DD4CBB0" w14:textId="77777777" w:rsidR="00A97391" w:rsidRDefault="00A97391" w:rsidP="00A97391">
      <w:pPr>
        <w:pStyle w:val="AppendixHead2"/>
        <w:rPr>
          <w:lang w:val="en-CA"/>
        </w:rPr>
      </w:pPr>
      <w:r>
        <w:rPr>
          <w:lang w:val="en-CA"/>
        </w:rPr>
        <w:t>Real-time Generation Cost Guarantees</w:t>
      </w:r>
    </w:p>
    <w:p w14:paraId="3796D32A" w14:textId="77777777" w:rsidR="00A97391" w:rsidRDefault="00A97391" w:rsidP="00A97391">
      <w:pPr>
        <w:pStyle w:val="BodyText"/>
        <w:rPr>
          <w:szCs w:val="22"/>
          <w:lang w:val="en-CA"/>
        </w:rPr>
      </w:pPr>
      <w:r w:rsidRPr="0038466E">
        <w:rPr>
          <w:szCs w:val="22"/>
        </w:rPr>
        <w:t xml:space="preserve">The Real-Time Generation Cost Guarantee (RT-GCG) program, commonly referred to as Spare Generation On-line (SGOL), guarantees start-up costs and </w:t>
      </w:r>
      <w:r w:rsidRPr="0038466E">
        <w:rPr>
          <w:i/>
          <w:szCs w:val="22"/>
        </w:rPr>
        <w:t>minimum run-time</w:t>
      </w:r>
      <w:r w:rsidRPr="0038466E">
        <w:rPr>
          <w:szCs w:val="22"/>
        </w:rPr>
        <w:t xml:space="preserve"> costs to </w:t>
      </w:r>
      <w:r>
        <w:rPr>
          <w:i/>
          <w:szCs w:val="22"/>
        </w:rPr>
        <w:t xml:space="preserve">market </w:t>
      </w:r>
      <w:r w:rsidRPr="0058387B">
        <w:rPr>
          <w:i/>
          <w:szCs w:val="22"/>
        </w:rPr>
        <w:t>participants</w:t>
      </w:r>
      <w:r w:rsidRPr="0038466E">
        <w:rPr>
          <w:szCs w:val="22"/>
        </w:rPr>
        <w:t xml:space="preserve"> who otherwise might not start up their </w:t>
      </w:r>
      <w:r>
        <w:rPr>
          <w:i/>
          <w:szCs w:val="22"/>
        </w:rPr>
        <w:t xml:space="preserve">generation </w:t>
      </w:r>
      <w:r w:rsidRPr="0058387B">
        <w:rPr>
          <w:i/>
          <w:szCs w:val="22"/>
        </w:rPr>
        <w:t>units</w:t>
      </w:r>
      <w:r w:rsidRPr="0038466E">
        <w:rPr>
          <w:szCs w:val="22"/>
        </w:rPr>
        <w:t xml:space="preserve"> in times when they are not certain they will be dispatched sufficiently to recover those costs.  RT-GCG is authorized and governed under the </w:t>
      </w:r>
      <w:r w:rsidRPr="0038466E">
        <w:rPr>
          <w:i/>
          <w:szCs w:val="22"/>
        </w:rPr>
        <w:t>market rule</w:t>
      </w:r>
      <w:r w:rsidRPr="0038466E">
        <w:rPr>
          <w:szCs w:val="22"/>
        </w:rPr>
        <w:t>s</w:t>
      </w:r>
      <w:r>
        <w:rPr>
          <w:szCs w:val="22"/>
        </w:rPr>
        <w:t xml:space="preserve"> </w:t>
      </w:r>
      <w:r w:rsidRPr="0038466E">
        <w:rPr>
          <w:szCs w:val="22"/>
        </w:rPr>
        <w:t>– refer to sections 2.2, 5.7, and 6.3 of Chapter 7; and section 4.7B of Chapter 9.</w:t>
      </w:r>
    </w:p>
    <w:p w14:paraId="302FBCE3" w14:textId="77777777" w:rsidR="00A97391" w:rsidRPr="00CD6DB5" w:rsidRDefault="00A97391" w:rsidP="00A97391">
      <w:pPr>
        <w:pStyle w:val="BodyText"/>
        <w:rPr>
          <w:szCs w:val="22"/>
          <w:lang w:val="en-CA"/>
        </w:rPr>
      </w:pPr>
      <w:r w:rsidRPr="0038466E">
        <w:rPr>
          <w:szCs w:val="22"/>
          <w:lang w:val="en-CA"/>
        </w:rPr>
        <w:t>In order to qualify for an RT-GCG payment you must pass certain eligibility criteria related to how you:</w:t>
      </w:r>
    </w:p>
    <w:p w14:paraId="326E2702" w14:textId="77777777" w:rsidR="00A97391" w:rsidRPr="00CD6DB5" w:rsidRDefault="00A97391" w:rsidP="00A97391">
      <w:pPr>
        <w:pStyle w:val="BodyText"/>
        <w:rPr>
          <w:szCs w:val="22"/>
          <w:lang w:val="en-CA"/>
        </w:rPr>
      </w:pPr>
      <w:r w:rsidRPr="0038466E">
        <w:rPr>
          <w:szCs w:val="22"/>
          <w:lang w:val="en-CA"/>
        </w:rPr>
        <w:t xml:space="preserve">1. offer your </w:t>
      </w:r>
      <w:r w:rsidRPr="0038466E">
        <w:rPr>
          <w:i/>
          <w:szCs w:val="22"/>
          <w:lang w:val="en-CA"/>
        </w:rPr>
        <w:t xml:space="preserve">generation unit </w:t>
      </w:r>
      <w:r w:rsidRPr="0038466E">
        <w:rPr>
          <w:szCs w:val="22"/>
          <w:lang w:val="en-CA"/>
        </w:rPr>
        <w:t xml:space="preserve">for </w:t>
      </w:r>
      <w:r w:rsidRPr="0038466E">
        <w:rPr>
          <w:i/>
          <w:szCs w:val="22"/>
          <w:lang w:val="en-CA"/>
        </w:rPr>
        <w:t>dispatch</w:t>
      </w:r>
      <w:r w:rsidRPr="0038466E">
        <w:rPr>
          <w:szCs w:val="22"/>
          <w:lang w:val="en-CA"/>
        </w:rPr>
        <w:t>; and</w:t>
      </w:r>
    </w:p>
    <w:p w14:paraId="46DB49B3" w14:textId="77777777" w:rsidR="00A97391" w:rsidRPr="00CD6DB5" w:rsidRDefault="00A97391" w:rsidP="00A97391">
      <w:pPr>
        <w:pStyle w:val="BodyText"/>
        <w:rPr>
          <w:szCs w:val="22"/>
          <w:lang w:val="en-CA"/>
        </w:rPr>
      </w:pPr>
      <w:r w:rsidRPr="0038466E">
        <w:rPr>
          <w:szCs w:val="22"/>
          <w:lang w:val="en-CA"/>
        </w:rPr>
        <w:t xml:space="preserve">2. operate your </w:t>
      </w:r>
      <w:r w:rsidRPr="0038466E">
        <w:rPr>
          <w:i/>
          <w:szCs w:val="22"/>
          <w:lang w:val="en-CA"/>
        </w:rPr>
        <w:t xml:space="preserve">generation unit </w:t>
      </w:r>
      <w:r w:rsidRPr="0038466E">
        <w:rPr>
          <w:szCs w:val="22"/>
          <w:lang w:val="en-CA"/>
        </w:rPr>
        <w:t xml:space="preserve">in </w:t>
      </w:r>
      <w:r w:rsidRPr="0038466E">
        <w:rPr>
          <w:i/>
          <w:szCs w:val="22"/>
          <w:lang w:val="en-CA"/>
        </w:rPr>
        <w:t>real time</w:t>
      </w:r>
      <w:r w:rsidRPr="0038466E">
        <w:rPr>
          <w:szCs w:val="22"/>
          <w:lang w:val="en-CA"/>
        </w:rPr>
        <w:t>.</w:t>
      </w:r>
    </w:p>
    <w:p w14:paraId="65A726ED" w14:textId="77777777" w:rsidR="00A97391" w:rsidRDefault="00A97391" w:rsidP="00A97391">
      <w:pPr>
        <w:pStyle w:val="BodyText"/>
        <w:rPr>
          <w:szCs w:val="22"/>
          <w:lang w:val="en-CA"/>
        </w:rPr>
      </w:pPr>
      <w:r w:rsidRPr="0038466E">
        <w:rPr>
          <w:szCs w:val="22"/>
          <w:lang w:val="en-CA"/>
        </w:rPr>
        <w:t xml:space="preserve">The </w:t>
      </w:r>
      <w:r w:rsidRPr="0038466E">
        <w:rPr>
          <w:i/>
          <w:szCs w:val="22"/>
          <w:lang w:val="en-CA"/>
        </w:rPr>
        <w:t>settlement</w:t>
      </w:r>
      <w:r w:rsidRPr="0038466E">
        <w:rPr>
          <w:szCs w:val="22"/>
          <w:lang w:val="en-CA"/>
        </w:rPr>
        <w:t xml:space="preserve"> of an RT-GCG event involves the comparison of certain eligible costs to some market revenues your </w:t>
      </w:r>
      <w:r w:rsidRPr="0038466E">
        <w:rPr>
          <w:i/>
          <w:szCs w:val="22"/>
          <w:lang w:val="en-CA"/>
        </w:rPr>
        <w:t xml:space="preserve">generation unit </w:t>
      </w:r>
      <w:r w:rsidRPr="0038466E">
        <w:rPr>
          <w:szCs w:val="22"/>
          <w:lang w:val="en-CA"/>
        </w:rPr>
        <w:t>has received for operating at</w:t>
      </w:r>
      <w:r>
        <w:rPr>
          <w:szCs w:val="22"/>
          <w:lang w:val="en-CA"/>
        </w:rPr>
        <w:t xml:space="preserve"> the</w:t>
      </w:r>
      <w:r w:rsidRPr="0038466E">
        <w:rPr>
          <w:szCs w:val="22"/>
          <w:lang w:val="en-CA"/>
        </w:rPr>
        <w:t xml:space="preserve"> </w:t>
      </w:r>
      <w:r>
        <w:rPr>
          <w:i/>
          <w:szCs w:val="22"/>
        </w:rPr>
        <w:t>minimum generation block run-time</w:t>
      </w:r>
      <w:r>
        <w:rPr>
          <w:szCs w:val="22"/>
        </w:rPr>
        <w:t xml:space="preserve"> specified for your </w:t>
      </w:r>
      <w:r w:rsidRPr="0038466E">
        <w:rPr>
          <w:i/>
          <w:szCs w:val="22"/>
          <w:lang w:val="en-CA"/>
        </w:rPr>
        <w:t>generation unit.</w:t>
      </w:r>
      <w:r w:rsidRPr="0038466E">
        <w:rPr>
          <w:szCs w:val="22"/>
          <w:lang w:val="en-CA"/>
        </w:rPr>
        <w:t xml:space="preserve">  If the market revenue is not sufficient to cover the eligible costs, you are compensated for the amount of the shortfall</w:t>
      </w:r>
      <w:r>
        <w:rPr>
          <w:szCs w:val="22"/>
          <w:lang w:val="en-CA"/>
        </w:rPr>
        <w:t xml:space="preserve"> by way of a RT-GCG payment</w:t>
      </w:r>
      <w:r w:rsidRPr="0038466E">
        <w:rPr>
          <w:szCs w:val="22"/>
          <w:lang w:val="en-CA"/>
        </w:rPr>
        <w:t xml:space="preserve">.  The details of eligibility and </w:t>
      </w:r>
      <w:r w:rsidRPr="0038466E">
        <w:rPr>
          <w:i/>
          <w:szCs w:val="22"/>
          <w:lang w:val="en-CA"/>
        </w:rPr>
        <w:t>settlement</w:t>
      </w:r>
      <w:r w:rsidRPr="0038466E">
        <w:rPr>
          <w:szCs w:val="22"/>
          <w:lang w:val="en-CA"/>
        </w:rPr>
        <w:t xml:space="preserve"> are outlined in the following paragraphs.</w:t>
      </w:r>
    </w:p>
    <w:p w14:paraId="588D3633" w14:textId="77777777" w:rsidR="00A97391" w:rsidRPr="00346694" w:rsidRDefault="00A97391" w:rsidP="00A97391">
      <w:pPr>
        <w:pStyle w:val="BodyText"/>
        <w:rPr>
          <w:szCs w:val="22"/>
          <w:lang w:val="en-CA"/>
        </w:rPr>
      </w:pPr>
      <w:r w:rsidRPr="0058387B">
        <w:rPr>
          <w:szCs w:val="22"/>
          <w:lang w:val="en-CA"/>
        </w:rPr>
        <w:t xml:space="preserve">The Day-Ahead commitment process and related </w:t>
      </w:r>
      <w:r w:rsidRPr="0058387B">
        <w:rPr>
          <w:i/>
          <w:szCs w:val="22"/>
          <w:lang w:val="en-CA"/>
        </w:rPr>
        <w:t>settlement</w:t>
      </w:r>
      <w:r w:rsidRPr="0058387B">
        <w:rPr>
          <w:szCs w:val="22"/>
          <w:lang w:val="en-CA"/>
        </w:rPr>
        <w:t xml:space="preserve"> payment includes a Production Cost Guarantee (DA-PCG) payable to eligible </w:t>
      </w:r>
      <w:r w:rsidRPr="0058387B">
        <w:rPr>
          <w:i/>
          <w:szCs w:val="22"/>
          <w:lang w:val="en-CA"/>
        </w:rPr>
        <w:t>generators</w:t>
      </w:r>
      <w:r w:rsidRPr="0058387B">
        <w:rPr>
          <w:szCs w:val="22"/>
          <w:lang w:val="en-CA"/>
        </w:rPr>
        <w:t xml:space="preserve"> that satisfy their Schedules of Record.  The DA-PCG which is described in </w:t>
      </w:r>
      <w:r w:rsidRPr="0058387B">
        <w:rPr>
          <w:i/>
          <w:szCs w:val="22"/>
          <w:lang w:val="en-CA"/>
        </w:rPr>
        <w:t>Market Manual</w:t>
      </w:r>
      <w:r w:rsidRPr="0058387B">
        <w:rPr>
          <w:szCs w:val="22"/>
          <w:lang w:val="en-CA"/>
        </w:rPr>
        <w:t xml:space="preserve"> 9 replaced the previous Day-Ahead Generation Cost Guarantee.</w:t>
      </w:r>
    </w:p>
    <w:p w14:paraId="3C653624" w14:textId="77777777" w:rsidR="00A97391" w:rsidRPr="00346694" w:rsidRDefault="00A97391" w:rsidP="00A97391">
      <w:pPr>
        <w:pStyle w:val="BodyText"/>
        <w:rPr>
          <w:szCs w:val="22"/>
          <w:lang w:val="en-CA"/>
        </w:rPr>
      </w:pPr>
      <w:r w:rsidRPr="0058387B">
        <w:rPr>
          <w:szCs w:val="22"/>
          <w:lang w:val="en-CA"/>
        </w:rPr>
        <w:t xml:space="preserve">Sections 1.6.4.1 to 1.6.4.3 below describe the RT-GCG submission, eligibility and </w:t>
      </w:r>
      <w:r w:rsidRPr="0058387B">
        <w:rPr>
          <w:i/>
          <w:szCs w:val="22"/>
          <w:lang w:val="en-CA"/>
        </w:rPr>
        <w:t>settlement</w:t>
      </w:r>
      <w:r w:rsidRPr="0058387B">
        <w:rPr>
          <w:szCs w:val="22"/>
          <w:lang w:val="en-CA"/>
        </w:rPr>
        <w:t xml:space="preserve">.  Section 1.6.4.4 outlines scenarios where the new PCG can interact with a RT-GCG including how </w:t>
      </w:r>
      <w:r w:rsidRPr="0058387B">
        <w:rPr>
          <w:i/>
          <w:szCs w:val="22"/>
          <w:lang w:val="en-CA"/>
        </w:rPr>
        <w:t>settlement</w:t>
      </w:r>
      <w:r w:rsidRPr="0058387B">
        <w:rPr>
          <w:szCs w:val="22"/>
          <w:lang w:val="en-CA"/>
        </w:rPr>
        <w:t xml:space="preserve"> and eligibility for the RT-GCG are affected.</w:t>
      </w:r>
    </w:p>
    <w:p w14:paraId="11DAE756" w14:textId="77777777" w:rsidR="00A97391" w:rsidRDefault="00A97391" w:rsidP="00A97391">
      <w:pPr>
        <w:pStyle w:val="AppendixHead3"/>
        <w:rPr>
          <w:b w:val="0"/>
          <w:lang w:val="en-CA"/>
        </w:rPr>
      </w:pPr>
      <w:r w:rsidRPr="0028777B">
        <w:rPr>
          <w:lang w:val="en-CA"/>
        </w:rPr>
        <w:t>RT-GCG Submission</w:t>
      </w:r>
    </w:p>
    <w:p w14:paraId="15E98312" w14:textId="77777777" w:rsidR="00A97391" w:rsidRPr="00CD6DB5" w:rsidRDefault="00A97391" w:rsidP="00A97391">
      <w:pPr>
        <w:pStyle w:val="BodyText"/>
        <w:rPr>
          <w:szCs w:val="22"/>
          <w:lang w:val="en-CA"/>
        </w:rPr>
      </w:pPr>
      <w:r w:rsidRPr="0038466E">
        <w:rPr>
          <w:szCs w:val="22"/>
          <w:lang w:val="en-CA"/>
        </w:rPr>
        <w:t xml:space="preserve">Your participation in the RT-GCG program is voluntary.  To participate, you must </w:t>
      </w:r>
      <w:r w:rsidRPr="0038466E">
        <w:rPr>
          <w:szCs w:val="22"/>
        </w:rPr>
        <w:t xml:space="preserve">provide additional registration data for your </w:t>
      </w:r>
      <w:r w:rsidRPr="0038466E">
        <w:rPr>
          <w:i/>
          <w:szCs w:val="22"/>
        </w:rPr>
        <w:t>generation facilities</w:t>
      </w:r>
      <w:r w:rsidRPr="0038466E">
        <w:rPr>
          <w:szCs w:val="22"/>
        </w:rPr>
        <w:t xml:space="preserve">.  </w:t>
      </w:r>
      <w:r w:rsidRPr="0038466E">
        <w:rPr>
          <w:szCs w:val="22"/>
          <w:lang w:val="en-CA"/>
        </w:rPr>
        <w:t xml:space="preserve">You can find the registration eligibility requirements in Chapter 7 Sections 2.2, 5.7 and 6.3A of the </w:t>
      </w:r>
      <w:r w:rsidRPr="0038466E">
        <w:rPr>
          <w:i/>
          <w:szCs w:val="22"/>
          <w:lang w:val="en-CA"/>
        </w:rPr>
        <w:t>market rules</w:t>
      </w:r>
      <w:r w:rsidRPr="0038466E">
        <w:rPr>
          <w:szCs w:val="22"/>
          <w:lang w:val="en-CA"/>
        </w:rPr>
        <w:t xml:space="preserve"> and in “Market Manual 9: D</w:t>
      </w:r>
      <w:r>
        <w:rPr>
          <w:szCs w:val="22"/>
          <w:lang w:val="en-CA"/>
        </w:rPr>
        <w:t>ay-Ahead Commitment Process</w:t>
      </w:r>
      <w:r w:rsidRPr="0038466E">
        <w:rPr>
          <w:szCs w:val="22"/>
          <w:lang w:val="en-CA"/>
        </w:rPr>
        <w:t>”.</w:t>
      </w:r>
    </w:p>
    <w:p w14:paraId="3A55FF30" w14:textId="77777777" w:rsidR="00A97391" w:rsidRPr="00CD6DB5" w:rsidRDefault="00A97391" w:rsidP="00A97391">
      <w:pPr>
        <w:pStyle w:val="BodyText"/>
        <w:rPr>
          <w:szCs w:val="22"/>
          <w:lang w:val="en-CA"/>
        </w:rPr>
      </w:pPr>
      <w:r w:rsidRPr="0038466E">
        <w:rPr>
          <w:szCs w:val="22"/>
          <w:lang w:val="en-CA"/>
        </w:rPr>
        <w:t xml:space="preserve">Specifically, the required registration data you must submit for each of your </w:t>
      </w:r>
      <w:r w:rsidRPr="0038466E">
        <w:rPr>
          <w:i/>
          <w:szCs w:val="22"/>
          <w:lang w:val="en-CA"/>
        </w:rPr>
        <w:t xml:space="preserve">generation units </w:t>
      </w:r>
      <w:r w:rsidRPr="0038466E">
        <w:rPr>
          <w:szCs w:val="22"/>
          <w:lang w:val="en-CA"/>
        </w:rPr>
        <w:t>to participate in the RT-GCG program is:</w:t>
      </w:r>
    </w:p>
    <w:p w14:paraId="102BB061" w14:textId="77777777" w:rsidR="00A97391" w:rsidRPr="00CD6DB5" w:rsidRDefault="00A97391" w:rsidP="00A97391">
      <w:pPr>
        <w:pStyle w:val="BodyText"/>
        <w:numPr>
          <w:ilvl w:val="0"/>
          <w:numId w:val="72"/>
        </w:numPr>
        <w:ind w:left="720"/>
        <w:rPr>
          <w:szCs w:val="22"/>
          <w:lang w:val="en-CA"/>
        </w:rPr>
      </w:pPr>
      <w:r w:rsidRPr="0038466E">
        <w:rPr>
          <w:szCs w:val="22"/>
          <w:lang w:val="en-CA"/>
        </w:rPr>
        <w:t xml:space="preserve">the </w:t>
      </w:r>
      <w:r w:rsidRPr="0038466E">
        <w:rPr>
          <w:i/>
          <w:szCs w:val="22"/>
          <w:lang w:val="en-CA"/>
        </w:rPr>
        <w:t>minimum loading point;</w:t>
      </w:r>
    </w:p>
    <w:p w14:paraId="771A27D7" w14:textId="77777777" w:rsidR="00A97391" w:rsidRPr="00CD6DB5" w:rsidRDefault="00A97391" w:rsidP="00A97391">
      <w:pPr>
        <w:pStyle w:val="BodyText"/>
        <w:numPr>
          <w:ilvl w:val="0"/>
          <w:numId w:val="72"/>
        </w:numPr>
        <w:ind w:left="720"/>
        <w:rPr>
          <w:szCs w:val="22"/>
          <w:lang w:val="en-CA"/>
        </w:rPr>
      </w:pPr>
      <w:r w:rsidRPr="0038466E">
        <w:rPr>
          <w:szCs w:val="22"/>
          <w:lang w:val="en-CA"/>
        </w:rPr>
        <w:t xml:space="preserve">the </w:t>
      </w:r>
      <w:r w:rsidRPr="0038466E">
        <w:rPr>
          <w:i/>
          <w:szCs w:val="22"/>
          <w:lang w:val="en-CA"/>
        </w:rPr>
        <w:t xml:space="preserve">minimum generation block run-time; </w:t>
      </w:r>
      <w:r w:rsidRPr="0038466E">
        <w:rPr>
          <w:szCs w:val="22"/>
          <w:lang w:val="en-CA"/>
        </w:rPr>
        <w:t>and</w:t>
      </w:r>
    </w:p>
    <w:p w14:paraId="4177628F" w14:textId="77777777" w:rsidR="00A97391" w:rsidRPr="00CD6DB5" w:rsidRDefault="00A97391" w:rsidP="00A97391">
      <w:pPr>
        <w:pStyle w:val="BodyText"/>
        <w:numPr>
          <w:ilvl w:val="0"/>
          <w:numId w:val="72"/>
        </w:numPr>
        <w:ind w:left="720"/>
        <w:rPr>
          <w:szCs w:val="22"/>
          <w:lang w:val="en-CA"/>
        </w:rPr>
      </w:pPr>
      <w:r w:rsidRPr="0038466E">
        <w:rPr>
          <w:szCs w:val="22"/>
          <w:lang w:val="en-CA"/>
        </w:rPr>
        <w:t xml:space="preserve">the </w:t>
      </w:r>
      <w:r w:rsidRPr="0038466E">
        <w:rPr>
          <w:i/>
          <w:szCs w:val="22"/>
          <w:lang w:val="en-CA"/>
        </w:rPr>
        <w:t>minimum run-time.</w:t>
      </w:r>
    </w:p>
    <w:p w14:paraId="1C0CE0BE" w14:textId="77777777" w:rsidR="00A97391" w:rsidRPr="00CD6DB5" w:rsidRDefault="00A97391" w:rsidP="00A97391">
      <w:pPr>
        <w:pStyle w:val="BodyText"/>
        <w:rPr>
          <w:szCs w:val="22"/>
          <w:lang w:val="en-CA"/>
        </w:rPr>
      </w:pPr>
      <w:r w:rsidRPr="0038466E">
        <w:rPr>
          <w:szCs w:val="22"/>
        </w:rPr>
        <w:t xml:space="preserve">The RT-GCG program allows you to recover certain costs called </w:t>
      </w:r>
      <w:r w:rsidRPr="0038466E">
        <w:rPr>
          <w:i/>
          <w:szCs w:val="22"/>
        </w:rPr>
        <w:t>combined guaranteed costs</w:t>
      </w:r>
      <w:r w:rsidRPr="0038466E">
        <w:rPr>
          <w:szCs w:val="22"/>
        </w:rPr>
        <w:t xml:space="preserve"> associated with start-up, and operation to the end of the </w:t>
      </w:r>
      <w:r w:rsidRPr="0038466E">
        <w:rPr>
          <w:i/>
          <w:szCs w:val="22"/>
        </w:rPr>
        <w:t>minimum generation block run-time</w:t>
      </w:r>
      <w:r w:rsidRPr="0038466E">
        <w:rPr>
          <w:szCs w:val="22"/>
        </w:rPr>
        <w:t>, provided that you have not recovered these costs through other market revenues.</w:t>
      </w:r>
    </w:p>
    <w:p w14:paraId="351695DE" w14:textId="429E5902" w:rsidR="00A97391" w:rsidRPr="00CD6DB5" w:rsidRDefault="00A97391" w:rsidP="00A97391">
      <w:pPr>
        <w:pStyle w:val="ListBullet3"/>
        <w:rPr>
          <w:szCs w:val="22"/>
        </w:rPr>
      </w:pPr>
      <w:r w:rsidRPr="0038466E">
        <w:rPr>
          <w:szCs w:val="22"/>
        </w:rPr>
        <w:t xml:space="preserve">To be considered for compensation under RT-GCG, you must provide all of the required information through the “generation cost guarantee” on line data entry screen available on the </w:t>
      </w:r>
      <w:r w:rsidRPr="0038466E">
        <w:rPr>
          <w:i/>
          <w:szCs w:val="22"/>
        </w:rPr>
        <w:t>IESO</w:t>
      </w:r>
      <w:r w:rsidRPr="0038466E">
        <w:rPr>
          <w:szCs w:val="22"/>
        </w:rPr>
        <w:t xml:space="preserve"> </w:t>
      </w:r>
      <w:r w:rsidR="004A7BF5">
        <w:rPr>
          <w:szCs w:val="22"/>
        </w:rPr>
        <w:t>Gateway</w:t>
      </w:r>
      <w:r w:rsidRPr="0038466E">
        <w:rPr>
          <w:szCs w:val="22"/>
        </w:rPr>
        <w:t>.  You must submit the following information for an RT-GCG event:</w:t>
      </w:r>
    </w:p>
    <w:p w14:paraId="3E802C02" w14:textId="77777777" w:rsidR="00A97391" w:rsidRPr="00CD6DB5" w:rsidRDefault="00A97391" w:rsidP="00A97391">
      <w:pPr>
        <w:pStyle w:val="Default"/>
        <w:numPr>
          <w:ilvl w:val="0"/>
          <w:numId w:val="65"/>
        </w:numPr>
        <w:spacing w:before="120" w:after="120"/>
        <w:rPr>
          <w:sz w:val="22"/>
          <w:szCs w:val="22"/>
        </w:rPr>
      </w:pPr>
      <w:r w:rsidRPr="0038466E">
        <w:rPr>
          <w:sz w:val="22"/>
          <w:szCs w:val="22"/>
        </w:rPr>
        <w:t>the trade date;</w:t>
      </w:r>
    </w:p>
    <w:p w14:paraId="562511B5" w14:textId="77777777" w:rsidR="00A97391" w:rsidRPr="00CD6DB5" w:rsidRDefault="00A97391" w:rsidP="00A97391">
      <w:pPr>
        <w:pStyle w:val="Default"/>
        <w:numPr>
          <w:ilvl w:val="0"/>
          <w:numId w:val="65"/>
        </w:numPr>
        <w:spacing w:before="120" w:after="120"/>
        <w:rPr>
          <w:sz w:val="22"/>
          <w:szCs w:val="22"/>
        </w:rPr>
      </w:pPr>
      <w:r w:rsidRPr="0038466E">
        <w:rPr>
          <w:sz w:val="22"/>
          <w:szCs w:val="22"/>
        </w:rPr>
        <w:t>the event type (select RT for RT-GCG);</w:t>
      </w:r>
    </w:p>
    <w:p w14:paraId="67252372" w14:textId="77777777" w:rsidR="00A97391" w:rsidRPr="00CD6DB5" w:rsidRDefault="00A97391" w:rsidP="00A97391">
      <w:pPr>
        <w:pStyle w:val="Default"/>
        <w:numPr>
          <w:ilvl w:val="0"/>
          <w:numId w:val="65"/>
        </w:numPr>
        <w:spacing w:before="120" w:after="120"/>
        <w:rPr>
          <w:sz w:val="22"/>
          <w:szCs w:val="22"/>
        </w:rPr>
      </w:pPr>
      <w:r w:rsidRPr="0038466E">
        <w:rPr>
          <w:sz w:val="22"/>
          <w:szCs w:val="22"/>
        </w:rPr>
        <w:t xml:space="preserve">the </w:t>
      </w:r>
      <w:r w:rsidRPr="0038466E">
        <w:rPr>
          <w:i/>
          <w:sz w:val="22"/>
          <w:szCs w:val="22"/>
        </w:rPr>
        <w:t>generation unit</w:t>
      </w:r>
      <w:r w:rsidRPr="0038466E">
        <w:rPr>
          <w:sz w:val="22"/>
          <w:szCs w:val="22"/>
        </w:rPr>
        <w:t xml:space="preserve"> name;</w:t>
      </w:r>
    </w:p>
    <w:p w14:paraId="16CDAC53" w14:textId="77777777" w:rsidR="00A97391" w:rsidRPr="00CD6DB5" w:rsidRDefault="00A97391" w:rsidP="00A97391">
      <w:pPr>
        <w:pStyle w:val="Default"/>
        <w:numPr>
          <w:ilvl w:val="0"/>
          <w:numId w:val="65"/>
        </w:numPr>
        <w:spacing w:before="120" w:after="120"/>
        <w:rPr>
          <w:sz w:val="22"/>
          <w:szCs w:val="22"/>
        </w:rPr>
      </w:pPr>
      <w:r w:rsidRPr="0038466E">
        <w:rPr>
          <w:sz w:val="22"/>
          <w:szCs w:val="22"/>
        </w:rPr>
        <w:t xml:space="preserve">the </w:t>
      </w:r>
      <w:r>
        <w:rPr>
          <w:sz w:val="22"/>
          <w:szCs w:val="22"/>
        </w:rPr>
        <w:t xml:space="preserve">intended </w:t>
      </w:r>
      <w:r w:rsidRPr="0038466E">
        <w:rPr>
          <w:sz w:val="22"/>
          <w:szCs w:val="22"/>
        </w:rPr>
        <w:t>synchronization hour ending (</w:t>
      </w:r>
      <w:r>
        <w:rPr>
          <w:sz w:val="22"/>
          <w:szCs w:val="22"/>
        </w:rPr>
        <w:t>EST</w:t>
      </w:r>
      <w:r w:rsidRPr="0038466E">
        <w:rPr>
          <w:sz w:val="22"/>
          <w:szCs w:val="22"/>
        </w:rPr>
        <w:t>)</w:t>
      </w:r>
      <w:r>
        <w:rPr>
          <w:sz w:val="22"/>
          <w:szCs w:val="22"/>
        </w:rPr>
        <w:t xml:space="preserve"> at the time you requested qualification of a RT-GCG start</w:t>
      </w:r>
      <w:r w:rsidRPr="0038466E">
        <w:rPr>
          <w:sz w:val="22"/>
          <w:szCs w:val="22"/>
        </w:rPr>
        <w:t>;</w:t>
      </w:r>
    </w:p>
    <w:p w14:paraId="6B58B2CF" w14:textId="77777777" w:rsidR="00A97391" w:rsidRPr="00CD6DB5" w:rsidRDefault="00A97391" w:rsidP="00A97391">
      <w:pPr>
        <w:pStyle w:val="Default"/>
        <w:numPr>
          <w:ilvl w:val="0"/>
          <w:numId w:val="65"/>
        </w:numPr>
        <w:spacing w:before="120" w:after="120"/>
        <w:rPr>
          <w:sz w:val="22"/>
          <w:szCs w:val="22"/>
        </w:rPr>
      </w:pPr>
      <w:r w:rsidRPr="0038466E">
        <w:rPr>
          <w:sz w:val="22"/>
          <w:szCs w:val="22"/>
        </w:rPr>
        <w:t xml:space="preserve">the number of actual ramp </w:t>
      </w:r>
      <w:r>
        <w:rPr>
          <w:sz w:val="22"/>
          <w:szCs w:val="22"/>
        </w:rPr>
        <w:t>intervals</w:t>
      </w:r>
      <w:r w:rsidRPr="0038466E">
        <w:rPr>
          <w:sz w:val="22"/>
          <w:szCs w:val="22"/>
        </w:rPr>
        <w:t xml:space="preserve"> required to achieve </w:t>
      </w:r>
      <w:r w:rsidRPr="0038466E">
        <w:rPr>
          <w:i/>
          <w:sz w:val="22"/>
          <w:szCs w:val="22"/>
        </w:rPr>
        <w:t>minimum loading point</w:t>
      </w:r>
      <w:r w:rsidRPr="0038466E">
        <w:rPr>
          <w:sz w:val="22"/>
          <w:szCs w:val="22"/>
        </w:rPr>
        <w:t xml:space="preserve"> after synchronization.  The number of ramp </w:t>
      </w:r>
      <w:r>
        <w:rPr>
          <w:sz w:val="22"/>
          <w:szCs w:val="22"/>
        </w:rPr>
        <w:t xml:space="preserve">intervals represents the number of five minute intervals used to reach </w:t>
      </w:r>
      <w:r w:rsidRPr="00397AEE">
        <w:rPr>
          <w:i/>
          <w:sz w:val="22"/>
          <w:szCs w:val="22"/>
        </w:rPr>
        <w:t>minimum loading point</w:t>
      </w:r>
      <w:r>
        <w:rPr>
          <w:sz w:val="22"/>
          <w:szCs w:val="22"/>
        </w:rPr>
        <w:t xml:space="preserve"> from synchronization.  For example, if your </w:t>
      </w:r>
      <w:r w:rsidRPr="0038466E">
        <w:rPr>
          <w:sz w:val="22"/>
          <w:szCs w:val="22"/>
        </w:rPr>
        <w:t xml:space="preserve">actual ramp time is 3.25 hours, you </w:t>
      </w:r>
      <w:r>
        <w:rPr>
          <w:sz w:val="22"/>
          <w:szCs w:val="22"/>
        </w:rPr>
        <w:t xml:space="preserve">would </w:t>
      </w:r>
      <w:r w:rsidRPr="0038466E">
        <w:rPr>
          <w:sz w:val="22"/>
          <w:szCs w:val="22"/>
        </w:rPr>
        <w:t xml:space="preserve">submit </w:t>
      </w:r>
      <w:r>
        <w:rPr>
          <w:sz w:val="22"/>
          <w:szCs w:val="22"/>
        </w:rPr>
        <w:t>39 intervals.</w:t>
      </w:r>
    </w:p>
    <w:p w14:paraId="44D0940E" w14:textId="77777777" w:rsidR="00A97391" w:rsidRPr="00CD6DB5" w:rsidRDefault="00A97391" w:rsidP="00A97391">
      <w:pPr>
        <w:pStyle w:val="Default"/>
        <w:numPr>
          <w:ilvl w:val="0"/>
          <w:numId w:val="65"/>
        </w:numPr>
        <w:spacing w:before="120" w:after="120"/>
        <w:rPr>
          <w:sz w:val="22"/>
          <w:szCs w:val="22"/>
        </w:rPr>
      </w:pPr>
      <w:r w:rsidRPr="0038466E">
        <w:rPr>
          <w:sz w:val="22"/>
          <w:szCs w:val="22"/>
        </w:rPr>
        <w:t xml:space="preserve">the fuel costs </w:t>
      </w:r>
      <w:r>
        <w:rPr>
          <w:sz w:val="22"/>
          <w:szCs w:val="22"/>
        </w:rPr>
        <w:t>for</w:t>
      </w:r>
      <w:r w:rsidRPr="0038466E">
        <w:rPr>
          <w:sz w:val="22"/>
          <w:szCs w:val="22"/>
        </w:rPr>
        <w:t xml:space="preserve"> start-up and </w:t>
      </w:r>
      <w:r>
        <w:rPr>
          <w:sz w:val="22"/>
          <w:szCs w:val="22"/>
        </w:rPr>
        <w:t>for</w:t>
      </w:r>
      <w:r w:rsidRPr="0038466E">
        <w:rPr>
          <w:sz w:val="22"/>
          <w:szCs w:val="22"/>
        </w:rPr>
        <w:t xml:space="preserve"> ramping to </w:t>
      </w:r>
      <w:r w:rsidRPr="0038466E">
        <w:rPr>
          <w:i/>
          <w:sz w:val="22"/>
          <w:szCs w:val="22"/>
        </w:rPr>
        <w:t>minimum loading point</w:t>
      </w:r>
      <w:r w:rsidRPr="0038466E">
        <w:rPr>
          <w:sz w:val="22"/>
          <w:szCs w:val="22"/>
        </w:rPr>
        <w:t>; and</w:t>
      </w:r>
    </w:p>
    <w:p w14:paraId="10CCA372" w14:textId="77777777" w:rsidR="00A97391" w:rsidRDefault="00A97391" w:rsidP="00A97391">
      <w:pPr>
        <w:pStyle w:val="Default"/>
        <w:numPr>
          <w:ilvl w:val="0"/>
          <w:numId w:val="73"/>
        </w:numPr>
        <w:spacing w:before="120" w:after="120"/>
        <w:rPr>
          <w:sz w:val="22"/>
          <w:szCs w:val="22"/>
        </w:rPr>
      </w:pPr>
      <w:r w:rsidRPr="0038466E">
        <w:rPr>
          <w:sz w:val="22"/>
          <w:szCs w:val="22"/>
        </w:rPr>
        <w:t xml:space="preserve">the incremental operation and maintenance (O&amp;M) costs associated with start-up and ramping to </w:t>
      </w:r>
      <w:r w:rsidRPr="0038466E">
        <w:rPr>
          <w:i/>
          <w:sz w:val="22"/>
          <w:szCs w:val="22"/>
        </w:rPr>
        <w:t>minimum loading point</w:t>
      </w:r>
      <w:r w:rsidRPr="0038466E">
        <w:rPr>
          <w:sz w:val="22"/>
          <w:szCs w:val="22"/>
        </w:rPr>
        <w:t>.</w:t>
      </w:r>
    </w:p>
    <w:p w14:paraId="15A71566" w14:textId="77777777" w:rsidR="00A97391" w:rsidRPr="00CD6DB5" w:rsidRDefault="00A97391" w:rsidP="00A97391">
      <w:pPr>
        <w:spacing w:after="0"/>
        <w:rPr>
          <w:szCs w:val="22"/>
        </w:rPr>
      </w:pPr>
      <w:r>
        <w:rPr>
          <w:szCs w:val="22"/>
        </w:rPr>
        <w:t xml:space="preserve">Incremental O&amp;M is a </w:t>
      </w:r>
      <w:r w:rsidRPr="00397AEE">
        <w:rPr>
          <w:szCs w:val="22"/>
        </w:rPr>
        <w:t>cost</w:t>
      </w:r>
      <w:r>
        <w:rPr>
          <w:szCs w:val="22"/>
        </w:rPr>
        <w:t xml:space="preserve"> associated with breaker close and unit operation.  These </w:t>
      </w:r>
      <w:r w:rsidRPr="00397AEE">
        <w:rPr>
          <w:szCs w:val="22"/>
        </w:rPr>
        <w:t xml:space="preserve">costs </w:t>
      </w:r>
      <w:r>
        <w:rPr>
          <w:szCs w:val="22"/>
        </w:rPr>
        <w:t xml:space="preserve">are avoidable if the unit does not start. </w:t>
      </w:r>
      <w:r w:rsidRPr="0038466E">
        <w:rPr>
          <w:szCs w:val="22"/>
        </w:rPr>
        <w:t xml:space="preserve"> Incremental O&amp;M </w:t>
      </w:r>
      <w:r w:rsidRPr="0038466E">
        <w:rPr>
          <w:szCs w:val="22"/>
          <w:u w:val="single"/>
        </w:rPr>
        <w:t>excludes</w:t>
      </w:r>
      <w:r w:rsidRPr="0038466E">
        <w:rPr>
          <w:szCs w:val="22"/>
        </w:rPr>
        <w:t xml:space="preserve"> costs that are independent of unit operation such as lighting, security, and so on</w:t>
      </w:r>
      <w:r>
        <w:rPr>
          <w:szCs w:val="22"/>
        </w:rPr>
        <w:t xml:space="preserve">. </w:t>
      </w:r>
      <w:r w:rsidRPr="0038466E">
        <w:rPr>
          <w:szCs w:val="22"/>
        </w:rPr>
        <w:t xml:space="preserve"> Incremental O&amp;M costs can be broken down according to the reason they are incurred:</w:t>
      </w:r>
    </w:p>
    <w:p w14:paraId="45EC9A62" w14:textId="77777777" w:rsidR="00A97391" w:rsidRPr="00CD6DB5" w:rsidRDefault="00A97391" w:rsidP="00A97391">
      <w:pPr>
        <w:numPr>
          <w:ilvl w:val="0"/>
          <w:numId w:val="70"/>
        </w:numPr>
        <w:spacing w:before="120" w:after="120"/>
        <w:rPr>
          <w:szCs w:val="22"/>
        </w:rPr>
      </w:pPr>
      <w:r>
        <w:rPr>
          <w:szCs w:val="22"/>
        </w:rPr>
        <w:t>F</w:t>
      </w:r>
      <w:r w:rsidRPr="0038466E">
        <w:rPr>
          <w:szCs w:val="22"/>
        </w:rPr>
        <w:t xml:space="preserve">or startup and ramp: </w:t>
      </w:r>
      <w:r>
        <w:rPr>
          <w:szCs w:val="22"/>
        </w:rPr>
        <w:t xml:space="preserve"> </w:t>
      </w:r>
      <w:r w:rsidRPr="0038466E">
        <w:rPr>
          <w:szCs w:val="22"/>
        </w:rPr>
        <w:t xml:space="preserve">If the cost is incurred because the unit has started and ramps to </w:t>
      </w:r>
      <w:r w:rsidRPr="0038466E">
        <w:rPr>
          <w:i/>
          <w:szCs w:val="22"/>
        </w:rPr>
        <w:t>minimum loading point</w:t>
      </w:r>
      <w:r w:rsidRPr="0038466E">
        <w:rPr>
          <w:szCs w:val="22"/>
        </w:rPr>
        <w:t>, this lump sum amount can be submitted.</w:t>
      </w:r>
    </w:p>
    <w:p w14:paraId="20EB8183" w14:textId="77777777" w:rsidR="00A97391" w:rsidRPr="00CD6DB5" w:rsidRDefault="00A97391" w:rsidP="00A97391">
      <w:pPr>
        <w:numPr>
          <w:ilvl w:val="0"/>
          <w:numId w:val="70"/>
        </w:numPr>
        <w:spacing w:before="120" w:after="120"/>
        <w:rPr>
          <w:szCs w:val="22"/>
        </w:rPr>
      </w:pPr>
      <w:r>
        <w:rPr>
          <w:szCs w:val="22"/>
        </w:rPr>
        <w:t>F</w:t>
      </w:r>
      <w:r w:rsidRPr="0038466E">
        <w:rPr>
          <w:szCs w:val="22"/>
        </w:rPr>
        <w:t>or continuing ongoing production:</w:t>
      </w:r>
      <w:r>
        <w:rPr>
          <w:szCs w:val="22"/>
        </w:rPr>
        <w:t xml:space="preserve"> </w:t>
      </w:r>
      <w:r w:rsidRPr="0038466E">
        <w:rPr>
          <w:szCs w:val="22"/>
        </w:rPr>
        <w:t xml:space="preserve"> If there is an additional cost for each hour run or per MWh up to </w:t>
      </w:r>
      <w:r w:rsidRPr="0038466E">
        <w:rPr>
          <w:i/>
          <w:szCs w:val="22"/>
        </w:rPr>
        <w:t>minimum loading point</w:t>
      </w:r>
      <w:r w:rsidRPr="0038466E">
        <w:rPr>
          <w:szCs w:val="22"/>
        </w:rPr>
        <w:t xml:space="preserve">, related to injections during </w:t>
      </w:r>
      <w:r w:rsidRPr="0038466E">
        <w:rPr>
          <w:i/>
          <w:iCs/>
          <w:szCs w:val="22"/>
        </w:rPr>
        <w:t>minimum generation block run-time</w:t>
      </w:r>
      <w:r w:rsidRPr="0038466E">
        <w:rPr>
          <w:szCs w:val="22"/>
        </w:rPr>
        <w:t xml:space="preserve">, this cost should be included in your </w:t>
      </w:r>
      <w:r w:rsidRPr="0038466E">
        <w:rPr>
          <w:i/>
          <w:iCs/>
          <w:szCs w:val="22"/>
        </w:rPr>
        <w:t>minimum generation block run-time</w:t>
      </w:r>
      <w:r w:rsidRPr="0038466E">
        <w:rPr>
          <w:szCs w:val="22"/>
        </w:rPr>
        <w:t xml:space="preserve"> </w:t>
      </w:r>
      <w:r w:rsidRPr="0058387B">
        <w:rPr>
          <w:i/>
          <w:szCs w:val="22"/>
        </w:rPr>
        <w:t>offer</w:t>
      </w:r>
      <w:r w:rsidRPr="0038466E">
        <w:rPr>
          <w:szCs w:val="22"/>
        </w:rPr>
        <w:t>.</w:t>
      </w:r>
    </w:p>
    <w:p w14:paraId="05D44540" w14:textId="77777777" w:rsidR="00A97391" w:rsidRPr="00CD6DB5" w:rsidRDefault="00A97391" w:rsidP="00A97391">
      <w:pPr>
        <w:pStyle w:val="Default"/>
        <w:spacing w:before="120" w:after="120"/>
        <w:rPr>
          <w:sz w:val="22"/>
          <w:szCs w:val="22"/>
        </w:rPr>
      </w:pPr>
      <w:r w:rsidRPr="0038466E">
        <w:rPr>
          <w:sz w:val="22"/>
          <w:szCs w:val="22"/>
        </w:rPr>
        <w:t xml:space="preserve">This submission is due by 17:00 on the sixteenth </w:t>
      </w:r>
      <w:r w:rsidRPr="0038466E">
        <w:rPr>
          <w:i/>
          <w:sz w:val="22"/>
          <w:szCs w:val="22"/>
        </w:rPr>
        <w:t>business day</w:t>
      </w:r>
      <w:r w:rsidRPr="0038466E">
        <w:rPr>
          <w:sz w:val="22"/>
          <w:szCs w:val="22"/>
        </w:rPr>
        <w:t xml:space="preserve"> following the day of synchronization.  The </w:t>
      </w:r>
      <w:r w:rsidRPr="0038466E">
        <w:rPr>
          <w:i/>
          <w:sz w:val="22"/>
          <w:szCs w:val="22"/>
        </w:rPr>
        <w:t>market rules</w:t>
      </w:r>
      <w:r w:rsidRPr="0038466E">
        <w:rPr>
          <w:sz w:val="22"/>
          <w:szCs w:val="22"/>
        </w:rPr>
        <w:t xml:space="preserve"> allow us to audit any information you submit related to an RT-GCG claim if you receive an RT-GCG payment.</w:t>
      </w:r>
    </w:p>
    <w:p w14:paraId="3B7166BE" w14:textId="4FC978B8" w:rsidR="00A97391" w:rsidRPr="005C59D4" w:rsidRDefault="00A97391" w:rsidP="00A97391">
      <w:pPr>
        <w:pStyle w:val="Default"/>
        <w:spacing w:before="120" w:after="120"/>
        <w:rPr>
          <w:sz w:val="22"/>
          <w:szCs w:val="22"/>
        </w:rPr>
      </w:pPr>
      <w:r>
        <w:rPr>
          <w:sz w:val="22"/>
          <w:szCs w:val="22"/>
        </w:rPr>
        <w:t xml:space="preserve">In the event it becomes clear the committed unit will not be able to synchronize, ramp to MLP </w:t>
      </w:r>
      <w:r w:rsidRPr="001B6E17">
        <w:rPr>
          <w:sz w:val="22"/>
          <w:szCs w:val="22"/>
        </w:rPr>
        <w:t>and</w:t>
      </w:r>
      <w:r>
        <w:rPr>
          <w:sz w:val="22"/>
          <w:szCs w:val="22"/>
        </w:rPr>
        <w:t xml:space="preserve"> remain at MLP for the duration of its registered MGBRT, the Replacement Energy Offer Program (REOP) may be used and a different unit, at the same facility and also registered in the RT-GCG program may take its place.  If necessary, the mandatory window will be opened so the offers on the replacement unit can be changed to match those of the original.  The information submitted through the “generation cost guarantee” on-line data entry screen available on the </w:t>
      </w:r>
      <w:r>
        <w:rPr>
          <w:i/>
          <w:sz w:val="22"/>
          <w:szCs w:val="22"/>
        </w:rPr>
        <w:t>IESO</w:t>
      </w:r>
      <w:r>
        <w:rPr>
          <w:sz w:val="22"/>
          <w:szCs w:val="22"/>
        </w:rPr>
        <w:t xml:space="preserve"> </w:t>
      </w:r>
      <w:r w:rsidR="004A7BF5">
        <w:rPr>
          <w:sz w:val="22"/>
          <w:szCs w:val="22"/>
        </w:rPr>
        <w:t xml:space="preserve">Gateway </w:t>
      </w:r>
      <w:r>
        <w:rPr>
          <w:sz w:val="22"/>
          <w:szCs w:val="22"/>
        </w:rPr>
        <w:t>must relate to the replacement unit, rather than the original.  The RT-GCG eligibility criteria will apply to the replacement unit except as noted.</w:t>
      </w:r>
    </w:p>
    <w:p w14:paraId="087F4D3C" w14:textId="77777777" w:rsidR="00A97391" w:rsidRPr="00CD6DB5" w:rsidRDefault="00A97391" w:rsidP="00A97391">
      <w:pPr>
        <w:pStyle w:val="Default"/>
        <w:spacing w:before="120" w:after="120"/>
        <w:rPr>
          <w:sz w:val="22"/>
          <w:szCs w:val="22"/>
        </w:rPr>
      </w:pPr>
      <w:r w:rsidRPr="0038466E">
        <w:rPr>
          <w:sz w:val="22"/>
          <w:szCs w:val="22"/>
        </w:rPr>
        <w:t xml:space="preserve">We use the submitted information and the registration information for the </w:t>
      </w:r>
      <w:r w:rsidRPr="0038466E">
        <w:rPr>
          <w:i/>
          <w:sz w:val="22"/>
          <w:szCs w:val="22"/>
        </w:rPr>
        <w:t xml:space="preserve">generation unit </w:t>
      </w:r>
      <w:r w:rsidRPr="0038466E">
        <w:rPr>
          <w:sz w:val="22"/>
          <w:szCs w:val="22"/>
        </w:rPr>
        <w:t xml:space="preserve">when evaluating the RT-GCG eligibility and when we calculate the </w:t>
      </w:r>
      <w:r w:rsidRPr="0038466E">
        <w:rPr>
          <w:i/>
          <w:sz w:val="22"/>
          <w:szCs w:val="22"/>
        </w:rPr>
        <w:t>settlement</w:t>
      </w:r>
      <w:r w:rsidRPr="0038466E">
        <w:rPr>
          <w:sz w:val="22"/>
          <w:szCs w:val="22"/>
        </w:rPr>
        <w:t>.</w:t>
      </w:r>
    </w:p>
    <w:p w14:paraId="16C2B1D8" w14:textId="77777777" w:rsidR="00A97391" w:rsidRDefault="00A97391" w:rsidP="00A442B9">
      <w:pPr>
        <w:pStyle w:val="AppendixHead3"/>
        <w:keepNext/>
        <w:pageBreakBefore/>
        <w:rPr>
          <w:lang w:val="en-CA"/>
        </w:rPr>
      </w:pPr>
      <w:r w:rsidRPr="00080D5C">
        <w:rPr>
          <w:lang w:val="en-CA"/>
        </w:rPr>
        <w:t>RT-GCG</w:t>
      </w:r>
      <w:r w:rsidRPr="0028777B">
        <w:rPr>
          <w:lang w:val="en-CA"/>
        </w:rPr>
        <w:t xml:space="preserve"> Eligibility</w:t>
      </w:r>
    </w:p>
    <w:p w14:paraId="462D640A" w14:textId="77777777" w:rsidR="00A97391" w:rsidRPr="00CD6DB5" w:rsidRDefault="00A97391" w:rsidP="00A97391">
      <w:pPr>
        <w:pStyle w:val="ListBullet3"/>
        <w:spacing w:before="120"/>
        <w:rPr>
          <w:szCs w:val="22"/>
        </w:rPr>
      </w:pPr>
      <w:r w:rsidRPr="0038466E">
        <w:rPr>
          <w:szCs w:val="22"/>
        </w:rPr>
        <w:t>RT-GCG eligibility criteria can be broken down into two distinct phases of the event as follows:</w:t>
      </w:r>
    </w:p>
    <w:p w14:paraId="5663B2CA" w14:textId="77777777" w:rsidR="00A97391" w:rsidRPr="00CD6DB5" w:rsidRDefault="00A97391" w:rsidP="00A97391">
      <w:pPr>
        <w:pStyle w:val="ListBullet3"/>
        <w:numPr>
          <w:ilvl w:val="0"/>
          <w:numId w:val="69"/>
        </w:numPr>
        <w:rPr>
          <w:szCs w:val="22"/>
        </w:rPr>
      </w:pPr>
      <w:r w:rsidRPr="0038466E">
        <w:rPr>
          <w:szCs w:val="22"/>
        </w:rPr>
        <w:t>Pre-dispatch Scheduling Eligibility Criteria</w:t>
      </w:r>
    </w:p>
    <w:p w14:paraId="49CEE372" w14:textId="77777777" w:rsidR="00A97391" w:rsidRPr="00CD6DB5" w:rsidRDefault="00A97391" w:rsidP="00A97391">
      <w:pPr>
        <w:pStyle w:val="ListBullet"/>
        <w:numPr>
          <w:ilvl w:val="0"/>
          <w:numId w:val="0"/>
        </w:numPr>
        <w:ind w:left="360"/>
        <w:rPr>
          <w:szCs w:val="22"/>
        </w:rPr>
      </w:pPr>
      <w:r w:rsidRPr="0038466E">
        <w:rPr>
          <w:szCs w:val="22"/>
        </w:rPr>
        <w:t xml:space="preserve">We will review the submission and determine if the </w:t>
      </w:r>
      <w:r w:rsidRPr="0038466E">
        <w:rPr>
          <w:i/>
          <w:szCs w:val="22"/>
        </w:rPr>
        <w:t>generation unit</w:t>
      </w:r>
      <w:r w:rsidRPr="0038466E">
        <w:rPr>
          <w:szCs w:val="22"/>
        </w:rPr>
        <w:t xml:space="preserve"> meets the pre-</w:t>
      </w:r>
      <w:r w:rsidRPr="0039308B">
        <w:rPr>
          <w:i/>
          <w:szCs w:val="22"/>
        </w:rPr>
        <w:t>dispatch</w:t>
      </w:r>
      <w:r w:rsidRPr="0038466E">
        <w:rPr>
          <w:szCs w:val="22"/>
        </w:rPr>
        <w:t xml:space="preserve"> scheduling requirements as follows:</w:t>
      </w:r>
    </w:p>
    <w:p w14:paraId="20F8741E" w14:textId="77777777" w:rsidR="00A97391" w:rsidRPr="00CD6DB5" w:rsidRDefault="00A97391" w:rsidP="00A97391">
      <w:pPr>
        <w:pStyle w:val="ListBullet"/>
        <w:numPr>
          <w:ilvl w:val="0"/>
          <w:numId w:val="68"/>
        </w:numPr>
        <w:ind w:left="720"/>
        <w:rPr>
          <w:szCs w:val="22"/>
        </w:rPr>
      </w:pPr>
      <w:r>
        <w:rPr>
          <w:szCs w:val="22"/>
        </w:rPr>
        <w:t xml:space="preserve">the </w:t>
      </w:r>
      <w:r>
        <w:rPr>
          <w:i/>
          <w:szCs w:val="22"/>
        </w:rPr>
        <w:t xml:space="preserve">generation unit </w:t>
      </w:r>
      <w:r>
        <w:rPr>
          <w:szCs w:val="22"/>
        </w:rPr>
        <w:t xml:space="preserve">is not already synchronized at the time of publication of the applicable </w:t>
      </w:r>
      <w:r>
        <w:rPr>
          <w:i/>
          <w:szCs w:val="22"/>
        </w:rPr>
        <w:t>pre-dispatch schedule</w:t>
      </w:r>
      <w:r>
        <w:rPr>
          <w:szCs w:val="22"/>
        </w:rPr>
        <w:t>.  If the REOP is used, the replacement unit must also not already be synchronized;</w:t>
      </w:r>
    </w:p>
    <w:p w14:paraId="768B655B" w14:textId="77777777" w:rsidR="00A97391" w:rsidRPr="00CD6DB5" w:rsidRDefault="00A97391" w:rsidP="00A97391">
      <w:pPr>
        <w:pStyle w:val="ListBullet"/>
        <w:numPr>
          <w:ilvl w:val="0"/>
          <w:numId w:val="68"/>
        </w:numPr>
        <w:ind w:left="720"/>
        <w:rPr>
          <w:szCs w:val="22"/>
        </w:rPr>
      </w:pPr>
      <w:r w:rsidRPr="0038466E">
        <w:rPr>
          <w:szCs w:val="22"/>
        </w:rPr>
        <w:t xml:space="preserve">you notified the </w:t>
      </w:r>
      <w:r w:rsidRPr="0038466E">
        <w:rPr>
          <w:i/>
          <w:szCs w:val="22"/>
        </w:rPr>
        <w:t>IESO</w:t>
      </w:r>
      <w:r w:rsidRPr="0038466E">
        <w:rPr>
          <w:szCs w:val="22"/>
        </w:rPr>
        <w:t xml:space="preserve"> control room, of your intent to qualify for an RT-GCG start, and your intent to synchronize in a particular hour ending and run for at least your </w:t>
      </w:r>
      <w:r w:rsidRPr="0038466E">
        <w:rPr>
          <w:i/>
          <w:szCs w:val="22"/>
        </w:rPr>
        <w:t>minimum generation block run-time</w:t>
      </w:r>
      <w:r w:rsidRPr="0038466E">
        <w:rPr>
          <w:szCs w:val="22"/>
        </w:rPr>
        <w:t>;</w:t>
      </w:r>
    </w:p>
    <w:p w14:paraId="5CBC58AE" w14:textId="77777777" w:rsidR="00A97391" w:rsidRPr="00CD6DB5" w:rsidRDefault="00A97391" w:rsidP="00A97391">
      <w:pPr>
        <w:pStyle w:val="ListBullet"/>
        <w:numPr>
          <w:ilvl w:val="0"/>
          <w:numId w:val="71"/>
        </w:numPr>
        <w:ind w:left="720"/>
        <w:rPr>
          <w:szCs w:val="22"/>
        </w:rPr>
      </w:pPr>
      <w:r w:rsidRPr="0038466E">
        <w:rPr>
          <w:szCs w:val="22"/>
        </w:rPr>
        <w:t xml:space="preserve">the </w:t>
      </w:r>
      <w:r w:rsidRPr="0038466E">
        <w:rPr>
          <w:i/>
          <w:szCs w:val="22"/>
        </w:rPr>
        <w:t>price-quantity pair</w:t>
      </w:r>
      <w:r w:rsidRPr="0038466E">
        <w:rPr>
          <w:szCs w:val="22"/>
        </w:rPr>
        <w:t xml:space="preserve"> </w:t>
      </w:r>
      <w:r w:rsidRPr="0038466E">
        <w:rPr>
          <w:i/>
          <w:szCs w:val="22"/>
        </w:rPr>
        <w:t xml:space="preserve">offer </w:t>
      </w:r>
      <w:r w:rsidRPr="0038466E">
        <w:rPr>
          <w:szCs w:val="22"/>
        </w:rPr>
        <w:t xml:space="preserve">price corresponding to the </w:t>
      </w:r>
      <w:r w:rsidRPr="0038466E">
        <w:rPr>
          <w:i/>
          <w:szCs w:val="22"/>
        </w:rPr>
        <w:t>minimum loading point</w:t>
      </w:r>
      <w:r w:rsidRPr="0038466E">
        <w:rPr>
          <w:szCs w:val="22"/>
        </w:rPr>
        <w:t xml:space="preserve"> for all hours of the </w:t>
      </w:r>
      <w:r w:rsidRPr="0038466E">
        <w:rPr>
          <w:i/>
          <w:iCs/>
          <w:szCs w:val="22"/>
        </w:rPr>
        <w:t xml:space="preserve">minimum generation block run-time </w:t>
      </w:r>
      <w:r w:rsidRPr="0038466E">
        <w:rPr>
          <w:szCs w:val="22"/>
        </w:rPr>
        <w:t xml:space="preserve">must be the same, until after the </w:t>
      </w:r>
      <w:r w:rsidRPr="0038466E">
        <w:rPr>
          <w:i/>
          <w:szCs w:val="22"/>
        </w:rPr>
        <w:t>IESO</w:t>
      </w:r>
      <w:r w:rsidRPr="0038466E">
        <w:rPr>
          <w:szCs w:val="22"/>
        </w:rPr>
        <w:t xml:space="preserve"> has constrained the </w:t>
      </w:r>
      <w:r w:rsidRPr="0038466E">
        <w:rPr>
          <w:i/>
          <w:szCs w:val="22"/>
        </w:rPr>
        <w:t>generation unit</w:t>
      </w:r>
      <w:r w:rsidRPr="0038466E">
        <w:rPr>
          <w:szCs w:val="22"/>
        </w:rPr>
        <w:t xml:space="preserve">; </w:t>
      </w:r>
    </w:p>
    <w:p w14:paraId="40A2F888" w14:textId="77777777" w:rsidR="00A97391" w:rsidRDefault="00A97391" w:rsidP="00A97391">
      <w:pPr>
        <w:pStyle w:val="ListParagraph"/>
        <w:numPr>
          <w:ilvl w:val="0"/>
          <w:numId w:val="71"/>
        </w:numPr>
        <w:spacing w:before="120" w:after="0"/>
        <w:ind w:left="720"/>
        <w:contextualSpacing w:val="0"/>
        <w:rPr>
          <w:szCs w:val="22"/>
        </w:rPr>
      </w:pPr>
      <w:r w:rsidRPr="00F66F6C">
        <w:rPr>
          <w:szCs w:val="22"/>
        </w:rPr>
        <w:t xml:space="preserve">the </w:t>
      </w:r>
      <w:r w:rsidRPr="00F66F6C">
        <w:rPr>
          <w:i/>
          <w:szCs w:val="22"/>
        </w:rPr>
        <w:t xml:space="preserve">generation unit </w:t>
      </w:r>
      <w:r w:rsidRPr="00F66F6C">
        <w:rPr>
          <w:szCs w:val="22"/>
        </w:rPr>
        <w:t xml:space="preserve">must be scheduled in any </w:t>
      </w:r>
      <w:r w:rsidRPr="00F66F6C">
        <w:rPr>
          <w:i/>
          <w:szCs w:val="22"/>
        </w:rPr>
        <w:t xml:space="preserve">pre-dispatch schedule </w:t>
      </w:r>
      <w:r w:rsidRPr="00F66F6C">
        <w:rPr>
          <w:szCs w:val="22"/>
        </w:rPr>
        <w:t xml:space="preserve">determined within three hours </w:t>
      </w:r>
      <w:r w:rsidRPr="00F66F6C">
        <w:rPr>
          <w:iCs/>
          <w:szCs w:val="22"/>
        </w:rPr>
        <w:t>ahead of the</w:t>
      </w:r>
      <w:r w:rsidRPr="00F66F6C">
        <w:rPr>
          <w:i/>
          <w:iCs/>
          <w:szCs w:val="22"/>
        </w:rPr>
        <w:t xml:space="preserve"> dispatch hour (i.e. </w:t>
      </w:r>
      <w:r w:rsidRPr="00F66F6C">
        <w:rPr>
          <w:iCs/>
          <w:szCs w:val="22"/>
        </w:rPr>
        <w:t>PD</w:t>
      </w:r>
      <w:r w:rsidRPr="00F66F6C">
        <w:rPr>
          <w:szCs w:val="22"/>
        </w:rPr>
        <w:t>-3, PD-2 or PD-1 published at approximately 12 minutes after the hour) for at least half of</w:t>
      </w:r>
      <w:r w:rsidRPr="00F66F6C">
        <w:rPr>
          <w:i/>
          <w:szCs w:val="22"/>
        </w:rPr>
        <w:t xml:space="preserve"> minimum generation block run-time</w:t>
      </w:r>
      <w:r w:rsidRPr="00F66F6C">
        <w:rPr>
          <w:szCs w:val="22"/>
        </w:rPr>
        <w:t>,</w:t>
      </w:r>
      <w:r w:rsidRPr="00F66F6C">
        <w:rPr>
          <w:i/>
          <w:szCs w:val="22"/>
        </w:rPr>
        <w:t xml:space="preserve"> </w:t>
      </w:r>
      <w:r w:rsidRPr="00F66F6C">
        <w:rPr>
          <w:szCs w:val="22"/>
        </w:rPr>
        <w:t>rounded up, at</w:t>
      </w:r>
      <w:r w:rsidRPr="00F66F6C">
        <w:rPr>
          <w:i/>
          <w:szCs w:val="22"/>
        </w:rPr>
        <w:t xml:space="preserve"> </w:t>
      </w:r>
      <w:r w:rsidRPr="00F66F6C">
        <w:rPr>
          <w:i/>
          <w:iCs/>
          <w:szCs w:val="22"/>
        </w:rPr>
        <w:t xml:space="preserve">minimum loading point </w:t>
      </w:r>
      <w:r w:rsidRPr="00F66F6C">
        <w:rPr>
          <w:szCs w:val="22"/>
        </w:rPr>
        <w:t>or high</w:t>
      </w:r>
      <w:r w:rsidRPr="00F66F6C">
        <w:rPr>
          <w:i/>
          <w:szCs w:val="22"/>
        </w:rPr>
        <w:t>er</w:t>
      </w:r>
      <w:r w:rsidRPr="00F66F6C">
        <w:rPr>
          <w:szCs w:val="22"/>
        </w:rPr>
        <w:t xml:space="preserve">, during the period from </w:t>
      </w:r>
      <w:r w:rsidRPr="00F66F6C">
        <w:rPr>
          <w:iCs/>
          <w:szCs w:val="22"/>
        </w:rPr>
        <w:t>the intended synchronization hour ending</w:t>
      </w:r>
      <w:r w:rsidRPr="00F66F6C">
        <w:rPr>
          <w:i/>
          <w:iCs/>
          <w:szCs w:val="22"/>
        </w:rPr>
        <w:t xml:space="preserve"> </w:t>
      </w:r>
      <w:r w:rsidRPr="00F66F6C">
        <w:rPr>
          <w:szCs w:val="22"/>
        </w:rPr>
        <w:t>until the end of</w:t>
      </w:r>
      <w:r w:rsidRPr="00F66F6C">
        <w:rPr>
          <w:i/>
          <w:szCs w:val="22"/>
        </w:rPr>
        <w:t xml:space="preserve"> </w:t>
      </w:r>
      <w:r w:rsidRPr="00F66F6C">
        <w:rPr>
          <w:szCs w:val="22"/>
        </w:rPr>
        <w:t>the</w:t>
      </w:r>
      <w:r w:rsidRPr="00F66F6C">
        <w:rPr>
          <w:i/>
          <w:szCs w:val="22"/>
        </w:rPr>
        <w:t xml:space="preserve"> minimum generation block run-time</w:t>
      </w:r>
      <w:r w:rsidRPr="00F66F6C">
        <w:rPr>
          <w:szCs w:val="22"/>
        </w:rPr>
        <w:t xml:space="preserve">, or the end of the </w:t>
      </w:r>
      <w:r w:rsidRPr="00F66F6C">
        <w:rPr>
          <w:i/>
          <w:szCs w:val="22"/>
        </w:rPr>
        <w:t xml:space="preserve">minimum run time, </w:t>
      </w:r>
      <w:r w:rsidRPr="00F66F6C">
        <w:rPr>
          <w:szCs w:val="22"/>
        </w:rPr>
        <w:t>whichever is earlier</w:t>
      </w:r>
      <w:r>
        <w:rPr>
          <w:szCs w:val="22"/>
        </w:rPr>
        <w:t>; and</w:t>
      </w:r>
    </w:p>
    <w:p w14:paraId="472553C5" w14:textId="77777777" w:rsidR="00A97391" w:rsidRPr="00F66F6C" w:rsidRDefault="00A97391" w:rsidP="00A97391">
      <w:pPr>
        <w:pStyle w:val="ListParagraph"/>
        <w:numPr>
          <w:ilvl w:val="0"/>
          <w:numId w:val="71"/>
        </w:numPr>
        <w:spacing w:before="120" w:after="0"/>
        <w:ind w:left="720"/>
        <w:contextualSpacing w:val="0"/>
        <w:rPr>
          <w:szCs w:val="22"/>
        </w:rPr>
      </w:pPr>
      <w:r>
        <w:rPr>
          <w:szCs w:val="22"/>
        </w:rPr>
        <w:t>If the REOP is used, the pre-dispatch schedule eligibility criteria will only apply to the original unit, except as noted above.</w:t>
      </w:r>
    </w:p>
    <w:p w14:paraId="7E0B88A6" w14:textId="77777777" w:rsidR="00A97391" w:rsidRPr="00CD6DB5" w:rsidRDefault="00A97391" w:rsidP="00A97391">
      <w:pPr>
        <w:pStyle w:val="Bullet"/>
        <w:numPr>
          <w:ilvl w:val="0"/>
          <w:numId w:val="69"/>
        </w:numPr>
        <w:spacing w:before="120" w:after="120"/>
        <w:rPr>
          <w:iCs/>
          <w:szCs w:val="22"/>
        </w:rPr>
      </w:pPr>
      <w:r w:rsidRPr="0038466E">
        <w:rPr>
          <w:szCs w:val="22"/>
        </w:rPr>
        <w:t>Real-time Scheduling and Operations Eligibility C</w:t>
      </w:r>
      <w:r w:rsidRPr="0038466E">
        <w:rPr>
          <w:iCs/>
          <w:szCs w:val="22"/>
        </w:rPr>
        <w:t>riteria</w:t>
      </w:r>
    </w:p>
    <w:p w14:paraId="1B865193" w14:textId="77777777" w:rsidR="00A97391" w:rsidRPr="00CD6DB5" w:rsidRDefault="00A97391" w:rsidP="00A97391">
      <w:pPr>
        <w:pStyle w:val="Bullet"/>
        <w:numPr>
          <w:ilvl w:val="0"/>
          <w:numId w:val="0"/>
        </w:numPr>
        <w:spacing w:before="120" w:after="120"/>
        <w:ind w:left="360"/>
        <w:rPr>
          <w:szCs w:val="22"/>
        </w:rPr>
      </w:pPr>
      <w:r w:rsidRPr="0038466E">
        <w:rPr>
          <w:iCs/>
          <w:szCs w:val="22"/>
        </w:rPr>
        <w:t>We will revie</w:t>
      </w:r>
      <w:r w:rsidRPr="0038466E">
        <w:rPr>
          <w:szCs w:val="22"/>
        </w:rPr>
        <w:t>w the submission and determine if</w:t>
      </w:r>
      <w:r w:rsidRPr="0038466E">
        <w:rPr>
          <w:iCs/>
          <w:szCs w:val="22"/>
        </w:rPr>
        <w:t xml:space="preserve"> the </w:t>
      </w:r>
      <w:r w:rsidRPr="0038466E">
        <w:rPr>
          <w:i/>
          <w:iCs/>
          <w:szCs w:val="22"/>
        </w:rPr>
        <w:t>generation unit</w:t>
      </w:r>
      <w:r w:rsidRPr="0038466E">
        <w:rPr>
          <w:iCs/>
          <w:szCs w:val="22"/>
        </w:rPr>
        <w:t xml:space="preserve"> </w:t>
      </w:r>
      <w:r w:rsidRPr="0038466E">
        <w:rPr>
          <w:i/>
          <w:iCs/>
          <w:szCs w:val="22"/>
        </w:rPr>
        <w:t>m</w:t>
      </w:r>
      <w:r w:rsidRPr="0038466E">
        <w:rPr>
          <w:szCs w:val="22"/>
        </w:rPr>
        <w:t xml:space="preserve">eets the </w:t>
      </w:r>
      <w:r w:rsidRPr="0038466E">
        <w:rPr>
          <w:i/>
          <w:szCs w:val="22"/>
        </w:rPr>
        <w:t>real-time</w:t>
      </w:r>
      <w:r w:rsidRPr="0038466E">
        <w:rPr>
          <w:szCs w:val="22"/>
        </w:rPr>
        <w:t xml:space="preserve"> scheduling and operational requirements as follows:</w:t>
      </w:r>
    </w:p>
    <w:p w14:paraId="0AF44541" w14:textId="77777777" w:rsidR="00A97391" w:rsidRPr="00CD6DB5" w:rsidRDefault="00A97391" w:rsidP="00A97391">
      <w:pPr>
        <w:pStyle w:val="Bullet"/>
        <w:tabs>
          <w:tab w:val="clear" w:pos="720"/>
        </w:tabs>
        <w:ind w:left="810" w:hanging="450"/>
        <w:rPr>
          <w:szCs w:val="22"/>
        </w:rPr>
      </w:pPr>
      <w:r w:rsidRPr="0038466E">
        <w:rPr>
          <w:szCs w:val="22"/>
        </w:rPr>
        <w:t xml:space="preserve">the </w:t>
      </w:r>
      <w:r w:rsidRPr="0058387B">
        <w:rPr>
          <w:i/>
          <w:szCs w:val="22"/>
        </w:rPr>
        <w:t>offer</w:t>
      </w:r>
      <w:r w:rsidRPr="0038466E">
        <w:rPr>
          <w:szCs w:val="22"/>
        </w:rPr>
        <w:t xml:space="preserve"> prices corresponding to the </w:t>
      </w:r>
      <w:r w:rsidRPr="0038466E">
        <w:rPr>
          <w:i/>
          <w:szCs w:val="22"/>
        </w:rPr>
        <w:t>minimum loading point</w:t>
      </w:r>
      <w:r w:rsidRPr="0038466E">
        <w:rPr>
          <w:szCs w:val="22"/>
        </w:rPr>
        <w:t xml:space="preserve"> for the </w:t>
      </w:r>
      <w:r w:rsidRPr="0038466E">
        <w:rPr>
          <w:i/>
          <w:iCs/>
          <w:szCs w:val="22"/>
        </w:rPr>
        <w:t>minimum generation block run-time</w:t>
      </w:r>
      <w:r w:rsidRPr="0038466E">
        <w:rPr>
          <w:szCs w:val="22"/>
        </w:rPr>
        <w:t xml:space="preserve"> are not increased after notifying the </w:t>
      </w:r>
      <w:r w:rsidRPr="0038466E">
        <w:rPr>
          <w:i/>
          <w:szCs w:val="22"/>
        </w:rPr>
        <w:t>IESO</w:t>
      </w:r>
      <w:r w:rsidRPr="0038466E">
        <w:rPr>
          <w:szCs w:val="22"/>
        </w:rPr>
        <w:t xml:space="preserve"> of your intention to synchronize or after the </w:t>
      </w:r>
      <w:r w:rsidRPr="0038466E">
        <w:rPr>
          <w:i/>
          <w:iCs/>
          <w:szCs w:val="22"/>
        </w:rPr>
        <w:t xml:space="preserve">IESO </w:t>
      </w:r>
      <w:r w:rsidRPr="0038466E">
        <w:rPr>
          <w:szCs w:val="22"/>
        </w:rPr>
        <w:t>has applied a manual constraint</w:t>
      </w:r>
      <w:r>
        <w:rPr>
          <w:szCs w:val="22"/>
        </w:rPr>
        <w:t xml:space="preserve">.  If the REOP is used, the offer prices corresponding to the </w:t>
      </w:r>
      <w:r>
        <w:rPr>
          <w:i/>
          <w:szCs w:val="22"/>
        </w:rPr>
        <w:t xml:space="preserve">minimum loading point </w:t>
      </w:r>
      <w:r>
        <w:rPr>
          <w:szCs w:val="22"/>
        </w:rPr>
        <w:t xml:space="preserve">for the </w:t>
      </w:r>
      <w:r>
        <w:rPr>
          <w:i/>
          <w:szCs w:val="22"/>
        </w:rPr>
        <w:t xml:space="preserve">minimum generation block run-time </w:t>
      </w:r>
      <w:r>
        <w:rPr>
          <w:szCs w:val="22"/>
        </w:rPr>
        <w:t>of the replacement unit must not exceed those of the original unit;</w:t>
      </w:r>
    </w:p>
    <w:p w14:paraId="581181B7" w14:textId="77777777" w:rsidR="00A97391" w:rsidRPr="00CD6DB5" w:rsidRDefault="00A97391" w:rsidP="00A97391">
      <w:pPr>
        <w:pStyle w:val="Bullet"/>
        <w:tabs>
          <w:tab w:val="clear" w:pos="720"/>
        </w:tabs>
        <w:ind w:left="810" w:hanging="450"/>
        <w:rPr>
          <w:szCs w:val="22"/>
        </w:rPr>
      </w:pPr>
      <w:r w:rsidRPr="0038466E">
        <w:rPr>
          <w:szCs w:val="22"/>
        </w:rPr>
        <w:t>you synchroni</w:t>
      </w:r>
      <w:r>
        <w:rPr>
          <w:szCs w:val="22"/>
        </w:rPr>
        <w:t>z</w:t>
      </w:r>
      <w:r w:rsidRPr="0038466E">
        <w:rPr>
          <w:szCs w:val="22"/>
        </w:rPr>
        <w:t xml:space="preserve">e your </w:t>
      </w:r>
      <w:r w:rsidRPr="0038466E">
        <w:rPr>
          <w:i/>
          <w:szCs w:val="22"/>
        </w:rPr>
        <w:t>generation unit</w:t>
      </w:r>
      <w:r w:rsidRPr="0038466E">
        <w:rPr>
          <w:szCs w:val="22"/>
        </w:rPr>
        <w:t xml:space="preserve"> no later than the end of the </w:t>
      </w:r>
      <w:r w:rsidRPr="0038466E">
        <w:rPr>
          <w:i/>
          <w:szCs w:val="22"/>
        </w:rPr>
        <w:t>dispatch hour</w:t>
      </w:r>
      <w:r w:rsidRPr="0038466E">
        <w:rPr>
          <w:szCs w:val="22"/>
        </w:rPr>
        <w:t>; and</w:t>
      </w:r>
    </w:p>
    <w:p w14:paraId="32AA1EAD" w14:textId="77777777" w:rsidR="00A97391" w:rsidRPr="00CD6DB5" w:rsidRDefault="00A97391" w:rsidP="00A97391">
      <w:pPr>
        <w:pStyle w:val="Bullet"/>
        <w:tabs>
          <w:tab w:val="clear" w:pos="720"/>
        </w:tabs>
        <w:ind w:left="810" w:hanging="450"/>
        <w:rPr>
          <w:szCs w:val="22"/>
        </w:rPr>
      </w:pPr>
      <w:r w:rsidRPr="0038466E">
        <w:rPr>
          <w:szCs w:val="22"/>
        </w:rPr>
        <w:t xml:space="preserve">you run your </w:t>
      </w:r>
      <w:r w:rsidRPr="0038466E">
        <w:rPr>
          <w:i/>
          <w:szCs w:val="22"/>
        </w:rPr>
        <w:t>generation unit</w:t>
      </w:r>
      <w:r w:rsidRPr="0038466E">
        <w:rPr>
          <w:szCs w:val="22"/>
        </w:rPr>
        <w:t xml:space="preserve"> until the end of the </w:t>
      </w:r>
      <w:r w:rsidRPr="0038466E">
        <w:rPr>
          <w:i/>
          <w:szCs w:val="22"/>
        </w:rPr>
        <w:t>minimum generation block run-time</w:t>
      </w:r>
      <w:r w:rsidRPr="0038466E">
        <w:rPr>
          <w:szCs w:val="22"/>
        </w:rPr>
        <w:t>.</w:t>
      </w:r>
    </w:p>
    <w:p w14:paraId="43679A7B" w14:textId="77777777" w:rsidR="00A97391" w:rsidRPr="00CD6DB5" w:rsidRDefault="00A97391" w:rsidP="00A97391">
      <w:pPr>
        <w:pStyle w:val="ListBullet3"/>
        <w:rPr>
          <w:szCs w:val="22"/>
        </w:rPr>
      </w:pPr>
      <w:r w:rsidRPr="0038466E">
        <w:rPr>
          <w:szCs w:val="22"/>
        </w:rPr>
        <w:t xml:space="preserve">We identify a </w:t>
      </w:r>
      <w:r w:rsidRPr="0038466E">
        <w:rPr>
          <w:i/>
          <w:szCs w:val="22"/>
        </w:rPr>
        <w:t>generation unit</w:t>
      </w:r>
      <w:r w:rsidRPr="0038466E">
        <w:rPr>
          <w:szCs w:val="22"/>
        </w:rPr>
        <w:t xml:space="preserve"> start-up for </w:t>
      </w:r>
      <w:r w:rsidRPr="0038466E">
        <w:rPr>
          <w:i/>
          <w:szCs w:val="22"/>
        </w:rPr>
        <w:t>settlement</w:t>
      </w:r>
      <w:r w:rsidRPr="0038466E">
        <w:rPr>
          <w:szCs w:val="22"/>
        </w:rPr>
        <w:t xml:space="preserve"> purposes by using </w:t>
      </w:r>
      <w:r w:rsidRPr="0038466E">
        <w:rPr>
          <w:i/>
          <w:szCs w:val="22"/>
        </w:rPr>
        <w:t>revenue metering</w:t>
      </w:r>
      <w:r w:rsidRPr="0038466E">
        <w:rPr>
          <w:szCs w:val="22"/>
        </w:rPr>
        <w:t xml:space="preserve"> results for the applicable </w:t>
      </w:r>
      <w:r w:rsidRPr="0038466E">
        <w:rPr>
          <w:i/>
          <w:szCs w:val="22"/>
        </w:rPr>
        <w:t>trading day</w:t>
      </w:r>
      <w:r w:rsidRPr="0038466E">
        <w:rPr>
          <w:szCs w:val="22"/>
        </w:rPr>
        <w:t xml:space="preserve">. </w:t>
      </w:r>
      <w:r>
        <w:rPr>
          <w:szCs w:val="22"/>
        </w:rPr>
        <w:t xml:space="preserve"> </w:t>
      </w:r>
      <w:r w:rsidRPr="0038466E">
        <w:rPr>
          <w:szCs w:val="22"/>
        </w:rPr>
        <w:t xml:space="preserve">The metering results must indicate a change from zero in one interval to a sustained positive value for four consecutive intervals. </w:t>
      </w:r>
      <w:r>
        <w:rPr>
          <w:szCs w:val="22"/>
        </w:rPr>
        <w:t xml:space="preserve"> </w:t>
      </w:r>
      <w:r w:rsidRPr="0038466E">
        <w:rPr>
          <w:szCs w:val="22"/>
        </w:rPr>
        <w:t xml:space="preserve">After a valid start-up has been identified, your </w:t>
      </w:r>
      <w:r w:rsidRPr="0038466E">
        <w:rPr>
          <w:i/>
          <w:iCs/>
          <w:szCs w:val="22"/>
        </w:rPr>
        <w:t>generation unit</w:t>
      </w:r>
      <w:r w:rsidRPr="0038466E">
        <w:rPr>
          <w:szCs w:val="22"/>
        </w:rPr>
        <w:t xml:space="preserve"> is determined to be on-line in an interval where your </w:t>
      </w:r>
      <w:r w:rsidRPr="0038466E">
        <w:rPr>
          <w:i/>
          <w:szCs w:val="22"/>
        </w:rPr>
        <w:t>revenue metering</w:t>
      </w:r>
      <w:r w:rsidRPr="0038466E">
        <w:rPr>
          <w:szCs w:val="22"/>
        </w:rPr>
        <w:t xml:space="preserve"> results show a positive value.</w:t>
      </w:r>
    </w:p>
    <w:p w14:paraId="789E2D08" w14:textId="77777777" w:rsidR="00A97391" w:rsidRPr="00CD6DB5" w:rsidRDefault="00A97391" w:rsidP="00A97391">
      <w:pPr>
        <w:pStyle w:val="ListBullet3"/>
        <w:rPr>
          <w:szCs w:val="22"/>
        </w:rPr>
      </w:pPr>
      <w:r w:rsidRPr="0038466E">
        <w:rPr>
          <w:szCs w:val="22"/>
        </w:rPr>
        <w:t xml:space="preserve">The </w:t>
      </w:r>
      <w:r w:rsidRPr="0038466E">
        <w:rPr>
          <w:i/>
          <w:szCs w:val="22"/>
        </w:rPr>
        <w:t>minimum generation block run time,</w:t>
      </w:r>
      <w:r w:rsidRPr="0038466E">
        <w:rPr>
          <w:szCs w:val="22"/>
        </w:rPr>
        <w:t xml:space="preserve"> as defined in the </w:t>
      </w:r>
      <w:r w:rsidRPr="0038466E">
        <w:rPr>
          <w:i/>
          <w:szCs w:val="22"/>
        </w:rPr>
        <w:t>market rules</w:t>
      </w:r>
      <w:r w:rsidRPr="0038466E">
        <w:rPr>
          <w:szCs w:val="22"/>
        </w:rPr>
        <w:t xml:space="preserve"> Chapter 11, is the minimum number of hours your </w:t>
      </w:r>
      <w:r w:rsidRPr="0038466E">
        <w:rPr>
          <w:i/>
          <w:szCs w:val="22"/>
        </w:rPr>
        <w:t xml:space="preserve">generation unit </w:t>
      </w:r>
      <w:r w:rsidRPr="0038466E">
        <w:rPr>
          <w:szCs w:val="22"/>
        </w:rPr>
        <w:t xml:space="preserve">must operate at </w:t>
      </w:r>
      <w:r w:rsidRPr="0038466E">
        <w:rPr>
          <w:i/>
          <w:szCs w:val="22"/>
        </w:rPr>
        <w:t xml:space="preserve">minimum loading point.  </w:t>
      </w:r>
      <w:r w:rsidRPr="0038466E">
        <w:rPr>
          <w:szCs w:val="22"/>
        </w:rPr>
        <w:t xml:space="preserve">You are expected to follow </w:t>
      </w:r>
      <w:r w:rsidRPr="00DA3379">
        <w:rPr>
          <w:i/>
          <w:szCs w:val="22"/>
        </w:rPr>
        <w:t>dispatch</w:t>
      </w:r>
      <w:r w:rsidRPr="0038466E">
        <w:rPr>
          <w:szCs w:val="22"/>
        </w:rPr>
        <w:t xml:space="preserve">, including operating to </w:t>
      </w:r>
      <w:r w:rsidRPr="0038466E">
        <w:rPr>
          <w:i/>
          <w:szCs w:val="22"/>
        </w:rPr>
        <w:t>minimum loading point</w:t>
      </w:r>
      <w:r w:rsidRPr="0038466E">
        <w:rPr>
          <w:szCs w:val="22"/>
        </w:rPr>
        <w:t>.</w:t>
      </w:r>
    </w:p>
    <w:p w14:paraId="67328FA1" w14:textId="77777777" w:rsidR="00A97391" w:rsidRPr="00CD6DB5" w:rsidRDefault="00A97391" w:rsidP="00A97391">
      <w:pPr>
        <w:pStyle w:val="ListBullet3"/>
        <w:rPr>
          <w:szCs w:val="22"/>
        </w:rPr>
      </w:pPr>
      <w:r w:rsidRPr="0038466E">
        <w:rPr>
          <w:szCs w:val="22"/>
        </w:rPr>
        <w:t>If we de</w:t>
      </w:r>
      <w:r>
        <w:rPr>
          <w:szCs w:val="22"/>
        </w:rPr>
        <w:t>-</w:t>
      </w:r>
      <w:r w:rsidRPr="0038466E">
        <w:rPr>
          <w:szCs w:val="22"/>
        </w:rPr>
        <w:t xml:space="preserve">commit a </w:t>
      </w:r>
      <w:r w:rsidRPr="0038466E">
        <w:rPr>
          <w:i/>
          <w:szCs w:val="22"/>
        </w:rPr>
        <w:t>generation unit</w:t>
      </w:r>
      <w:r w:rsidRPr="0038466E">
        <w:rPr>
          <w:szCs w:val="22"/>
        </w:rPr>
        <w:t xml:space="preserve"> for </w:t>
      </w:r>
      <w:r w:rsidRPr="0038466E">
        <w:rPr>
          <w:i/>
          <w:szCs w:val="22"/>
        </w:rPr>
        <w:t>reliability</w:t>
      </w:r>
      <w:r w:rsidRPr="0038466E">
        <w:rPr>
          <w:szCs w:val="22"/>
        </w:rPr>
        <w:t xml:space="preserve"> reasons after synchronization, the </w:t>
      </w:r>
      <w:r w:rsidRPr="0038466E">
        <w:rPr>
          <w:i/>
          <w:szCs w:val="22"/>
        </w:rPr>
        <w:t>generation unit</w:t>
      </w:r>
      <w:r w:rsidRPr="0038466E">
        <w:rPr>
          <w:szCs w:val="22"/>
        </w:rPr>
        <w:t xml:space="preserve"> is still eligible for guarantee payments.  You</w:t>
      </w:r>
      <w:r w:rsidRPr="0038466E">
        <w:rPr>
          <w:i/>
          <w:szCs w:val="22"/>
        </w:rPr>
        <w:t xml:space="preserve"> </w:t>
      </w:r>
      <w:r w:rsidRPr="0038466E">
        <w:rPr>
          <w:szCs w:val="22"/>
        </w:rPr>
        <w:t xml:space="preserve">should still submit all the information noted above for the RT-GCG event.  The costs submitted should represent the costs incurred prior to de-commitment.  However, you are not eligible for guarantee payments if the </w:t>
      </w:r>
      <w:r w:rsidRPr="0038466E">
        <w:rPr>
          <w:i/>
          <w:szCs w:val="22"/>
        </w:rPr>
        <w:t>generation unit</w:t>
      </w:r>
      <w:r w:rsidRPr="0038466E">
        <w:rPr>
          <w:szCs w:val="22"/>
        </w:rPr>
        <w:t xml:space="preserve"> fails to run until the end </w:t>
      </w:r>
      <w:r w:rsidRPr="0038466E">
        <w:rPr>
          <w:i/>
          <w:szCs w:val="22"/>
        </w:rPr>
        <w:t>minimum generation block run-time</w:t>
      </w:r>
      <w:r w:rsidRPr="0038466E">
        <w:rPr>
          <w:szCs w:val="22"/>
        </w:rPr>
        <w:t xml:space="preserve"> for any other reason.</w:t>
      </w:r>
    </w:p>
    <w:p w14:paraId="19BCF9EB" w14:textId="77777777" w:rsidR="00A97391" w:rsidRPr="00CD6DB5" w:rsidRDefault="00A97391" w:rsidP="00A97391">
      <w:pPr>
        <w:pStyle w:val="ListBullet3"/>
        <w:rPr>
          <w:szCs w:val="22"/>
        </w:rPr>
      </w:pPr>
      <w:r w:rsidRPr="0038466E">
        <w:rPr>
          <w:szCs w:val="22"/>
        </w:rPr>
        <w:t xml:space="preserve">We evaluate the eligibility of an RT-GCG claim when the </w:t>
      </w:r>
      <w:r w:rsidRPr="0038466E">
        <w:rPr>
          <w:i/>
          <w:szCs w:val="22"/>
        </w:rPr>
        <w:t>settlement</w:t>
      </w:r>
      <w:r w:rsidRPr="0038466E">
        <w:rPr>
          <w:szCs w:val="22"/>
        </w:rPr>
        <w:t xml:space="preserve"> data for the </w:t>
      </w:r>
      <w:r w:rsidRPr="0038466E">
        <w:rPr>
          <w:i/>
          <w:szCs w:val="22"/>
        </w:rPr>
        <w:t>final settlement statement</w:t>
      </w:r>
      <w:r w:rsidRPr="0038466E">
        <w:rPr>
          <w:szCs w:val="22"/>
        </w:rPr>
        <w:t xml:space="preserve"> are available in the Commercial Reconciliation System.</w:t>
      </w:r>
    </w:p>
    <w:p w14:paraId="01CC6B77" w14:textId="77777777" w:rsidR="00A97391" w:rsidRPr="00080D5C" w:rsidRDefault="00A97391" w:rsidP="00A97391">
      <w:pPr>
        <w:pStyle w:val="AppendixHead3"/>
        <w:rPr>
          <w:lang w:val="en-CA"/>
        </w:rPr>
      </w:pPr>
      <w:r w:rsidRPr="00080D5C">
        <w:rPr>
          <w:lang w:val="en-CA"/>
        </w:rPr>
        <w:t xml:space="preserve">RT-GCG </w:t>
      </w:r>
      <w:r>
        <w:rPr>
          <w:lang w:val="en-CA"/>
        </w:rPr>
        <w:t>Settlement</w:t>
      </w:r>
    </w:p>
    <w:p w14:paraId="1A436576" w14:textId="77777777" w:rsidR="00A97391" w:rsidRPr="00CD6DB5" w:rsidRDefault="00A97391" w:rsidP="00A97391">
      <w:pPr>
        <w:pStyle w:val="BodyText"/>
        <w:rPr>
          <w:b/>
          <w:szCs w:val="22"/>
        </w:rPr>
      </w:pPr>
      <w:r w:rsidRPr="0038466E">
        <w:rPr>
          <w:b/>
          <w:szCs w:val="22"/>
          <w:lang w:val="en-CA"/>
        </w:rPr>
        <w:t>RT-GCG Payments - Costs</w:t>
      </w:r>
    </w:p>
    <w:p w14:paraId="2698204F" w14:textId="77777777" w:rsidR="00A97391" w:rsidRPr="00CD6DB5" w:rsidRDefault="00A97391" w:rsidP="00A97391">
      <w:pPr>
        <w:pStyle w:val="ListBullet3"/>
        <w:rPr>
          <w:szCs w:val="22"/>
        </w:rPr>
      </w:pPr>
      <w:r w:rsidRPr="0038466E">
        <w:rPr>
          <w:szCs w:val="22"/>
        </w:rPr>
        <w:t xml:space="preserve">The </w:t>
      </w:r>
      <w:r w:rsidRPr="0038466E">
        <w:rPr>
          <w:i/>
          <w:szCs w:val="22"/>
        </w:rPr>
        <w:t>settlement</w:t>
      </w:r>
      <w:r w:rsidRPr="0038466E">
        <w:rPr>
          <w:szCs w:val="22"/>
        </w:rPr>
        <w:t xml:space="preserve"> of an RT-GCG event involves the comparison of certain eligible costs to some market revenues your </w:t>
      </w:r>
      <w:r w:rsidRPr="0038466E">
        <w:rPr>
          <w:i/>
          <w:szCs w:val="22"/>
        </w:rPr>
        <w:t xml:space="preserve">generation unit </w:t>
      </w:r>
      <w:r w:rsidRPr="0038466E">
        <w:rPr>
          <w:szCs w:val="22"/>
        </w:rPr>
        <w:t xml:space="preserve">has received for operating to the end of the </w:t>
      </w:r>
      <w:r w:rsidRPr="0038466E">
        <w:rPr>
          <w:i/>
          <w:szCs w:val="22"/>
        </w:rPr>
        <w:t>minimum generation block run-time</w:t>
      </w:r>
      <w:r w:rsidRPr="0038466E">
        <w:rPr>
          <w:szCs w:val="22"/>
        </w:rPr>
        <w:t xml:space="preserve"> specified for your </w:t>
      </w:r>
      <w:r w:rsidRPr="0038466E">
        <w:rPr>
          <w:i/>
          <w:szCs w:val="22"/>
        </w:rPr>
        <w:t>generation unit</w:t>
      </w:r>
      <w:r>
        <w:rPr>
          <w:szCs w:val="22"/>
        </w:rPr>
        <w:t xml:space="preserve">.  </w:t>
      </w:r>
      <w:r w:rsidRPr="0038466E">
        <w:rPr>
          <w:szCs w:val="22"/>
        </w:rPr>
        <w:t xml:space="preserve">Chapter 9, Section 4.7B of the </w:t>
      </w:r>
      <w:r w:rsidRPr="0038466E">
        <w:rPr>
          <w:i/>
          <w:szCs w:val="22"/>
        </w:rPr>
        <w:t>market rules</w:t>
      </w:r>
      <w:r w:rsidRPr="0038466E">
        <w:rPr>
          <w:szCs w:val="22"/>
        </w:rPr>
        <w:t xml:space="preserve"> describes the calculation of the costs, revenues, and the RT-GCG payment.</w:t>
      </w:r>
    </w:p>
    <w:p w14:paraId="351C4945" w14:textId="77777777" w:rsidR="00A97391" w:rsidRPr="00CD6DB5" w:rsidRDefault="00A97391" w:rsidP="00A97391">
      <w:pPr>
        <w:pStyle w:val="ListBullet3"/>
        <w:rPr>
          <w:szCs w:val="22"/>
        </w:rPr>
      </w:pPr>
      <w:r w:rsidRPr="0038466E">
        <w:rPr>
          <w:szCs w:val="22"/>
        </w:rPr>
        <w:t xml:space="preserve">The total </w:t>
      </w:r>
      <w:r w:rsidRPr="0038466E">
        <w:rPr>
          <w:i/>
          <w:szCs w:val="22"/>
        </w:rPr>
        <w:t>combined guaranteed costs</w:t>
      </w:r>
      <w:r w:rsidRPr="0038466E">
        <w:rPr>
          <w:iCs/>
          <w:szCs w:val="22"/>
        </w:rPr>
        <w:t xml:space="preserve"> </w:t>
      </w:r>
      <w:r w:rsidRPr="0038466E">
        <w:rPr>
          <w:szCs w:val="22"/>
        </w:rPr>
        <w:t xml:space="preserve">will be calculated by the </w:t>
      </w:r>
      <w:r w:rsidRPr="0038466E">
        <w:rPr>
          <w:i/>
          <w:iCs/>
          <w:szCs w:val="22"/>
        </w:rPr>
        <w:t xml:space="preserve">IESO </w:t>
      </w:r>
      <w:r w:rsidRPr="0038466E">
        <w:rPr>
          <w:szCs w:val="22"/>
        </w:rPr>
        <w:t>and will be the sum of the following costs:</w:t>
      </w:r>
    </w:p>
    <w:p w14:paraId="1933BC5A" w14:textId="77777777" w:rsidR="00A97391" w:rsidRPr="00CD6DB5" w:rsidRDefault="00A97391" w:rsidP="00A97391">
      <w:pPr>
        <w:pStyle w:val="Default"/>
        <w:numPr>
          <w:ilvl w:val="0"/>
          <w:numId w:val="66"/>
        </w:numPr>
        <w:rPr>
          <w:sz w:val="22"/>
          <w:szCs w:val="22"/>
        </w:rPr>
      </w:pPr>
      <w:r w:rsidRPr="0038466E">
        <w:rPr>
          <w:sz w:val="22"/>
          <w:szCs w:val="22"/>
        </w:rPr>
        <w:t xml:space="preserve">the submitted fuel costs and incremental O&amp;M costs for start-up and ramp to </w:t>
      </w:r>
      <w:r w:rsidRPr="0038466E">
        <w:rPr>
          <w:i/>
          <w:sz w:val="22"/>
          <w:szCs w:val="22"/>
        </w:rPr>
        <w:t>minimum loading point</w:t>
      </w:r>
      <w:r w:rsidRPr="0038466E">
        <w:rPr>
          <w:sz w:val="22"/>
          <w:szCs w:val="22"/>
        </w:rPr>
        <w:t>; and</w:t>
      </w:r>
    </w:p>
    <w:p w14:paraId="70CD8BD4" w14:textId="77777777" w:rsidR="00A97391" w:rsidRPr="00CD6DB5" w:rsidRDefault="00A97391" w:rsidP="00A97391">
      <w:pPr>
        <w:pStyle w:val="ListBullet"/>
        <w:numPr>
          <w:ilvl w:val="0"/>
          <w:numId w:val="67"/>
        </w:numPr>
        <w:rPr>
          <w:szCs w:val="22"/>
        </w:rPr>
      </w:pPr>
      <w:r w:rsidRPr="0038466E">
        <w:rPr>
          <w:szCs w:val="22"/>
        </w:rPr>
        <w:t xml:space="preserve">the </w:t>
      </w:r>
      <w:r w:rsidRPr="0038466E">
        <w:rPr>
          <w:i/>
          <w:iCs/>
          <w:szCs w:val="22"/>
        </w:rPr>
        <w:t xml:space="preserve">offer </w:t>
      </w:r>
      <w:r w:rsidRPr="0058387B">
        <w:rPr>
          <w:iCs/>
          <w:szCs w:val="22"/>
        </w:rPr>
        <w:t>price</w:t>
      </w:r>
      <w:r w:rsidRPr="0038466E">
        <w:rPr>
          <w:i/>
          <w:iCs/>
          <w:szCs w:val="22"/>
        </w:rPr>
        <w:t xml:space="preserve"> </w:t>
      </w:r>
      <w:r w:rsidRPr="0038466E">
        <w:rPr>
          <w:szCs w:val="22"/>
        </w:rPr>
        <w:t xml:space="preserve">associated with the real-time </w:t>
      </w:r>
      <w:r w:rsidRPr="0038466E">
        <w:rPr>
          <w:i/>
          <w:iCs/>
          <w:szCs w:val="22"/>
        </w:rPr>
        <w:t xml:space="preserve">dispatch </w:t>
      </w:r>
      <w:r w:rsidRPr="0038466E">
        <w:rPr>
          <w:szCs w:val="22"/>
        </w:rPr>
        <w:t xml:space="preserve">multiplied by the </w:t>
      </w:r>
      <w:r w:rsidRPr="0038466E">
        <w:rPr>
          <w:i/>
          <w:iCs/>
          <w:szCs w:val="22"/>
        </w:rPr>
        <w:t xml:space="preserve">energy </w:t>
      </w:r>
      <w:r w:rsidRPr="0038466E">
        <w:rPr>
          <w:szCs w:val="22"/>
        </w:rPr>
        <w:t xml:space="preserve">injected, to a maximum of the </w:t>
      </w:r>
      <w:r>
        <w:rPr>
          <w:i/>
          <w:szCs w:val="22"/>
        </w:rPr>
        <w:t>minimum loading point</w:t>
      </w:r>
      <w:r w:rsidRPr="0038466E">
        <w:rPr>
          <w:i/>
          <w:iCs/>
          <w:szCs w:val="22"/>
        </w:rPr>
        <w:t xml:space="preserve">, </w:t>
      </w:r>
      <w:r w:rsidRPr="0038466E">
        <w:rPr>
          <w:szCs w:val="22"/>
        </w:rPr>
        <w:t xml:space="preserve">during the period from the beginning of the </w:t>
      </w:r>
      <w:r w:rsidRPr="0038466E">
        <w:rPr>
          <w:i/>
          <w:iCs/>
          <w:szCs w:val="22"/>
        </w:rPr>
        <w:t xml:space="preserve">minimum generation block run-time </w:t>
      </w:r>
      <w:r w:rsidRPr="0038466E">
        <w:rPr>
          <w:szCs w:val="22"/>
        </w:rPr>
        <w:t>until the earlier of the end of the</w:t>
      </w:r>
      <w:r>
        <w:rPr>
          <w:i/>
          <w:szCs w:val="22"/>
        </w:rPr>
        <w:t xml:space="preserve"> minimum generation block run-time</w:t>
      </w:r>
      <w:r>
        <w:rPr>
          <w:szCs w:val="22"/>
        </w:rPr>
        <w:t xml:space="preserve">, or the end of the </w:t>
      </w:r>
      <w:r>
        <w:rPr>
          <w:i/>
          <w:szCs w:val="22"/>
        </w:rPr>
        <w:t>minimum run time</w:t>
      </w:r>
      <w:r>
        <w:rPr>
          <w:szCs w:val="22"/>
        </w:rPr>
        <w:t>.</w:t>
      </w:r>
    </w:p>
    <w:p w14:paraId="187A3AA1" w14:textId="77777777" w:rsidR="00A97391" w:rsidRPr="00CD6DB5" w:rsidRDefault="00A97391" w:rsidP="00A97391">
      <w:pPr>
        <w:pStyle w:val="Default"/>
        <w:rPr>
          <w:sz w:val="22"/>
          <w:szCs w:val="22"/>
        </w:rPr>
      </w:pPr>
      <w:r w:rsidRPr="0038466E">
        <w:rPr>
          <w:sz w:val="22"/>
          <w:szCs w:val="22"/>
        </w:rPr>
        <w:t xml:space="preserve">The </w:t>
      </w:r>
      <w:r w:rsidRPr="0038466E">
        <w:rPr>
          <w:i/>
          <w:sz w:val="22"/>
          <w:szCs w:val="22"/>
        </w:rPr>
        <w:t xml:space="preserve">minimum generation block run-time </w:t>
      </w:r>
      <w:r w:rsidRPr="0038466E">
        <w:rPr>
          <w:sz w:val="22"/>
          <w:szCs w:val="22"/>
        </w:rPr>
        <w:t>starts with the first interval after we add the submitted number of actual ramp hours to the valid start-up interval.</w:t>
      </w:r>
    </w:p>
    <w:p w14:paraId="2427FAA5" w14:textId="77777777" w:rsidR="00A97391" w:rsidRPr="00CD6DB5" w:rsidRDefault="00A97391" w:rsidP="00A97391">
      <w:pPr>
        <w:spacing w:before="120" w:after="0"/>
        <w:rPr>
          <w:b/>
          <w:szCs w:val="22"/>
          <w:lang w:val="en-CA"/>
        </w:rPr>
      </w:pPr>
      <w:r w:rsidRPr="0038466E">
        <w:rPr>
          <w:b/>
          <w:szCs w:val="22"/>
          <w:lang w:val="en-CA"/>
        </w:rPr>
        <w:t>RT-GCG Payments - Revenues</w:t>
      </w:r>
    </w:p>
    <w:p w14:paraId="2CC762B6" w14:textId="77777777" w:rsidR="00A97391" w:rsidRDefault="00A97391" w:rsidP="00A97391">
      <w:pPr>
        <w:pStyle w:val="ListBullet"/>
        <w:numPr>
          <w:ilvl w:val="0"/>
          <w:numId w:val="0"/>
        </w:numPr>
        <w:rPr>
          <w:szCs w:val="22"/>
        </w:rPr>
      </w:pPr>
      <w:r w:rsidRPr="0038466E">
        <w:rPr>
          <w:szCs w:val="22"/>
        </w:rPr>
        <w:t xml:space="preserve">Revenues are calculated for the period from </w:t>
      </w:r>
      <w:r>
        <w:rPr>
          <w:iCs/>
          <w:szCs w:val="22"/>
        </w:rPr>
        <w:t>start-up</w:t>
      </w:r>
      <w:r>
        <w:rPr>
          <w:i/>
          <w:iCs/>
          <w:szCs w:val="22"/>
        </w:rPr>
        <w:t xml:space="preserve"> </w:t>
      </w:r>
      <w:r>
        <w:rPr>
          <w:szCs w:val="22"/>
        </w:rPr>
        <w:t>until the earlier of the end of the</w:t>
      </w:r>
      <w:r>
        <w:rPr>
          <w:i/>
          <w:szCs w:val="22"/>
        </w:rPr>
        <w:t xml:space="preserve"> minimum generation block run-time</w:t>
      </w:r>
      <w:r>
        <w:rPr>
          <w:szCs w:val="22"/>
        </w:rPr>
        <w:t xml:space="preserve">, or the </w:t>
      </w:r>
      <w:r>
        <w:rPr>
          <w:i/>
          <w:szCs w:val="22"/>
        </w:rPr>
        <w:t>end</w:t>
      </w:r>
      <w:r>
        <w:rPr>
          <w:szCs w:val="22"/>
        </w:rPr>
        <w:t xml:space="preserve"> of the </w:t>
      </w:r>
      <w:r>
        <w:rPr>
          <w:i/>
          <w:szCs w:val="22"/>
        </w:rPr>
        <w:t>minimum run time</w:t>
      </w:r>
      <w:r>
        <w:rPr>
          <w:szCs w:val="22"/>
        </w:rPr>
        <w:t xml:space="preserve">.  The end of the </w:t>
      </w:r>
      <w:r w:rsidRPr="0038466E">
        <w:rPr>
          <w:i/>
          <w:szCs w:val="22"/>
        </w:rPr>
        <w:t xml:space="preserve">minimum generation block run-time </w:t>
      </w:r>
      <w:r w:rsidRPr="0038466E">
        <w:rPr>
          <w:szCs w:val="22"/>
        </w:rPr>
        <w:t xml:space="preserve">is the first interval after we add the submitted number of actual ramp </w:t>
      </w:r>
      <w:r>
        <w:rPr>
          <w:szCs w:val="22"/>
        </w:rPr>
        <w:t xml:space="preserve">intervals </w:t>
      </w:r>
      <w:r w:rsidRPr="0038466E">
        <w:rPr>
          <w:szCs w:val="22"/>
        </w:rPr>
        <w:t>and the</w:t>
      </w:r>
      <w:r w:rsidRPr="0038466E">
        <w:rPr>
          <w:i/>
          <w:szCs w:val="22"/>
        </w:rPr>
        <w:t xml:space="preserve"> minimum generation block run-time </w:t>
      </w:r>
      <w:r w:rsidRPr="0038466E">
        <w:rPr>
          <w:szCs w:val="22"/>
        </w:rPr>
        <w:t>to the valid start-up interval.</w:t>
      </w:r>
    </w:p>
    <w:p w14:paraId="7822A0A1" w14:textId="77777777" w:rsidR="00A97391" w:rsidRPr="00CD6DB5" w:rsidRDefault="00A97391" w:rsidP="00A97391">
      <w:pPr>
        <w:pStyle w:val="ListBullet"/>
        <w:numPr>
          <w:ilvl w:val="0"/>
          <w:numId w:val="0"/>
        </w:numPr>
        <w:rPr>
          <w:szCs w:val="22"/>
        </w:rPr>
      </w:pPr>
      <w:r>
        <w:rPr>
          <w:szCs w:val="22"/>
        </w:rPr>
        <w:t>T</w:t>
      </w:r>
      <w:r w:rsidRPr="0038466E">
        <w:rPr>
          <w:szCs w:val="22"/>
          <w:lang w:val="en-CA"/>
        </w:rPr>
        <w:t>he revenues included in the calculation are:</w:t>
      </w:r>
    </w:p>
    <w:p w14:paraId="63792963" w14:textId="77777777" w:rsidR="00A97391" w:rsidRPr="00CD6DB5" w:rsidRDefault="00A97391" w:rsidP="00A97391">
      <w:pPr>
        <w:pStyle w:val="ListBullet"/>
        <w:tabs>
          <w:tab w:val="num" w:pos="1080"/>
        </w:tabs>
        <w:ind w:left="1080"/>
        <w:rPr>
          <w:szCs w:val="22"/>
        </w:rPr>
      </w:pPr>
      <w:r w:rsidRPr="0038466E">
        <w:rPr>
          <w:szCs w:val="22"/>
        </w:rPr>
        <w:t xml:space="preserve">revenue from </w:t>
      </w:r>
      <w:r w:rsidRPr="00DA3379">
        <w:rPr>
          <w:i/>
          <w:szCs w:val="22"/>
        </w:rPr>
        <w:t>energy</w:t>
      </w:r>
      <w:r w:rsidRPr="0038466E">
        <w:rPr>
          <w:szCs w:val="22"/>
        </w:rPr>
        <w:t xml:space="preserve"> sales up to the </w:t>
      </w:r>
      <w:r w:rsidRPr="0038466E">
        <w:rPr>
          <w:i/>
          <w:szCs w:val="22"/>
        </w:rPr>
        <w:t>minimum loading point</w:t>
      </w:r>
      <w:r w:rsidRPr="0038466E">
        <w:rPr>
          <w:rStyle w:val="FootnoteReference"/>
          <w:szCs w:val="22"/>
        </w:rPr>
        <w:footnoteReference w:id="58"/>
      </w:r>
      <w:r w:rsidRPr="0038466E">
        <w:rPr>
          <w:szCs w:val="22"/>
        </w:rPr>
        <w:t xml:space="preserve"> and</w:t>
      </w:r>
    </w:p>
    <w:p w14:paraId="3A35A032" w14:textId="77777777" w:rsidR="00A97391" w:rsidRPr="00BB791A" w:rsidRDefault="00A97391" w:rsidP="00A97391">
      <w:pPr>
        <w:pStyle w:val="ListBullet"/>
        <w:tabs>
          <w:tab w:val="num" w:pos="1080"/>
        </w:tabs>
        <w:ind w:left="1080"/>
        <w:rPr>
          <w:szCs w:val="22"/>
        </w:rPr>
      </w:pPr>
      <w:r w:rsidRPr="00397AEE">
        <w:rPr>
          <w:i/>
          <w:szCs w:val="22"/>
        </w:rPr>
        <w:t>congestion management settlement credits</w:t>
      </w:r>
      <w:r>
        <w:rPr>
          <w:szCs w:val="22"/>
        </w:rPr>
        <w:t xml:space="preserve"> (CMSC) </w:t>
      </w:r>
      <w:r w:rsidRPr="00397AEE">
        <w:rPr>
          <w:szCs w:val="22"/>
        </w:rPr>
        <w:t xml:space="preserve">associated with Allocated Quantity of Energy Injected (AQEI) up to the </w:t>
      </w:r>
      <w:r w:rsidRPr="00397AEE">
        <w:rPr>
          <w:i/>
          <w:szCs w:val="22"/>
        </w:rPr>
        <w:t>minimum loading point</w:t>
      </w:r>
      <w:r>
        <w:rPr>
          <w:rStyle w:val="FootnoteReference"/>
          <w:i/>
          <w:szCs w:val="22"/>
        </w:rPr>
        <w:footnoteReference w:id="59"/>
      </w:r>
      <w:r w:rsidRPr="00397AEE">
        <w:rPr>
          <w:szCs w:val="22"/>
        </w:rPr>
        <w:t>.</w:t>
      </w:r>
    </w:p>
    <w:p w14:paraId="364F60DA" w14:textId="77777777" w:rsidR="00A97391" w:rsidRDefault="00A97391" w:rsidP="00A97391">
      <w:pPr>
        <w:pStyle w:val="ListBullet3"/>
        <w:spacing w:before="120" w:after="120"/>
        <w:rPr>
          <w:szCs w:val="22"/>
        </w:rPr>
      </w:pPr>
      <w:r w:rsidRPr="0038466E">
        <w:rPr>
          <w:szCs w:val="22"/>
        </w:rPr>
        <w:t>When costs exceed the revenues associated with a start, you are paid the difference as an RT-GCG payment.</w:t>
      </w:r>
    </w:p>
    <w:p w14:paraId="1E435800" w14:textId="77777777" w:rsidR="00A97391" w:rsidRDefault="00A97391" w:rsidP="00A97391">
      <w:pPr>
        <w:pStyle w:val="ListBullet3"/>
        <w:spacing w:before="120" w:after="120"/>
        <w:rPr>
          <w:szCs w:val="22"/>
        </w:rPr>
      </w:pPr>
      <w:r w:rsidRPr="0038466E">
        <w:rPr>
          <w:szCs w:val="22"/>
        </w:rPr>
        <w:t xml:space="preserve">The RT-GCG </w:t>
      </w:r>
      <w:r w:rsidRPr="00DA3379">
        <w:rPr>
          <w:i/>
          <w:szCs w:val="22"/>
        </w:rPr>
        <w:t>settlement amounts</w:t>
      </w:r>
      <w:r w:rsidRPr="0038466E">
        <w:rPr>
          <w:szCs w:val="22"/>
        </w:rPr>
        <w:t xml:space="preserve"> are calculated at month-end, and applied as a manual line item on the next applicable </w:t>
      </w:r>
      <w:r w:rsidRPr="0038466E">
        <w:rPr>
          <w:i/>
          <w:szCs w:val="22"/>
        </w:rPr>
        <w:t>preliminary settlement statement</w:t>
      </w:r>
      <w:r w:rsidRPr="0038466E">
        <w:rPr>
          <w:szCs w:val="22"/>
        </w:rPr>
        <w:t xml:space="preserve"> using the </w:t>
      </w:r>
      <w:r w:rsidRPr="0038466E">
        <w:rPr>
          <w:i/>
          <w:szCs w:val="22"/>
        </w:rPr>
        <w:t xml:space="preserve">charge type </w:t>
      </w:r>
      <w:r w:rsidRPr="0038466E">
        <w:rPr>
          <w:szCs w:val="22"/>
        </w:rPr>
        <w:t>133 “Real-time Generation Cost Guarantee Payment”</w:t>
      </w:r>
      <w:r>
        <w:rPr>
          <w:szCs w:val="22"/>
        </w:rPr>
        <w:t xml:space="preserve">.  </w:t>
      </w:r>
      <w:r w:rsidRPr="0038466E">
        <w:rPr>
          <w:szCs w:val="22"/>
        </w:rPr>
        <w:t xml:space="preserve">RT-GCG calculations are only included in the current </w:t>
      </w:r>
      <w:r w:rsidRPr="0038466E">
        <w:rPr>
          <w:i/>
          <w:szCs w:val="22"/>
        </w:rPr>
        <w:t xml:space="preserve">invoice </w:t>
      </w:r>
      <w:r w:rsidRPr="0038466E">
        <w:rPr>
          <w:szCs w:val="22"/>
        </w:rPr>
        <w:t>for days that have gone final since the last</w:t>
      </w:r>
      <w:r w:rsidRPr="0038466E">
        <w:rPr>
          <w:i/>
          <w:szCs w:val="22"/>
        </w:rPr>
        <w:t xml:space="preserve"> invoice</w:t>
      </w:r>
      <w:r w:rsidRPr="0038466E">
        <w:rPr>
          <w:szCs w:val="22"/>
        </w:rPr>
        <w:t xml:space="preserve"> was prepared.  RT-GCG payments are recovered through an</w:t>
      </w:r>
      <w:r>
        <w:rPr>
          <w:szCs w:val="22"/>
        </w:rPr>
        <w:t xml:space="preserve"> </w:t>
      </w:r>
      <w:r w:rsidRPr="0038466E">
        <w:rPr>
          <w:szCs w:val="22"/>
        </w:rPr>
        <w:t xml:space="preserve">uplift charged to loads and exports through </w:t>
      </w:r>
      <w:r w:rsidRPr="0038466E">
        <w:rPr>
          <w:i/>
          <w:szCs w:val="22"/>
        </w:rPr>
        <w:t>charge type</w:t>
      </w:r>
      <w:r w:rsidRPr="0038466E">
        <w:rPr>
          <w:szCs w:val="22"/>
        </w:rPr>
        <w:t xml:space="preserve"> 183 “Generation Cost Guarantee Recovery Debit”.</w:t>
      </w:r>
    </w:p>
    <w:p w14:paraId="1893B272" w14:textId="77777777" w:rsidR="00A97391" w:rsidRPr="00346694" w:rsidRDefault="00A97391" w:rsidP="00A442B9">
      <w:pPr>
        <w:pStyle w:val="AppendixHead3"/>
        <w:keepNext/>
      </w:pPr>
      <w:r w:rsidRPr="0058387B">
        <w:t>Interaction between RT-GCG and PCG</w:t>
      </w:r>
    </w:p>
    <w:p w14:paraId="75318CF6" w14:textId="1AC6F70A" w:rsidR="00A97391" w:rsidRPr="00346694" w:rsidRDefault="00A97391" w:rsidP="00A97391">
      <w:pPr>
        <w:pStyle w:val="BodyText"/>
      </w:pPr>
      <w:r w:rsidRPr="0058387B">
        <w:t xml:space="preserve">In some </w:t>
      </w:r>
      <w:r w:rsidR="0024654A" w:rsidRPr="0058387B">
        <w:t>cases,</w:t>
      </w:r>
      <w:r w:rsidRPr="0058387B">
        <w:t xml:space="preserve"> the day-ahead schedule may interact with a RT-GCG event.  These independent events may link back to one </w:t>
      </w:r>
      <w:r w:rsidRPr="0058387B">
        <w:rPr>
          <w:i/>
        </w:rPr>
        <w:t>generation unit</w:t>
      </w:r>
      <w:r w:rsidRPr="0058387B">
        <w:t xml:space="preserve"> start-up.  In these situations, some additional evaluations and calculations will be required for the RT-GCG event.  Below are three scenarios and their respective treatment with respect to eligibility and </w:t>
      </w:r>
      <w:r w:rsidRPr="0058387B">
        <w:rPr>
          <w:i/>
        </w:rPr>
        <w:t>settlement</w:t>
      </w:r>
      <w:r w:rsidRPr="0058387B">
        <w:t>.</w:t>
      </w:r>
    </w:p>
    <w:p w14:paraId="08F9B980" w14:textId="77777777" w:rsidR="00A97391" w:rsidRPr="00346694" w:rsidRDefault="00A97391" w:rsidP="00A97391">
      <w:pPr>
        <w:spacing w:before="120" w:after="120"/>
        <w:rPr>
          <w:b/>
        </w:rPr>
      </w:pPr>
      <w:r w:rsidRPr="0058387B">
        <w:rPr>
          <w:b/>
        </w:rPr>
        <w:t xml:space="preserve">Scenario 1: </w:t>
      </w:r>
      <w:r w:rsidRPr="005132E1">
        <w:rPr>
          <w:b/>
        </w:rPr>
        <w:t>RT-GCG Precedes DA Schedule of Record</w:t>
      </w:r>
      <w:r w:rsidRPr="0058387B">
        <w:rPr>
          <w:b/>
        </w:rPr>
        <w:t>: No Overlap</w:t>
      </w:r>
    </w:p>
    <w:p w14:paraId="6F4E07FD" w14:textId="77D4D275" w:rsidR="00A97391" w:rsidRDefault="00A97391" w:rsidP="00A97391">
      <w:pPr>
        <w:spacing w:before="120" w:after="120"/>
      </w:pPr>
      <w:r w:rsidRPr="0058387B">
        <w:t xml:space="preserve">In this scenario, a </w:t>
      </w:r>
      <w:r w:rsidRPr="0058387B">
        <w:rPr>
          <w:i/>
        </w:rPr>
        <w:t>generation unit</w:t>
      </w:r>
      <w:r w:rsidRPr="0058387B">
        <w:t xml:space="preserve"> starts-up before the first hour of their day-ahead Schedule of Record with sufficient time to complete a RT-GCG run immediately or shortly prior to the first hour of the day-ahead Schedule of Record.  In this situation, the end of the RT-GCG event can match exactly with the start of the day-ahead Schedule of Record or the </w:t>
      </w:r>
      <w:r w:rsidRPr="0058387B">
        <w:rPr>
          <w:i/>
        </w:rPr>
        <w:t xml:space="preserve">generation unit </w:t>
      </w:r>
      <w:r w:rsidRPr="0058387B">
        <w:t xml:space="preserve">can stay on line for a period between the RT-GCG event and the start of the day-ahead Schedule of Record.  In either case both events can be tied back to a single </w:t>
      </w:r>
      <w:r w:rsidRPr="0058387B">
        <w:rPr>
          <w:i/>
        </w:rPr>
        <w:t>generation unit</w:t>
      </w:r>
      <w:r w:rsidRPr="0058387B">
        <w:t xml:space="preserve"> start-up.  Figures </w:t>
      </w:r>
      <w:r w:rsidR="005D1E49">
        <w:t>E-1</w:t>
      </w:r>
      <w:r w:rsidRPr="0058387B">
        <w:t xml:space="preserve"> and </w:t>
      </w:r>
      <w:r w:rsidR="005D1E49">
        <w:t>E-2</w:t>
      </w:r>
      <w:r w:rsidRPr="0058387B">
        <w:t xml:space="preserve"> below depict the two possible situations in this scenario.</w:t>
      </w:r>
    </w:p>
    <w:p w14:paraId="1F95605C" w14:textId="77777777" w:rsidR="00A97391" w:rsidRPr="00346694" w:rsidRDefault="00A97391" w:rsidP="00A97391"/>
    <w:p w14:paraId="409E6F2E" w14:textId="77777777" w:rsidR="00A97391" w:rsidRDefault="00A97391" w:rsidP="00A97391">
      <w:pPr>
        <w:sectPr w:rsidR="00A97391" w:rsidSect="00A442B9">
          <w:headerReference w:type="even" r:id="rId93"/>
          <w:headerReference w:type="default" r:id="rId94"/>
          <w:footerReference w:type="even" r:id="rId95"/>
          <w:footerReference w:type="default" r:id="rId96"/>
          <w:pgSz w:w="12240" w:h="15840" w:code="1"/>
          <w:pgMar w:top="1440" w:right="1440" w:bottom="1440" w:left="1800" w:header="720" w:footer="720" w:gutter="0"/>
          <w:pgNumType w:start="1" w:chapStyle="7" w:chapSep="enDash"/>
          <w:cols w:space="720"/>
          <w:docGrid w:linePitch="299"/>
        </w:sectPr>
      </w:pPr>
    </w:p>
    <w:p w14:paraId="191C15AC" w14:textId="77777777" w:rsidR="00A97391" w:rsidRPr="00346694" w:rsidRDefault="00A97391" w:rsidP="00364137"/>
    <w:p w14:paraId="657838C8" w14:textId="28F14DE7" w:rsidR="00A97391" w:rsidRDefault="004032E6" w:rsidP="00A97391">
      <w:pPr>
        <w:spacing w:after="220"/>
        <w:ind w:left="-709"/>
        <w:jc w:val="center"/>
      </w:pPr>
      <w:r>
        <w:rPr>
          <w:noProof/>
          <w:lang w:val="en-CA"/>
        </w:rPr>
        <w:drawing>
          <wp:inline distT="0" distB="0" distL="0" distR="0" wp14:anchorId="494D38C3" wp14:editId="37F3545C">
            <wp:extent cx="7975600" cy="3899798"/>
            <wp:effectExtent l="0" t="0" r="6350" b="5715"/>
            <wp:docPr id="24" name="Picture 24" descr="Diagram of RT-GCG Precedes DA Schedule of Record:  No Overlap - No Gap between Ev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8031882" cy="3927318"/>
                    </a:xfrm>
                    <a:prstGeom prst="rect">
                      <a:avLst/>
                    </a:prstGeom>
                  </pic:spPr>
                </pic:pic>
              </a:graphicData>
            </a:graphic>
          </wp:inline>
        </w:drawing>
      </w:r>
      <w:r w:rsidDel="004032E6">
        <w:rPr>
          <w:noProof/>
          <w:lang w:val="en-CA"/>
        </w:rPr>
        <w:t xml:space="preserve"> </w:t>
      </w:r>
    </w:p>
    <w:p w14:paraId="50272D91" w14:textId="77777777" w:rsidR="00A97391" w:rsidRDefault="00A97391" w:rsidP="00A97391">
      <w:pPr>
        <w:spacing w:after="220"/>
        <w:ind w:left="-709"/>
        <w:jc w:val="center"/>
      </w:pPr>
    </w:p>
    <w:p w14:paraId="0A0BF683" w14:textId="5563DAE4" w:rsidR="00364137" w:rsidRDefault="00364137" w:rsidP="00364137">
      <w:pPr>
        <w:pStyle w:val="FigureCaption"/>
      </w:pPr>
      <w:bookmarkStart w:id="1630" w:name="_Toc35796421"/>
      <w:bookmarkStart w:id="1631" w:name="_Toc79657895"/>
      <w:r w:rsidRPr="0058387B">
        <w:t>Figure</w:t>
      </w:r>
      <w:r>
        <w:t xml:space="preserve"> </w:t>
      </w:r>
      <w:r w:rsidR="005D1E49">
        <w:t>E</w:t>
      </w:r>
      <w:r w:rsidR="005D1E49" w:rsidRPr="009C3EAD">
        <w:t>–</w:t>
      </w:r>
      <w:r w:rsidR="005D1E49">
        <w:t>1</w:t>
      </w:r>
      <w:r w:rsidR="00611EF4">
        <w:t xml:space="preserve">:  </w:t>
      </w:r>
      <w:r w:rsidRPr="0058387B">
        <w:t xml:space="preserve">RT-GCG Precedes DA Schedule of Record:  No Overlap - No </w:t>
      </w:r>
      <w:r w:rsidR="00C46412">
        <w:t>G</w:t>
      </w:r>
      <w:r w:rsidRPr="0058387B">
        <w:t xml:space="preserve">ap </w:t>
      </w:r>
      <w:r w:rsidR="00C46412">
        <w:t>b</w:t>
      </w:r>
      <w:r w:rsidRPr="0058387B">
        <w:t xml:space="preserve">etween </w:t>
      </w:r>
      <w:r w:rsidR="00C46412">
        <w:t>E</w:t>
      </w:r>
      <w:r w:rsidRPr="0058387B">
        <w:t>vents</w:t>
      </w:r>
      <w:bookmarkEnd w:id="1630"/>
      <w:bookmarkEnd w:id="1631"/>
    </w:p>
    <w:p w14:paraId="07FCA31C" w14:textId="77777777" w:rsidR="00A97391" w:rsidRDefault="00A97391" w:rsidP="00A97391">
      <w:pPr>
        <w:spacing w:after="0"/>
      </w:pPr>
      <w:r>
        <w:br w:type="page"/>
      </w:r>
    </w:p>
    <w:p w14:paraId="020A2066" w14:textId="77777777" w:rsidR="00A97391" w:rsidRPr="00346694" w:rsidRDefault="00A97391" w:rsidP="00364137"/>
    <w:p w14:paraId="59899782" w14:textId="77777777" w:rsidR="00A97391" w:rsidRDefault="00A97391" w:rsidP="00A97391">
      <w:pPr>
        <w:spacing w:after="220"/>
        <w:ind w:left="144"/>
        <w:jc w:val="center"/>
        <w:rPr>
          <w:b/>
        </w:rPr>
      </w:pPr>
      <w:r>
        <w:rPr>
          <w:noProof/>
          <w:color w:val="FF0000"/>
          <w:lang w:val="en-CA"/>
        </w:rPr>
        <w:drawing>
          <wp:inline distT="0" distB="0" distL="0" distR="0" wp14:anchorId="5C5CA5BD" wp14:editId="1D07DF28">
            <wp:extent cx="5867400" cy="2486025"/>
            <wp:effectExtent l="0" t="0" r="0" b="9525"/>
            <wp:docPr id="138" name="Picture 1" descr="Diagram of RT-GCG Precedes DA Schedule of Record:  No Overlap - Gap between Ev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cstate="print"/>
                    <a:srcRect/>
                    <a:stretch>
                      <a:fillRect/>
                    </a:stretch>
                  </pic:blipFill>
                  <pic:spPr bwMode="auto">
                    <a:xfrm>
                      <a:off x="0" y="0"/>
                      <a:ext cx="5867400" cy="2486025"/>
                    </a:xfrm>
                    <a:prstGeom prst="rect">
                      <a:avLst/>
                    </a:prstGeom>
                    <a:noFill/>
                    <a:ln w="9525">
                      <a:noFill/>
                      <a:miter lim="800000"/>
                      <a:headEnd/>
                      <a:tailEnd/>
                    </a:ln>
                  </pic:spPr>
                </pic:pic>
              </a:graphicData>
            </a:graphic>
          </wp:inline>
        </w:drawing>
      </w:r>
    </w:p>
    <w:p w14:paraId="0E8647C0" w14:textId="77777777" w:rsidR="00A97391" w:rsidRDefault="00A97391" w:rsidP="00A97391">
      <w:pPr>
        <w:spacing w:before="120" w:after="120"/>
        <w:rPr>
          <w:b/>
        </w:rPr>
      </w:pPr>
    </w:p>
    <w:p w14:paraId="507B3BFC" w14:textId="77777777" w:rsidR="00A97391" w:rsidRPr="00346694" w:rsidRDefault="00A97391" w:rsidP="00A97391">
      <w:pPr>
        <w:spacing w:before="120" w:after="120"/>
        <w:rPr>
          <w:b/>
        </w:rPr>
      </w:pPr>
      <w:r w:rsidRPr="0058387B">
        <w:rPr>
          <w:b/>
        </w:rPr>
        <w:t xml:space="preserve">Scenario 2: RT-GCG Precedes </w:t>
      </w:r>
      <w:r w:rsidRPr="0058387B">
        <w:t>DA Schedule of Record</w:t>
      </w:r>
      <w:r w:rsidRPr="0058387B">
        <w:rPr>
          <w:b/>
        </w:rPr>
        <w:t>:  With Overlap</w:t>
      </w:r>
    </w:p>
    <w:p w14:paraId="22B904F8" w14:textId="4EA37345" w:rsidR="00A97391" w:rsidRPr="00346694" w:rsidRDefault="00A97391" w:rsidP="00A97391">
      <w:pPr>
        <w:spacing w:before="120" w:after="120"/>
      </w:pPr>
      <w:r w:rsidRPr="0058387B">
        <w:t xml:space="preserve">In this scenario, a </w:t>
      </w:r>
      <w:r w:rsidRPr="0058387B">
        <w:rPr>
          <w:i/>
        </w:rPr>
        <w:t>generation unit</w:t>
      </w:r>
      <w:r w:rsidRPr="0058387B">
        <w:t xml:space="preserve"> starts-up before the first hour of their day-ahead Schedule of Record, however, the combination of ramp time and </w:t>
      </w:r>
      <w:r w:rsidRPr="0058387B">
        <w:rPr>
          <w:i/>
        </w:rPr>
        <w:t>minimum generation block run-time</w:t>
      </w:r>
      <w:r w:rsidRPr="0058387B">
        <w:t xml:space="preserve"> means the RT-GCG event will overlap with the day-ahead Schedule of Record.  In this scenario both events can be tied back to a single </w:t>
      </w:r>
      <w:r w:rsidRPr="0058387B">
        <w:rPr>
          <w:i/>
        </w:rPr>
        <w:t xml:space="preserve">generation unit </w:t>
      </w:r>
      <w:r w:rsidRPr="0058387B">
        <w:t xml:space="preserve">start-up.  Figure </w:t>
      </w:r>
      <w:r w:rsidR="005D1E49">
        <w:t>E-</w:t>
      </w:r>
      <w:r w:rsidRPr="0058387B">
        <w:t>2 below depicts this scenario.</w:t>
      </w:r>
    </w:p>
    <w:p w14:paraId="2F007071" w14:textId="77777777" w:rsidR="00A97391" w:rsidRDefault="00A97391" w:rsidP="00A97391">
      <w:pPr>
        <w:spacing w:after="220"/>
      </w:pPr>
    </w:p>
    <w:p w14:paraId="3EE66A6E" w14:textId="04B945DB" w:rsidR="00364137" w:rsidRPr="00346694" w:rsidRDefault="00364137" w:rsidP="00364137">
      <w:pPr>
        <w:pStyle w:val="FigureCaption"/>
      </w:pPr>
      <w:bookmarkStart w:id="1632" w:name="_Toc35796422"/>
      <w:bookmarkStart w:id="1633" w:name="_Toc79657896"/>
      <w:r w:rsidRPr="0058387B">
        <w:t xml:space="preserve">Figure </w:t>
      </w:r>
      <w:r w:rsidR="005D1E49">
        <w:t>E</w:t>
      </w:r>
      <w:r w:rsidR="005D1E49" w:rsidRPr="009C3EAD">
        <w:t>–</w:t>
      </w:r>
      <w:r w:rsidR="005D1E49">
        <w:t>2</w:t>
      </w:r>
      <w:r w:rsidR="00611EF4">
        <w:t xml:space="preserve">:  </w:t>
      </w:r>
      <w:r w:rsidRPr="0058387B">
        <w:t xml:space="preserve">RT-GCG Precedes DA Schedule of Record:  No Overlap - Gap between </w:t>
      </w:r>
      <w:r w:rsidR="00C46412">
        <w:t>E</w:t>
      </w:r>
      <w:r w:rsidRPr="0058387B">
        <w:t>vents</w:t>
      </w:r>
      <w:bookmarkEnd w:id="1632"/>
      <w:bookmarkEnd w:id="1633"/>
    </w:p>
    <w:p w14:paraId="288DCD76" w14:textId="77777777" w:rsidR="00A97391" w:rsidRDefault="00A97391" w:rsidP="00A97391">
      <w:pPr>
        <w:spacing w:after="0"/>
        <w:rPr>
          <w:b/>
          <w:snapToGrid w:val="0"/>
          <w:color w:val="000000"/>
          <w:lang w:eastAsia="en-US"/>
        </w:rPr>
      </w:pPr>
      <w:r>
        <w:br w:type="page"/>
      </w:r>
    </w:p>
    <w:p w14:paraId="630FF6FD" w14:textId="77777777" w:rsidR="00A97391" w:rsidRDefault="00005A3B" w:rsidP="00A97391">
      <w:pPr>
        <w:spacing w:before="120" w:after="120"/>
        <w:ind w:left="142"/>
        <w:rPr>
          <w:b/>
          <w:szCs w:val="22"/>
        </w:rPr>
      </w:pPr>
      <w:r>
        <w:rPr>
          <w:noProof/>
          <w:lang w:val="en-CA"/>
        </w:rPr>
        <w:drawing>
          <wp:inline distT="0" distB="0" distL="0" distR="0" wp14:anchorId="1FA95572" wp14:editId="479A23A4">
            <wp:extent cx="8229600" cy="3703955"/>
            <wp:effectExtent l="0" t="0" r="0" b="0"/>
            <wp:docPr id="1" name="Picture 1" descr="Diagram of RT-GCG Precedes DA Schedule of Record:  With Overl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8229600" cy="3703955"/>
                    </a:xfrm>
                    <a:prstGeom prst="rect">
                      <a:avLst/>
                    </a:prstGeom>
                  </pic:spPr>
                </pic:pic>
              </a:graphicData>
            </a:graphic>
          </wp:inline>
        </w:drawing>
      </w:r>
    </w:p>
    <w:p w14:paraId="768340EB" w14:textId="2EF1EBE9" w:rsidR="00364137" w:rsidRPr="00346694" w:rsidRDefault="00364137" w:rsidP="00364137">
      <w:pPr>
        <w:pStyle w:val="FigureCaption"/>
      </w:pPr>
      <w:bookmarkStart w:id="1634" w:name="_Toc35796423"/>
      <w:bookmarkStart w:id="1635" w:name="_Toc79657897"/>
      <w:r w:rsidRPr="0058387B">
        <w:t xml:space="preserve">Figure </w:t>
      </w:r>
      <w:r w:rsidR="005D1E49">
        <w:t>E</w:t>
      </w:r>
      <w:r w:rsidR="005D1E49" w:rsidRPr="009C3EAD">
        <w:t>–</w:t>
      </w:r>
      <w:r w:rsidR="005D1E49">
        <w:t>3</w:t>
      </w:r>
      <w:r w:rsidR="00611EF4">
        <w:t xml:space="preserve">:  </w:t>
      </w:r>
      <w:r w:rsidRPr="0058387B">
        <w:t>RT-GCG Precedes DA Schedule of Record:  With Overlap</w:t>
      </w:r>
      <w:bookmarkEnd w:id="1634"/>
      <w:bookmarkEnd w:id="1635"/>
    </w:p>
    <w:p w14:paraId="245E5EA0" w14:textId="77777777" w:rsidR="00364137" w:rsidRPr="00093B41" w:rsidRDefault="00364137" w:rsidP="00A97391">
      <w:pPr>
        <w:spacing w:before="120" w:after="120"/>
        <w:ind w:left="142"/>
        <w:rPr>
          <w:b/>
          <w:szCs w:val="22"/>
        </w:rPr>
      </w:pPr>
    </w:p>
    <w:p w14:paraId="5360DF4A" w14:textId="77777777" w:rsidR="00A97391" w:rsidRPr="00346694" w:rsidRDefault="00A97391" w:rsidP="00A97391">
      <w:pPr>
        <w:spacing w:before="120" w:after="120"/>
        <w:ind w:left="142"/>
        <w:rPr>
          <w:b/>
          <w:szCs w:val="22"/>
        </w:rPr>
      </w:pPr>
      <w:r w:rsidRPr="0058387B">
        <w:rPr>
          <w:b/>
          <w:szCs w:val="22"/>
        </w:rPr>
        <w:t>Scenario 3: RT-GCG Interacts with Withdrawn Schedule of Record</w:t>
      </w:r>
    </w:p>
    <w:p w14:paraId="4662F871" w14:textId="5FAE863C" w:rsidR="00A97391" w:rsidRPr="00346694" w:rsidRDefault="00A97391" w:rsidP="00A97391">
      <w:pPr>
        <w:spacing w:before="120" w:after="120"/>
        <w:ind w:left="142"/>
        <w:rPr>
          <w:szCs w:val="22"/>
        </w:rPr>
      </w:pPr>
      <w:r w:rsidRPr="0058387B">
        <w:rPr>
          <w:szCs w:val="22"/>
        </w:rPr>
        <w:t xml:space="preserve">This scenario is similar to Scenarios 1 and 2 such that the </w:t>
      </w:r>
      <w:r w:rsidRPr="0058387B">
        <w:rPr>
          <w:i/>
          <w:szCs w:val="22"/>
        </w:rPr>
        <w:t>generation unit</w:t>
      </w:r>
      <w:r w:rsidRPr="0058387B">
        <w:rPr>
          <w:szCs w:val="22"/>
        </w:rPr>
        <w:t xml:space="preserve"> starts ahead of the Schedule of Record in order to participate in the RT-GCG program, however</w:t>
      </w:r>
      <w:r w:rsidR="00FC4E2B">
        <w:rPr>
          <w:szCs w:val="22"/>
        </w:rPr>
        <w:t>,</w:t>
      </w:r>
      <w:r w:rsidRPr="0058387B">
        <w:rPr>
          <w:szCs w:val="22"/>
        </w:rPr>
        <w:t xml:space="preserve"> in this scenario the </w:t>
      </w:r>
      <w:r w:rsidRPr="0058387B">
        <w:rPr>
          <w:i/>
          <w:szCs w:val="22"/>
        </w:rPr>
        <w:t>generator</w:t>
      </w:r>
      <w:r w:rsidRPr="0058387B">
        <w:rPr>
          <w:szCs w:val="22"/>
        </w:rPr>
        <w:t xml:space="preserve"> has taken the appropriate actions to withdraw from the day-ahead Schedule of Record and the withdrawal is for reasons within the </w:t>
      </w:r>
      <w:r w:rsidRPr="0058387B">
        <w:rPr>
          <w:i/>
          <w:szCs w:val="22"/>
        </w:rPr>
        <w:t xml:space="preserve">generator’s </w:t>
      </w:r>
      <w:r w:rsidRPr="0058387B">
        <w:rPr>
          <w:szCs w:val="22"/>
        </w:rPr>
        <w:t xml:space="preserve">control.  This withdrawal may be for all or a portion of the day-ahead Schedule of Record, the result being that the </w:t>
      </w:r>
      <w:r w:rsidRPr="0058387B">
        <w:rPr>
          <w:i/>
          <w:szCs w:val="22"/>
        </w:rPr>
        <w:t>generator</w:t>
      </w:r>
      <w:r w:rsidRPr="0058387B">
        <w:rPr>
          <w:szCs w:val="22"/>
        </w:rPr>
        <w:t xml:space="preserve"> is not eligible for a DA-PCG </w:t>
      </w:r>
      <w:r w:rsidRPr="0058387B">
        <w:rPr>
          <w:i/>
          <w:szCs w:val="22"/>
        </w:rPr>
        <w:t>settlement</w:t>
      </w:r>
      <w:r w:rsidRPr="0058387B">
        <w:rPr>
          <w:szCs w:val="22"/>
        </w:rPr>
        <w:t xml:space="preserve"> and further may be subject to a Day Ahead Generator Withdrawal Charge.  If the withdrawal of the </w:t>
      </w:r>
      <w:r w:rsidRPr="0058387B">
        <w:rPr>
          <w:i/>
          <w:szCs w:val="22"/>
        </w:rPr>
        <w:t>generation unit</w:t>
      </w:r>
      <w:r w:rsidRPr="0058387B">
        <w:rPr>
          <w:szCs w:val="22"/>
        </w:rPr>
        <w:t xml:space="preserve"> is for reasons not within the control of the </w:t>
      </w:r>
      <w:r w:rsidRPr="0058387B">
        <w:rPr>
          <w:i/>
          <w:szCs w:val="22"/>
        </w:rPr>
        <w:t xml:space="preserve">generator, </w:t>
      </w:r>
      <w:r w:rsidRPr="0058387B">
        <w:rPr>
          <w:szCs w:val="22"/>
        </w:rPr>
        <w:t>then the</w:t>
      </w:r>
      <w:r w:rsidRPr="0058387B">
        <w:rPr>
          <w:i/>
          <w:szCs w:val="22"/>
        </w:rPr>
        <w:t xml:space="preserve"> generator</w:t>
      </w:r>
      <w:r w:rsidRPr="0058387B">
        <w:rPr>
          <w:szCs w:val="22"/>
        </w:rPr>
        <w:t xml:space="preserve"> continues to be eligible for the DA-PCG </w:t>
      </w:r>
      <w:r w:rsidRPr="0058387B">
        <w:rPr>
          <w:i/>
          <w:szCs w:val="22"/>
        </w:rPr>
        <w:t>settlement</w:t>
      </w:r>
      <w:r w:rsidRPr="0058387B">
        <w:rPr>
          <w:szCs w:val="22"/>
        </w:rPr>
        <w:t xml:space="preserve"> for the completed hours of the day-ahead schedule, resulting in </w:t>
      </w:r>
      <w:r w:rsidRPr="0058387B">
        <w:rPr>
          <w:i/>
          <w:szCs w:val="22"/>
        </w:rPr>
        <w:t>settlement</w:t>
      </w:r>
      <w:r w:rsidRPr="0058387B">
        <w:rPr>
          <w:szCs w:val="22"/>
        </w:rPr>
        <w:t xml:space="preserve"> treatment comparable to scenarios 1 or 2 above.</w:t>
      </w:r>
    </w:p>
    <w:p w14:paraId="5DE1E9BB" w14:textId="77777777" w:rsidR="00A97391" w:rsidRPr="00346694" w:rsidRDefault="00A97391" w:rsidP="00A97391">
      <w:pPr>
        <w:spacing w:before="120" w:after="120"/>
        <w:ind w:left="144"/>
        <w:rPr>
          <w:b/>
          <w:szCs w:val="22"/>
        </w:rPr>
      </w:pPr>
      <w:r w:rsidRPr="0058387B">
        <w:rPr>
          <w:b/>
          <w:szCs w:val="22"/>
        </w:rPr>
        <w:t>Principles for Eligibility and Settlement:</w:t>
      </w:r>
    </w:p>
    <w:p w14:paraId="3ED08D3D" w14:textId="77777777" w:rsidR="00A97391" w:rsidRPr="00346694" w:rsidRDefault="00A97391" w:rsidP="00A97391">
      <w:pPr>
        <w:pStyle w:val="ListParagraph"/>
        <w:numPr>
          <w:ilvl w:val="0"/>
          <w:numId w:val="83"/>
        </w:numPr>
        <w:spacing w:before="120" w:after="120"/>
        <w:rPr>
          <w:szCs w:val="22"/>
        </w:rPr>
      </w:pPr>
      <w:r w:rsidRPr="0058387B">
        <w:rPr>
          <w:szCs w:val="22"/>
        </w:rPr>
        <w:t xml:space="preserve">The outcome of the day-ahead process is a Schedule of Record for the next day based on the three part day-ahead bids.  These schedules are carried forward into real-time processes with constraints up to </w:t>
      </w:r>
      <w:r w:rsidRPr="0058387B">
        <w:rPr>
          <w:i/>
          <w:szCs w:val="22"/>
        </w:rPr>
        <w:t>minimum loading point</w:t>
      </w:r>
      <w:r w:rsidRPr="0058387B">
        <w:rPr>
          <w:szCs w:val="22"/>
        </w:rPr>
        <w:t xml:space="preserve"> applied.  Similar to manual constraints that are applied in real-time, usually as a result of invoking a RT-GCG start, these PCG constraints will not be considered in RT-GCG Pre-dispatch eligibility.</w:t>
      </w:r>
    </w:p>
    <w:p w14:paraId="61C742FC" w14:textId="77777777" w:rsidR="00A97391" w:rsidRPr="00346694" w:rsidRDefault="00A97391" w:rsidP="00A97391">
      <w:pPr>
        <w:pStyle w:val="Default"/>
        <w:numPr>
          <w:ilvl w:val="0"/>
          <w:numId w:val="83"/>
        </w:numPr>
        <w:spacing w:before="120" w:after="120"/>
        <w:rPr>
          <w:color w:val="auto"/>
          <w:sz w:val="22"/>
          <w:szCs w:val="22"/>
        </w:rPr>
      </w:pPr>
      <w:r w:rsidRPr="0058387B">
        <w:rPr>
          <w:color w:val="auto"/>
          <w:sz w:val="22"/>
          <w:szCs w:val="22"/>
        </w:rPr>
        <w:t xml:space="preserve">In scenarios 1 and 2 above, where both the DA-PCG event and the RT-GCG event can be tied to the same </w:t>
      </w:r>
      <w:r w:rsidRPr="0058387B">
        <w:rPr>
          <w:i/>
          <w:color w:val="auto"/>
          <w:sz w:val="22"/>
          <w:szCs w:val="22"/>
        </w:rPr>
        <w:t>generation unit</w:t>
      </w:r>
      <w:r w:rsidRPr="0058387B">
        <w:rPr>
          <w:color w:val="auto"/>
          <w:sz w:val="22"/>
          <w:szCs w:val="22"/>
        </w:rPr>
        <w:t xml:space="preserve"> start-up, and the fuel costs for start-up and ramping to </w:t>
      </w:r>
      <w:r w:rsidRPr="00202F4C">
        <w:rPr>
          <w:i/>
          <w:color w:val="auto"/>
          <w:sz w:val="22"/>
          <w:szCs w:val="22"/>
        </w:rPr>
        <w:t>minimum loading point</w:t>
      </w:r>
      <w:r w:rsidRPr="0058387B">
        <w:rPr>
          <w:color w:val="auto"/>
          <w:sz w:val="22"/>
          <w:szCs w:val="22"/>
        </w:rPr>
        <w:t xml:space="preserve"> along with the related incremental O&amp;M costs are eligible for inclusion in the DA-PCG </w:t>
      </w:r>
      <w:r w:rsidRPr="00DA3379">
        <w:rPr>
          <w:i/>
          <w:color w:val="auto"/>
          <w:sz w:val="22"/>
          <w:szCs w:val="22"/>
        </w:rPr>
        <w:t>settlement</w:t>
      </w:r>
      <w:r w:rsidRPr="0058387B">
        <w:rPr>
          <w:color w:val="auto"/>
          <w:sz w:val="22"/>
          <w:szCs w:val="22"/>
        </w:rPr>
        <w:t xml:space="preserve">, these costs will not be considered in the assessment of the RT-GCG </w:t>
      </w:r>
      <w:r w:rsidRPr="00DA3379">
        <w:rPr>
          <w:i/>
          <w:color w:val="auto"/>
          <w:sz w:val="22"/>
          <w:szCs w:val="22"/>
        </w:rPr>
        <w:t>settlement</w:t>
      </w:r>
      <w:r w:rsidRPr="0058387B">
        <w:rPr>
          <w:color w:val="auto"/>
          <w:sz w:val="22"/>
          <w:szCs w:val="22"/>
        </w:rPr>
        <w:t>.</w:t>
      </w:r>
    </w:p>
    <w:p w14:paraId="3461B7FB" w14:textId="77777777" w:rsidR="00A97391" w:rsidRPr="00346694" w:rsidRDefault="00A97391" w:rsidP="00A97391">
      <w:pPr>
        <w:pStyle w:val="Default"/>
        <w:spacing w:before="120" w:after="120"/>
        <w:ind w:left="504" w:firstLine="18"/>
        <w:rPr>
          <w:color w:val="auto"/>
          <w:sz w:val="22"/>
          <w:szCs w:val="22"/>
        </w:rPr>
      </w:pPr>
      <w:r w:rsidRPr="0058387B">
        <w:rPr>
          <w:color w:val="auto"/>
          <w:sz w:val="22"/>
          <w:szCs w:val="22"/>
        </w:rPr>
        <w:t xml:space="preserve">The </w:t>
      </w:r>
      <w:r w:rsidRPr="0058387B">
        <w:rPr>
          <w:i/>
          <w:color w:val="auto"/>
          <w:sz w:val="22"/>
          <w:szCs w:val="22"/>
        </w:rPr>
        <w:t xml:space="preserve">generator </w:t>
      </w:r>
      <w:r w:rsidRPr="0058387B">
        <w:rPr>
          <w:color w:val="auto"/>
          <w:sz w:val="22"/>
          <w:szCs w:val="22"/>
        </w:rPr>
        <w:t xml:space="preserve">will indicate zero for these costs in the RT-GCG submission through the </w:t>
      </w:r>
      <w:r w:rsidRPr="0058387B">
        <w:rPr>
          <w:i/>
          <w:color w:val="auto"/>
          <w:sz w:val="22"/>
          <w:szCs w:val="22"/>
        </w:rPr>
        <w:t>IESO</w:t>
      </w:r>
      <w:r w:rsidRPr="0058387B">
        <w:rPr>
          <w:color w:val="auto"/>
          <w:sz w:val="22"/>
          <w:szCs w:val="22"/>
        </w:rPr>
        <w:t xml:space="preserve"> in this situation.  In the event that the RT-GCG event interacts with a DA-PCG event under scenarios 1 and 2 as described above, and the submitted start-up fuel and O&amp;M costs submitted are not zero, these submitted costs will be deemed as unreasonable and </w:t>
      </w:r>
      <w:r w:rsidRPr="00DC0E09">
        <w:rPr>
          <w:i/>
          <w:color w:val="auto"/>
          <w:sz w:val="22"/>
          <w:szCs w:val="22"/>
        </w:rPr>
        <w:t>settlement</w:t>
      </w:r>
      <w:r w:rsidRPr="0058387B">
        <w:rPr>
          <w:color w:val="auto"/>
          <w:sz w:val="22"/>
          <w:szCs w:val="22"/>
        </w:rPr>
        <w:t xml:space="preserve"> of the RT-GCG event will not include these costs, unless strong evidence exists to the contrary.</w:t>
      </w:r>
    </w:p>
    <w:p w14:paraId="23DBEA62" w14:textId="7F290042" w:rsidR="00A97391" w:rsidRPr="00346694" w:rsidRDefault="00A97391" w:rsidP="00A97391">
      <w:pPr>
        <w:pStyle w:val="Default"/>
        <w:spacing w:before="120" w:after="120"/>
        <w:ind w:left="504"/>
        <w:rPr>
          <w:color w:val="auto"/>
          <w:sz w:val="22"/>
          <w:szCs w:val="22"/>
          <w:lang w:val="en-US"/>
        </w:rPr>
      </w:pPr>
      <w:r w:rsidRPr="0058387B">
        <w:rPr>
          <w:color w:val="auto"/>
          <w:sz w:val="22"/>
          <w:szCs w:val="22"/>
        </w:rPr>
        <w:t xml:space="preserve">If the fuel costs for start-up and ramping to </w:t>
      </w:r>
      <w:r w:rsidRPr="00202F4C">
        <w:rPr>
          <w:i/>
          <w:color w:val="auto"/>
          <w:sz w:val="22"/>
          <w:szCs w:val="22"/>
        </w:rPr>
        <w:t>minimum loading point</w:t>
      </w:r>
      <w:r w:rsidRPr="0058387B">
        <w:rPr>
          <w:color w:val="auto"/>
          <w:sz w:val="22"/>
          <w:szCs w:val="22"/>
        </w:rPr>
        <w:t xml:space="preserve"> along with the related incremental O&amp;M costs are not eligible for inclusion in the DA-PCG </w:t>
      </w:r>
      <w:r w:rsidRPr="00DA3379">
        <w:rPr>
          <w:i/>
          <w:color w:val="auto"/>
          <w:sz w:val="22"/>
          <w:szCs w:val="22"/>
        </w:rPr>
        <w:t>settlement</w:t>
      </w:r>
      <w:r w:rsidRPr="0058387B">
        <w:rPr>
          <w:color w:val="auto"/>
          <w:sz w:val="22"/>
          <w:szCs w:val="22"/>
        </w:rPr>
        <w:t xml:space="preserve">, these costs will be considered in the assessment of the RT-GCG </w:t>
      </w:r>
      <w:r w:rsidRPr="00DA3379">
        <w:rPr>
          <w:i/>
          <w:color w:val="auto"/>
          <w:sz w:val="22"/>
          <w:szCs w:val="22"/>
        </w:rPr>
        <w:t>settlement</w:t>
      </w:r>
      <w:r w:rsidRPr="0058387B">
        <w:rPr>
          <w:color w:val="auto"/>
          <w:sz w:val="22"/>
          <w:szCs w:val="22"/>
        </w:rPr>
        <w:t xml:space="preserve"> and submitted through the </w:t>
      </w:r>
      <w:r w:rsidRPr="0058387B">
        <w:rPr>
          <w:i/>
          <w:color w:val="auto"/>
          <w:sz w:val="22"/>
          <w:szCs w:val="22"/>
        </w:rPr>
        <w:t>IESO</w:t>
      </w:r>
      <w:r w:rsidRPr="0058387B">
        <w:rPr>
          <w:color w:val="auto"/>
          <w:sz w:val="22"/>
          <w:szCs w:val="22"/>
        </w:rPr>
        <w:t xml:space="preserve"> </w:t>
      </w:r>
      <w:r w:rsidR="004A7BF5">
        <w:rPr>
          <w:color w:val="auto"/>
          <w:sz w:val="22"/>
          <w:szCs w:val="22"/>
        </w:rPr>
        <w:t>Gateway</w:t>
      </w:r>
      <w:r w:rsidRPr="0058387B">
        <w:rPr>
          <w:color w:val="auto"/>
          <w:sz w:val="22"/>
          <w:szCs w:val="22"/>
        </w:rPr>
        <w:t>.</w:t>
      </w:r>
    </w:p>
    <w:p w14:paraId="46BB6F0B" w14:textId="62FBE6E0" w:rsidR="00A97391" w:rsidRPr="00346694" w:rsidRDefault="00A97391" w:rsidP="00A97391">
      <w:pPr>
        <w:pStyle w:val="Default"/>
        <w:numPr>
          <w:ilvl w:val="0"/>
          <w:numId w:val="83"/>
        </w:numPr>
        <w:spacing w:before="120" w:after="120"/>
        <w:rPr>
          <w:color w:val="auto"/>
          <w:sz w:val="22"/>
          <w:szCs w:val="22"/>
          <w:lang w:val="en-US"/>
        </w:rPr>
      </w:pPr>
      <w:r w:rsidRPr="0058387B">
        <w:rPr>
          <w:color w:val="auto"/>
          <w:sz w:val="22"/>
          <w:szCs w:val="22"/>
        </w:rPr>
        <w:t xml:space="preserve">In scenario 3 above, where the </w:t>
      </w:r>
      <w:r w:rsidRPr="00202F4C">
        <w:rPr>
          <w:i/>
          <w:color w:val="auto"/>
          <w:sz w:val="22"/>
          <w:szCs w:val="22"/>
        </w:rPr>
        <w:t>generat</w:t>
      </w:r>
      <w:r w:rsidRPr="0058387B">
        <w:rPr>
          <w:i/>
          <w:color w:val="auto"/>
          <w:sz w:val="22"/>
          <w:szCs w:val="22"/>
        </w:rPr>
        <w:t xml:space="preserve">ion unit </w:t>
      </w:r>
      <w:r w:rsidRPr="0058387B">
        <w:rPr>
          <w:color w:val="auto"/>
          <w:sz w:val="22"/>
          <w:szCs w:val="22"/>
        </w:rPr>
        <w:t xml:space="preserve">is not eligible for a DA-PCG </w:t>
      </w:r>
      <w:r w:rsidRPr="00202F4C">
        <w:rPr>
          <w:i/>
          <w:color w:val="auto"/>
          <w:sz w:val="22"/>
          <w:szCs w:val="22"/>
        </w:rPr>
        <w:t>settlement</w:t>
      </w:r>
      <w:r w:rsidRPr="0058387B">
        <w:rPr>
          <w:color w:val="auto"/>
          <w:sz w:val="22"/>
          <w:szCs w:val="22"/>
        </w:rPr>
        <w:t xml:space="preserve">, the fuel costs for start-up and ramping to </w:t>
      </w:r>
      <w:r w:rsidRPr="0058387B">
        <w:rPr>
          <w:i/>
          <w:color w:val="auto"/>
          <w:sz w:val="22"/>
          <w:szCs w:val="22"/>
        </w:rPr>
        <w:t>minimum loading point</w:t>
      </w:r>
      <w:r w:rsidRPr="0058387B">
        <w:rPr>
          <w:color w:val="auto"/>
          <w:sz w:val="22"/>
          <w:szCs w:val="22"/>
        </w:rPr>
        <w:t xml:space="preserve"> along with the related incremental O&amp;M costs will be included in the assessment of the RT-GCG </w:t>
      </w:r>
      <w:r w:rsidRPr="00202F4C">
        <w:rPr>
          <w:i/>
          <w:color w:val="auto"/>
          <w:sz w:val="22"/>
          <w:szCs w:val="22"/>
        </w:rPr>
        <w:t>settlement</w:t>
      </w:r>
      <w:r w:rsidRPr="0058387B">
        <w:rPr>
          <w:color w:val="auto"/>
          <w:sz w:val="22"/>
          <w:szCs w:val="22"/>
        </w:rPr>
        <w:t xml:space="preserve">.  These costs will be submitted as part of the RT-GCG claim in the </w:t>
      </w:r>
      <w:r w:rsidRPr="0058387B">
        <w:rPr>
          <w:i/>
          <w:color w:val="auto"/>
          <w:sz w:val="22"/>
          <w:szCs w:val="22"/>
        </w:rPr>
        <w:t>IESO</w:t>
      </w:r>
      <w:r w:rsidRPr="0058387B">
        <w:rPr>
          <w:color w:val="auto"/>
          <w:sz w:val="22"/>
          <w:szCs w:val="22"/>
        </w:rPr>
        <w:t xml:space="preserve"> </w:t>
      </w:r>
      <w:r w:rsidR="004A7BF5">
        <w:rPr>
          <w:color w:val="auto"/>
          <w:sz w:val="22"/>
          <w:szCs w:val="22"/>
        </w:rPr>
        <w:t>Gateway</w:t>
      </w:r>
      <w:r w:rsidRPr="0058387B">
        <w:rPr>
          <w:color w:val="auto"/>
          <w:sz w:val="22"/>
          <w:szCs w:val="22"/>
        </w:rPr>
        <w:t>.</w:t>
      </w:r>
    </w:p>
    <w:p w14:paraId="1F9FD0BD" w14:textId="77777777" w:rsidR="00A97391" w:rsidRDefault="00A97391" w:rsidP="00A97391">
      <w:pPr>
        <w:pStyle w:val="BodyText"/>
        <w:rPr>
          <w:szCs w:val="22"/>
        </w:rPr>
      </w:pPr>
      <w:r w:rsidRPr="0058387B">
        <w:rPr>
          <w:szCs w:val="22"/>
        </w:rPr>
        <w:t xml:space="preserve">The table below provides the </w:t>
      </w:r>
      <w:r w:rsidRPr="0009754D">
        <w:rPr>
          <w:szCs w:val="22"/>
        </w:rPr>
        <w:t>d</w:t>
      </w:r>
      <w:r w:rsidRPr="00DA3379">
        <w:rPr>
          <w:szCs w:val="22"/>
        </w:rPr>
        <w:t>etails fo</w:t>
      </w:r>
      <w:r w:rsidRPr="0009754D">
        <w:rPr>
          <w:szCs w:val="22"/>
        </w:rPr>
        <w:t>r</w:t>
      </w:r>
      <w:r w:rsidRPr="00DA3379">
        <w:rPr>
          <w:szCs w:val="22"/>
        </w:rPr>
        <w:t xml:space="preserve"> the</w:t>
      </w:r>
      <w:r w:rsidRPr="0058387B">
        <w:rPr>
          <w:i/>
          <w:szCs w:val="22"/>
        </w:rPr>
        <w:t xml:space="preserve"> submission,</w:t>
      </w:r>
      <w:r w:rsidRPr="0058387B">
        <w:rPr>
          <w:szCs w:val="22"/>
        </w:rPr>
        <w:t xml:space="preserve"> eligibility, and </w:t>
      </w:r>
      <w:r w:rsidRPr="0058387B">
        <w:rPr>
          <w:i/>
          <w:szCs w:val="22"/>
        </w:rPr>
        <w:t>settlement</w:t>
      </w:r>
      <w:r w:rsidRPr="0058387B">
        <w:rPr>
          <w:szCs w:val="22"/>
        </w:rPr>
        <w:t xml:space="preserve"> </w:t>
      </w:r>
      <w:r w:rsidRPr="00DA3379">
        <w:rPr>
          <w:szCs w:val="22"/>
        </w:rPr>
        <w:t>of the any</w:t>
      </w:r>
      <w:r w:rsidRPr="0058387B">
        <w:rPr>
          <w:szCs w:val="22"/>
        </w:rPr>
        <w:t xml:space="preserve"> RT-GCG claim under the three potential </w:t>
      </w:r>
      <w:r w:rsidRPr="0009754D">
        <w:rPr>
          <w:szCs w:val="22"/>
        </w:rPr>
        <w:t>scena</w:t>
      </w:r>
      <w:r w:rsidRPr="00DA3379">
        <w:rPr>
          <w:szCs w:val="22"/>
        </w:rPr>
        <w:t>rios where there is i</w:t>
      </w:r>
      <w:r w:rsidRPr="0058387B">
        <w:rPr>
          <w:szCs w:val="22"/>
        </w:rPr>
        <w:t>nteraction with a Day-Ahead PCG event</w:t>
      </w:r>
      <w:r>
        <w:rPr>
          <w:szCs w:val="22"/>
        </w:rPr>
        <w:t>.</w:t>
      </w:r>
    </w:p>
    <w:p w14:paraId="5117B109" w14:textId="77777777" w:rsidR="00A97391" w:rsidRDefault="00A97391" w:rsidP="00A97391">
      <w:pPr>
        <w:pStyle w:val="BodyTextNumContinue"/>
        <w:ind w:left="0"/>
        <w:rPr>
          <w:szCs w:val="22"/>
        </w:rPr>
      </w:pPr>
    </w:p>
    <w:p w14:paraId="14EF7FF6" w14:textId="77777777" w:rsidR="00A97391" w:rsidRPr="00346694" w:rsidRDefault="00A97391" w:rsidP="00A97391">
      <w:pPr>
        <w:pStyle w:val="BodyTextNumContinue"/>
        <w:ind w:left="0"/>
        <w:rPr>
          <w:szCs w:val="22"/>
        </w:rPr>
        <w:sectPr w:rsidR="00A97391" w:rsidRPr="00346694" w:rsidSect="00A442B9">
          <w:headerReference w:type="even" r:id="rId100"/>
          <w:headerReference w:type="default" r:id="rId101"/>
          <w:footerReference w:type="even" r:id="rId102"/>
          <w:footerReference w:type="default" r:id="rId103"/>
          <w:pgSz w:w="15840" w:h="12240" w:orient="landscape" w:code="1"/>
          <w:pgMar w:top="1800" w:right="1440" w:bottom="1440" w:left="1440" w:header="720" w:footer="720" w:gutter="0"/>
          <w:pgNumType w:chapStyle="7" w:chapSep="enDash"/>
          <w:cols w:space="720"/>
          <w:docGrid w:linePitch="299"/>
        </w:sectPr>
      </w:pPr>
    </w:p>
    <w:tbl>
      <w:tblPr>
        <w:tblStyle w:val="TableGrid"/>
        <w:tblW w:w="0" w:type="auto"/>
        <w:tblLook w:val="04A0" w:firstRow="1" w:lastRow="0" w:firstColumn="1" w:lastColumn="0" w:noHBand="0" w:noVBand="1"/>
        <w:tblDescription w:val="Table of details for the submission, eligibility, and settlement of the any RT-GCG claim under the three potential scenarios where there is interaction with a Day-Ahead PCG event."/>
      </w:tblPr>
      <w:tblGrid>
        <w:gridCol w:w="1312"/>
        <w:gridCol w:w="3369"/>
        <w:gridCol w:w="1454"/>
        <w:gridCol w:w="1454"/>
        <w:gridCol w:w="1401"/>
      </w:tblGrid>
      <w:tr w:rsidR="00A97391" w:rsidRPr="00346694" w14:paraId="259CE979" w14:textId="77777777" w:rsidTr="001E65B5">
        <w:trPr>
          <w:tblHeader/>
        </w:trPr>
        <w:tc>
          <w:tcPr>
            <w:tcW w:w="1359" w:type="dxa"/>
            <w:shd w:val="clear" w:color="auto" w:fill="D9D9D9" w:themeFill="background1" w:themeFillShade="D9"/>
          </w:tcPr>
          <w:p w14:paraId="430CC41A" w14:textId="77777777" w:rsidR="00A97391" w:rsidRPr="00346694" w:rsidRDefault="00A97391" w:rsidP="00A97391"/>
        </w:tc>
        <w:tc>
          <w:tcPr>
            <w:tcW w:w="5902" w:type="dxa"/>
            <w:shd w:val="clear" w:color="auto" w:fill="D9D9D9" w:themeFill="background1" w:themeFillShade="D9"/>
          </w:tcPr>
          <w:p w14:paraId="5BCBFB13" w14:textId="77777777" w:rsidR="00A97391" w:rsidRPr="00346694" w:rsidRDefault="00A97391" w:rsidP="00A97391"/>
        </w:tc>
        <w:tc>
          <w:tcPr>
            <w:tcW w:w="2062" w:type="dxa"/>
            <w:shd w:val="clear" w:color="auto" w:fill="D9D9D9" w:themeFill="background1" w:themeFillShade="D9"/>
          </w:tcPr>
          <w:p w14:paraId="3B6BFBBE" w14:textId="77777777" w:rsidR="00A97391" w:rsidRPr="00346694" w:rsidRDefault="00A97391" w:rsidP="00A97391">
            <w:pPr>
              <w:rPr>
                <w:b/>
              </w:rPr>
            </w:pPr>
            <w:r w:rsidRPr="0058387B">
              <w:rPr>
                <w:b/>
              </w:rPr>
              <w:t>RT-GCG Precedes day-ahead Schedule of Record:</w:t>
            </w:r>
            <w:r w:rsidRPr="0058387B">
              <w:rPr>
                <w:b/>
                <w:i/>
              </w:rPr>
              <w:t xml:space="preserve">  No </w:t>
            </w:r>
            <w:r w:rsidRPr="002B700A">
              <w:rPr>
                <w:b/>
                <w:i/>
              </w:rPr>
              <w:t>Overlap</w:t>
            </w:r>
          </w:p>
          <w:p w14:paraId="38A57AD2" w14:textId="77777777" w:rsidR="00A97391" w:rsidRPr="00346694" w:rsidRDefault="00A97391" w:rsidP="00A97391">
            <w:pPr>
              <w:rPr>
                <w:b/>
              </w:rPr>
            </w:pPr>
            <w:r w:rsidRPr="0058387B">
              <w:rPr>
                <w:b/>
              </w:rPr>
              <w:t>(Scenario 1)</w:t>
            </w:r>
          </w:p>
        </w:tc>
        <w:tc>
          <w:tcPr>
            <w:tcW w:w="2062" w:type="dxa"/>
            <w:shd w:val="clear" w:color="auto" w:fill="D9D9D9" w:themeFill="background1" w:themeFillShade="D9"/>
          </w:tcPr>
          <w:p w14:paraId="3F65991D" w14:textId="77777777" w:rsidR="00A97391" w:rsidRPr="00346694" w:rsidRDefault="00A97391" w:rsidP="00A97391">
            <w:pPr>
              <w:rPr>
                <w:b/>
              </w:rPr>
            </w:pPr>
            <w:r w:rsidRPr="0058387B">
              <w:rPr>
                <w:b/>
              </w:rPr>
              <w:t xml:space="preserve">RT-GCG Precedes day-ahead Schedule of Record: With </w:t>
            </w:r>
            <w:r w:rsidRPr="002B700A">
              <w:rPr>
                <w:b/>
                <w:i/>
              </w:rPr>
              <w:t>Overlap</w:t>
            </w:r>
          </w:p>
          <w:p w14:paraId="37AFCAAC" w14:textId="77777777" w:rsidR="00A97391" w:rsidRPr="00346694" w:rsidRDefault="00A97391" w:rsidP="00A97391">
            <w:pPr>
              <w:rPr>
                <w:b/>
              </w:rPr>
            </w:pPr>
            <w:r w:rsidRPr="0058387B">
              <w:rPr>
                <w:b/>
              </w:rPr>
              <w:t>(Scenario 2)</w:t>
            </w:r>
          </w:p>
        </w:tc>
        <w:tc>
          <w:tcPr>
            <w:tcW w:w="1791" w:type="dxa"/>
            <w:shd w:val="clear" w:color="auto" w:fill="D9D9D9" w:themeFill="background1" w:themeFillShade="D9"/>
          </w:tcPr>
          <w:p w14:paraId="6DFEF9DB" w14:textId="77777777" w:rsidR="00A97391" w:rsidRPr="00346694" w:rsidRDefault="00A97391" w:rsidP="00A97391">
            <w:pPr>
              <w:rPr>
                <w:b/>
              </w:rPr>
            </w:pPr>
            <w:r w:rsidRPr="0058387B">
              <w:rPr>
                <w:b/>
              </w:rPr>
              <w:t>RT-GCG Precedes withdrawn day-ahead Schedule of Record</w:t>
            </w:r>
          </w:p>
          <w:p w14:paraId="69C42A70" w14:textId="77777777" w:rsidR="00A97391" w:rsidRPr="00346694" w:rsidRDefault="00A97391" w:rsidP="00A97391">
            <w:pPr>
              <w:rPr>
                <w:b/>
              </w:rPr>
            </w:pPr>
            <w:r w:rsidRPr="0058387B">
              <w:rPr>
                <w:b/>
              </w:rPr>
              <w:t>(Scenario 3)</w:t>
            </w:r>
          </w:p>
        </w:tc>
      </w:tr>
      <w:tr w:rsidR="00A97391" w:rsidRPr="00346694" w14:paraId="0A6AA3FD" w14:textId="77777777" w:rsidTr="001E65B5">
        <w:tc>
          <w:tcPr>
            <w:tcW w:w="1359" w:type="dxa"/>
            <w:vMerge w:val="restart"/>
          </w:tcPr>
          <w:p w14:paraId="0FB5982F" w14:textId="77777777" w:rsidR="00A97391" w:rsidRPr="00346694" w:rsidRDefault="00A97391" w:rsidP="00A97391">
            <w:pPr>
              <w:rPr>
                <w:b/>
              </w:rPr>
            </w:pPr>
            <w:r w:rsidRPr="0058387B">
              <w:rPr>
                <w:b/>
              </w:rPr>
              <w:t>RT-GCG Submission</w:t>
            </w:r>
          </w:p>
        </w:tc>
        <w:tc>
          <w:tcPr>
            <w:tcW w:w="5902" w:type="dxa"/>
          </w:tcPr>
          <w:p w14:paraId="449BF2A7" w14:textId="77777777" w:rsidR="00A97391" w:rsidRPr="00346694" w:rsidRDefault="00A97391" w:rsidP="00A97391">
            <w:pPr>
              <w:pStyle w:val="Default"/>
              <w:numPr>
                <w:ilvl w:val="0"/>
                <w:numId w:val="67"/>
              </w:numPr>
              <w:rPr>
                <w:color w:val="auto"/>
                <w:sz w:val="22"/>
                <w:szCs w:val="22"/>
              </w:rPr>
            </w:pPr>
            <w:r w:rsidRPr="0058387B">
              <w:rPr>
                <w:color w:val="auto"/>
                <w:sz w:val="22"/>
                <w:szCs w:val="22"/>
              </w:rPr>
              <w:t>the trade date;</w:t>
            </w:r>
          </w:p>
          <w:p w14:paraId="2DB8D79F" w14:textId="77777777" w:rsidR="00A97391" w:rsidRPr="00346694" w:rsidRDefault="00A97391" w:rsidP="00A97391">
            <w:pPr>
              <w:pStyle w:val="Default"/>
              <w:numPr>
                <w:ilvl w:val="0"/>
                <w:numId w:val="67"/>
              </w:numPr>
              <w:rPr>
                <w:color w:val="auto"/>
                <w:sz w:val="22"/>
                <w:szCs w:val="22"/>
              </w:rPr>
            </w:pPr>
            <w:r w:rsidRPr="0058387B">
              <w:rPr>
                <w:color w:val="auto"/>
                <w:sz w:val="22"/>
                <w:szCs w:val="22"/>
              </w:rPr>
              <w:t>the event type (select RT for RT-GCG);</w:t>
            </w:r>
          </w:p>
          <w:p w14:paraId="2734B845" w14:textId="77777777" w:rsidR="00A97391" w:rsidRPr="00346694" w:rsidRDefault="00A97391" w:rsidP="00A97391">
            <w:pPr>
              <w:pStyle w:val="Default"/>
              <w:numPr>
                <w:ilvl w:val="0"/>
                <w:numId w:val="67"/>
              </w:numPr>
              <w:rPr>
                <w:color w:val="auto"/>
                <w:sz w:val="22"/>
                <w:szCs w:val="22"/>
              </w:rPr>
            </w:pPr>
            <w:r w:rsidRPr="0058387B">
              <w:rPr>
                <w:color w:val="auto"/>
                <w:sz w:val="22"/>
                <w:szCs w:val="22"/>
              </w:rPr>
              <w:t xml:space="preserve">the </w:t>
            </w:r>
            <w:r w:rsidRPr="0058387B">
              <w:rPr>
                <w:i/>
                <w:color w:val="auto"/>
                <w:sz w:val="22"/>
                <w:szCs w:val="22"/>
              </w:rPr>
              <w:t>generation unit</w:t>
            </w:r>
            <w:r w:rsidRPr="0058387B">
              <w:rPr>
                <w:color w:val="auto"/>
                <w:sz w:val="22"/>
                <w:szCs w:val="22"/>
              </w:rPr>
              <w:t xml:space="preserve"> name;</w:t>
            </w:r>
          </w:p>
        </w:tc>
        <w:tc>
          <w:tcPr>
            <w:tcW w:w="2062" w:type="dxa"/>
          </w:tcPr>
          <w:p w14:paraId="2C8DE9D0" w14:textId="77777777" w:rsidR="00A97391" w:rsidRPr="00346694" w:rsidRDefault="00A97391" w:rsidP="00A97391">
            <w:r w:rsidRPr="0058387B">
              <w:t>No change</w:t>
            </w:r>
          </w:p>
        </w:tc>
        <w:tc>
          <w:tcPr>
            <w:tcW w:w="2062" w:type="dxa"/>
          </w:tcPr>
          <w:p w14:paraId="5B4F939F" w14:textId="77777777" w:rsidR="00A97391" w:rsidRPr="00346694" w:rsidRDefault="00A97391" w:rsidP="00A97391">
            <w:r w:rsidRPr="0058387B">
              <w:t>No change</w:t>
            </w:r>
          </w:p>
        </w:tc>
        <w:tc>
          <w:tcPr>
            <w:tcW w:w="1791" w:type="dxa"/>
          </w:tcPr>
          <w:p w14:paraId="16DF2A68" w14:textId="77777777" w:rsidR="00A97391" w:rsidRPr="00346694" w:rsidRDefault="00A97391" w:rsidP="00A97391">
            <w:r w:rsidRPr="0058387B">
              <w:t>No change</w:t>
            </w:r>
          </w:p>
        </w:tc>
      </w:tr>
      <w:tr w:rsidR="00A97391" w:rsidRPr="00346694" w14:paraId="5EDC6CF5" w14:textId="77777777" w:rsidTr="001E65B5">
        <w:tc>
          <w:tcPr>
            <w:tcW w:w="1359" w:type="dxa"/>
            <w:vMerge/>
          </w:tcPr>
          <w:p w14:paraId="3821C9F9" w14:textId="77777777" w:rsidR="00A97391" w:rsidRPr="00346694" w:rsidRDefault="00A97391" w:rsidP="00A97391"/>
        </w:tc>
        <w:tc>
          <w:tcPr>
            <w:tcW w:w="5902" w:type="dxa"/>
          </w:tcPr>
          <w:p w14:paraId="034E1D9E" w14:textId="77777777" w:rsidR="00A97391" w:rsidRPr="00346694" w:rsidRDefault="00A97391" w:rsidP="00A97391">
            <w:pPr>
              <w:pStyle w:val="Default"/>
              <w:numPr>
                <w:ilvl w:val="0"/>
                <w:numId w:val="67"/>
              </w:numPr>
              <w:spacing w:after="80"/>
              <w:rPr>
                <w:color w:val="auto"/>
                <w:sz w:val="22"/>
                <w:szCs w:val="22"/>
              </w:rPr>
            </w:pPr>
            <w:r w:rsidRPr="0058387B">
              <w:rPr>
                <w:color w:val="auto"/>
                <w:sz w:val="22"/>
                <w:szCs w:val="22"/>
              </w:rPr>
              <w:t xml:space="preserve">the intended synchronization hour ending (EST) </w:t>
            </w:r>
          </w:p>
        </w:tc>
        <w:tc>
          <w:tcPr>
            <w:tcW w:w="2062" w:type="dxa"/>
          </w:tcPr>
          <w:p w14:paraId="66D2E6CD" w14:textId="77777777" w:rsidR="00A97391" w:rsidRPr="00346694" w:rsidRDefault="00A97391" w:rsidP="00A97391">
            <w:r w:rsidRPr="0058387B">
              <w:t>No change</w:t>
            </w:r>
          </w:p>
        </w:tc>
        <w:tc>
          <w:tcPr>
            <w:tcW w:w="2062" w:type="dxa"/>
          </w:tcPr>
          <w:p w14:paraId="43ED2D5A" w14:textId="77777777" w:rsidR="00A97391" w:rsidRPr="00346694" w:rsidRDefault="00A97391" w:rsidP="00A97391">
            <w:r w:rsidRPr="0058387B">
              <w:t>No change</w:t>
            </w:r>
          </w:p>
        </w:tc>
        <w:tc>
          <w:tcPr>
            <w:tcW w:w="1791" w:type="dxa"/>
          </w:tcPr>
          <w:p w14:paraId="7CF1AF3B" w14:textId="77777777" w:rsidR="00A97391" w:rsidRPr="00346694" w:rsidRDefault="00A97391" w:rsidP="00A97391">
            <w:r w:rsidRPr="0058387B">
              <w:t>No change</w:t>
            </w:r>
          </w:p>
        </w:tc>
      </w:tr>
      <w:tr w:rsidR="00A97391" w:rsidRPr="00346694" w14:paraId="48FCACC4" w14:textId="77777777" w:rsidTr="001E65B5">
        <w:tc>
          <w:tcPr>
            <w:tcW w:w="1359" w:type="dxa"/>
            <w:vMerge/>
          </w:tcPr>
          <w:p w14:paraId="494CDD07" w14:textId="77777777" w:rsidR="00A97391" w:rsidRPr="00346694" w:rsidRDefault="00A97391" w:rsidP="00A97391"/>
        </w:tc>
        <w:tc>
          <w:tcPr>
            <w:tcW w:w="5902" w:type="dxa"/>
          </w:tcPr>
          <w:p w14:paraId="24C83035" w14:textId="77777777" w:rsidR="00A97391" w:rsidRPr="00346694" w:rsidRDefault="00A97391" w:rsidP="00A97391">
            <w:pPr>
              <w:pStyle w:val="Default"/>
              <w:numPr>
                <w:ilvl w:val="0"/>
                <w:numId w:val="67"/>
              </w:numPr>
              <w:spacing w:after="80"/>
              <w:rPr>
                <w:color w:val="auto"/>
                <w:sz w:val="22"/>
                <w:szCs w:val="22"/>
              </w:rPr>
            </w:pPr>
            <w:r w:rsidRPr="0058387B">
              <w:rPr>
                <w:color w:val="auto"/>
                <w:sz w:val="22"/>
                <w:szCs w:val="22"/>
              </w:rPr>
              <w:t xml:space="preserve">the number of actual ramp intervals required to achieve </w:t>
            </w:r>
            <w:r w:rsidRPr="0058387B">
              <w:rPr>
                <w:i/>
                <w:color w:val="auto"/>
                <w:sz w:val="22"/>
                <w:szCs w:val="22"/>
              </w:rPr>
              <w:t>minimum loading point</w:t>
            </w:r>
            <w:r w:rsidRPr="0058387B">
              <w:rPr>
                <w:color w:val="auto"/>
                <w:sz w:val="22"/>
                <w:szCs w:val="22"/>
              </w:rPr>
              <w:t xml:space="preserve"> </w:t>
            </w:r>
          </w:p>
        </w:tc>
        <w:tc>
          <w:tcPr>
            <w:tcW w:w="2062" w:type="dxa"/>
          </w:tcPr>
          <w:p w14:paraId="2EEE32DA" w14:textId="77777777" w:rsidR="00A97391" w:rsidRPr="00346694" w:rsidRDefault="00A97391" w:rsidP="00A97391">
            <w:r w:rsidRPr="0058387B">
              <w:t>No change</w:t>
            </w:r>
          </w:p>
        </w:tc>
        <w:tc>
          <w:tcPr>
            <w:tcW w:w="2062" w:type="dxa"/>
          </w:tcPr>
          <w:p w14:paraId="0321A79F" w14:textId="77777777" w:rsidR="00A97391" w:rsidRPr="00346694" w:rsidRDefault="00A97391" w:rsidP="00A97391">
            <w:r w:rsidRPr="0058387B">
              <w:t>No change</w:t>
            </w:r>
          </w:p>
        </w:tc>
        <w:tc>
          <w:tcPr>
            <w:tcW w:w="1791" w:type="dxa"/>
          </w:tcPr>
          <w:p w14:paraId="3D282ABF" w14:textId="77777777" w:rsidR="00A97391" w:rsidRPr="00346694" w:rsidRDefault="00A97391" w:rsidP="00A97391">
            <w:r w:rsidRPr="0058387B">
              <w:t>No change</w:t>
            </w:r>
          </w:p>
        </w:tc>
      </w:tr>
      <w:tr w:rsidR="00A97391" w:rsidRPr="00346694" w14:paraId="4727494B" w14:textId="77777777" w:rsidTr="001E65B5">
        <w:tc>
          <w:tcPr>
            <w:tcW w:w="1359" w:type="dxa"/>
            <w:vMerge/>
          </w:tcPr>
          <w:p w14:paraId="207CC1B5" w14:textId="77777777" w:rsidR="00A97391" w:rsidRPr="00346694" w:rsidRDefault="00A97391" w:rsidP="00A97391"/>
        </w:tc>
        <w:tc>
          <w:tcPr>
            <w:tcW w:w="5902" w:type="dxa"/>
          </w:tcPr>
          <w:p w14:paraId="6D2002CF" w14:textId="77777777" w:rsidR="00A97391" w:rsidRPr="00346694" w:rsidRDefault="00A97391" w:rsidP="00A97391">
            <w:pPr>
              <w:pStyle w:val="Default"/>
              <w:numPr>
                <w:ilvl w:val="0"/>
                <w:numId w:val="67"/>
              </w:numPr>
              <w:spacing w:after="80"/>
              <w:rPr>
                <w:color w:val="auto"/>
                <w:sz w:val="22"/>
                <w:szCs w:val="22"/>
              </w:rPr>
            </w:pPr>
            <w:r w:rsidRPr="0058387B">
              <w:rPr>
                <w:color w:val="auto"/>
                <w:sz w:val="22"/>
                <w:szCs w:val="22"/>
              </w:rPr>
              <w:t xml:space="preserve">the fuel costs of start-up and of ramping to </w:t>
            </w:r>
            <w:r w:rsidRPr="0058387B">
              <w:rPr>
                <w:i/>
                <w:color w:val="auto"/>
                <w:sz w:val="22"/>
                <w:szCs w:val="22"/>
              </w:rPr>
              <w:t>minimum loading point</w:t>
            </w:r>
            <w:r w:rsidRPr="0058387B">
              <w:rPr>
                <w:color w:val="auto"/>
                <w:sz w:val="22"/>
                <w:szCs w:val="22"/>
              </w:rPr>
              <w:t xml:space="preserve">; </w:t>
            </w:r>
          </w:p>
          <w:p w14:paraId="0018B909" w14:textId="77777777" w:rsidR="00A97391" w:rsidRPr="00346694" w:rsidRDefault="00A97391" w:rsidP="00A97391">
            <w:pPr>
              <w:pStyle w:val="Default"/>
              <w:numPr>
                <w:ilvl w:val="0"/>
                <w:numId w:val="67"/>
              </w:numPr>
              <w:spacing w:after="80"/>
              <w:rPr>
                <w:color w:val="auto"/>
                <w:sz w:val="22"/>
                <w:szCs w:val="22"/>
              </w:rPr>
            </w:pPr>
            <w:r w:rsidRPr="0058387B">
              <w:rPr>
                <w:color w:val="auto"/>
                <w:sz w:val="22"/>
                <w:szCs w:val="22"/>
              </w:rPr>
              <w:t xml:space="preserve">the incremental O&amp;M costs associated with start-up and ramping to </w:t>
            </w:r>
            <w:r w:rsidRPr="0058387B">
              <w:rPr>
                <w:i/>
                <w:color w:val="auto"/>
                <w:sz w:val="22"/>
                <w:szCs w:val="22"/>
              </w:rPr>
              <w:t>minimum loading point</w:t>
            </w:r>
            <w:r w:rsidRPr="0058387B">
              <w:rPr>
                <w:color w:val="auto"/>
                <w:sz w:val="22"/>
                <w:szCs w:val="22"/>
              </w:rPr>
              <w:t>.</w:t>
            </w:r>
          </w:p>
        </w:tc>
        <w:tc>
          <w:tcPr>
            <w:tcW w:w="2062" w:type="dxa"/>
          </w:tcPr>
          <w:p w14:paraId="4F7F4F3B" w14:textId="77777777" w:rsidR="00A97391" w:rsidRPr="00346694" w:rsidRDefault="00A97391" w:rsidP="00A97391">
            <w:r w:rsidRPr="0058387B">
              <w:t xml:space="preserve">The treatment and submission of fuel costs for start-up and for ramping to </w:t>
            </w:r>
            <w:r w:rsidRPr="0058387B">
              <w:rPr>
                <w:i/>
              </w:rPr>
              <w:t>minimum loading point</w:t>
            </w:r>
            <w:r w:rsidRPr="0058387B">
              <w:t xml:space="preserve"> are outlined in Principle (2) above.</w:t>
            </w:r>
          </w:p>
        </w:tc>
        <w:tc>
          <w:tcPr>
            <w:tcW w:w="2062" w:type="dxa"/>
          </w:tcPr>
          <w:p w14:paraId="620F76C8" w14:textId="77777777" w:rsidR="00A97391" w:rsidRPr="00346694" w:rsidRDefault="00A97391" w:rsidP="00A97391">
            <w:r w:rsidRPr="0058387B">
              <w:t xml:space="preserve">The treatment and submission of fuel costs for start-up and for ramping to </w:t>
            </w:r>
            <w:r w:rsidRPr="0058387B">
              <w:rPr>
                <w:i/>
              </w:rPr>
              <w:t>minimum loading point</w:t>
            </w:r>
            <w:r w:rsidRPr="0058387B">
              <w:t xml:space="preserve"> are outlined in Principle (2) above.</w:t>
            </w:r>
          </w:p>
        </w:tc>
        <w:tc>
          <w:tcPr>
            <w:tcW w:w="1791" w:type="dxa"/>
          </w:tcPr>
          <w:p w14:paraId="064CB0CD" w14:textId="77777777" w:rsidR="00A97391" w:rsidRPr="00346694" w:rsidRDefault="00A97391" w:rsidP="00A97391">
            <w:r w:rsidRPr="0058387B">
              <w:t>No change</w:t>
            </w:r>
          </w:p>
        </w:tc>
      </w:tr>
      <w:tr w:rsidR="00A97391" w:rsidRPr="00346694" w14:paraId="4B764C42" w14:textId="77777777" w:rsidTr="001E65B5">
        <w:tc>
          <w:tcPr>
            <w:tcW w:w="1359" w:type="dxa"/>
            <w:vMerge w:val="restart"/>
          </w:tcPr>
          <w:p w14:paraId="49338B27" w14:textId="77777777" w:rsidR="00A97391" w:rsidRPr="00346694" w:rsidRDefault="00A97391" w:rsidP="00A97391">
            <w:pPr>
              <w:rPr>
                <w:b/>
              </w:rPr>
            </w:pPr>
            <w:r w:rsidRPr="0058387B">
              <w:rPr>
                <w:b/>
              </w:rPr>
              <w:t>Eligibility</w:t>
            </w:r>
          </w:p>
        </w:tc>
        <w:tc>
          <w:tcPr>
            <w:tcW w:w="5902" w:type="dxa"/>
          </w:tcPr>
          <w:p w14:paraId="596E26E4" w14:textId="77777777" w:rsidR="00A97391" w:rsidRPr="00346694" w:rsidRDefault="00A97391" w:rsidP="00A97391">
            <w:pPr>
              <w:pStyle w:val="ListBullet"/>
              <w:numPr>
                <w:ilvl w:val="0"/>
                <w:numId w:val="68"/>
              </w:numPr>
              <w:ind w:left="720"/>
            </w:pPr>
            <w:r w:rsidRPr="0058387B">
              <w:t xml:space="preserve">the </w:t>
            </w:r>
            <w:r w:rsidRPr="0058387B">
              <w:rPr>
                <w:i/>
              </w:rPr>
              <w:t xml:space="preserve">generation unit </w:t>
            </w:r>
            <w:r w:rsidRPr="0058387B">
              <w:t xml:space="preserve">is not already synchronized at the time of </w:t>
            </w:r>
            <w:r w:rsidRPr="0058387B">
              <w:rPr>
                <w:i/>
              </w:rPr>
              <w:t>publication</w:t>
            </w:r>
            <w:r w:rsidRPr="0058387B">
              <w:t xml:space="preserve"> of the applicable </w:t>
            </w:r>
            <w:r w:rsidRPr="0058387B">
              <w:rPr>
                <w:i/>
              </w:rPr>
              <w:t>pre-dispatch schedule</w:t>
            </w:r>
            <w:r w:rsidRPr="0058387B">
              <w:t xml:space="preserve">; </w:t>
            </w:r>
          </w:p>
        </w:tc>
        <w:tc>
          <w:tcPr>
            <w:tcW w:w="2062" w:type="dxa"/>
          </w:tcPr>
          <w:p w14:paraId="71D6DCDB" w14:textId="77777777" w:rsidR="00A97391" w:rsidRPr="00346694" w:rsidRDefault="00A97391" w:rsidP="00A97391">
            <w:r w:rsidRPr="0058387B">
              <w:t>No change</w:t>
            </w:r>
          </w:p>
        </w:tc>
        <w:tc>
          <w:tcPr>
            <w:tcW w:w="2062" w:type="dxa"/>
          </w:tcPr>
          <w:p w14:paraId="5AE3AA34" w14:textId="77777777" w:rsidR="00A97391" w:rsidRPr="00346694" w:rsidRDefault="00A97391" w:rsidP="00A97391">
            <w:r w:rsidRPr="0058387B">
              <w:t>No change</w:t>
            </w:r>
          </w:p>
        </w:tc>
        <w:tc>
          <w:tcPr>
            <w:tcW w:w="1791" w:type="dxa"/>
          </w:tcPr>
          <w:p w14:paraId="6B05756A" w14:textId="77777777" w:rsidR="00A97391" w:rsidRPr="00346694" w:rsidRDefault="00A97391" w:rsidP="00A97391">
            <w:r w:rsidRPr="0058387B">
              <w:t>No change</w:t>
            </w:r>
          </w:p>
        </w:tc>
      </w:tr>
      <w:tr w:rsidR="00A97391" w:rsidRPr="00346694" w14:paraId="25623A7D" w14:textId="77777777" w:rsidTr="001E65B5">
        <w:tc>
          <w:tcPr>
            <w:tcW w:w="1359" w:type="dxa"/>
            <w:vMerge/>
          </w:tcPr>
          <w:p w14:paraId="1458576C" w14:textId="77777777" w:rsidR="00A97391" w:rsidRPr="00346694" w:rsidRDefault="00A97391" w:rsidP="00A97391"/>
        </w:tc>
        <w:tc>
          <w:tcPr>
            <w:tcW w:w="5902" w:type="dxa"/>
          </w:tcPr>
          <w:p w14:paraId="1C1E7CBD" w14:textId="77777777" w:rsidR="00A97391" w:rsidRPr="00346694" w:rsidRDefault="00A97391" w:rsidP="00A97391">
            <w:pPr>
              <w:pStyle w:val="ListParagraph"/>
              <w:numPr>
                <w:ilvl w:val="0"/>
                <w:numId w:val="68"/>
              </w:numPr>
              <w:spacing w:after="0"/>
              <w:ind w:left="702"/>
            </w:pPr>
            <w:r w:rsidRPr="0058387B">
              <w:t xml:space="preserve">you notified the </w:t>
            </w:r>
            <w:r w:rsidRPr="0058387B">
              <w:rPr>
                <w:i/>
              </w:rPr>
              <w:t>IESO</w:t>
            </w:r>
            <w:r w:rsidRPr="0058387B">
              <w:t xml:space="preserve"> control room, of your intent to qualify for an RT-GCG start, and run for at least your </w:t>
            </w:r>
            <w:r w:rsidRPr="0058387B">
              <w:rPr>
                <w:i/>
              </w:rPr>
              <w:t>minimum generation block run-time</w:t>
            </w:r>
            <w:r w:rsidRPr="0058387B">
              <w:t>;</w:t>
            </w:r>
          </w:p>
        </w:tc>
        <w:tc>
          <w:tcPr>
            <w:tcW w:w="2062" w:type="dxa"/>
          </w:tcPr>
          <w:p w14:paraId="58A42278" w14:textId="77777777" w:rsidR="00A97391" w:rsidRPr="00346694" w:rsidRDefault="00A97391" w:rsidP="00A97391">
            <w:r w:rsidRPr="0058387B">
              <w:t>No change</w:t>
            </w:r>
          </w:p>
        </w:tc>
        <w:tc>
          <w:tcPr>
            <w:tcW w:w="2062" w:type="dxa"/>
          </w:tcPr>
          <w:p w14:paraId="2BCB3E32" w14:textId="77777777" w:rsidR="00A97391" w:rsidRPr="00346694" w:rsidRDefault="00A97391" w:rsidP="00A97391">
            <w:r w:rsidRPr="0058387B">
              <w:t>No change</w:t>
            </w:r>
          </w:p>
        </w:tc>
        <w:tc>
          <w:tcPr>
            <w:tcW w:w="1791" w:type="dxa"/>
          </w:tcPr>
          <w:p w14:paraId="2F1DCD85" w14:textId="77777777" w:rsidR="00A97391" w:rsidRPr="00346694" w:rsidRDefault="00A97391" w:rsidP="00A97391">
            <w:r w:rsidRPr="0058387B">
              <w:t>No change</w:t>
            </w:r>
          </w:p>
        </w:tc>
      </w:tr>
      <w:tr w:rsidR="00A97391" w:rsidRPr="00346694" w14:paraId="16ED1768" w14:textId="77777777" w:rsidTr="001E65B5">
        <w:tc>
          <w:tcPr>
            <w:tcW w:w="1359" w:type="dxa"/>
            <w:vMerge/>
          </w:tcPr>
          <w:p w14:paraId="446A98B7" w14:textId="77777777" w:rsidR="00A97391" w:rsidRPr="00346694" w:rsidRDefault="00A97391" w:rsidP="00A97391"/>
        </w:tc>
        <w:tc>
          <w:tcPr>
            <w:tcW w:w="5902" w:type="dxa"/>
          </w:tcPr>
          <w:p w14:paraId="48716D03" w14:textId="77777777" w:rsidR="00A97391" w:rsidRPr="00346694" w:rsidRDefault="00A97391" w:rsidP="00A97391">
            <w:pPr>
              <w:pStyle w:val="ListParagraph"/>
              <w:numPr>
                <w:ilvl w:val="0"/>
                <w:numId w:val="68"/>
              </w:numPr>
              <w:spacing w:after="0"/>
              <w:ind w:left="702"/>
            </w:pPr>
            <w:r w:rsidRPr="0058387B">
              <w:t xml:space="preserve">the </w:t>
            </w:r>
            <w:r w:rsidRPr="0058387B">
              <w:rPr>
                <w:i/>
              </w:rPr>
              <w:t>price-quantity pair</w:t>
            </w:r>
            <w:r w:rsidRPr="0058387B">
              <w:t xml:space="preserve"> </w:t>
            </w:r>
            <w:r w:rsidRPr="0058387B">
              <w:rPr>
                <w:i/>
              </w:rPr>
              <w:t xml:space="preserve">offer </w:t>
            </w:r>
            <w:r w:rsidRPr="0058387B">
              <w:t xml:space="preserve">price corresponding to the </w:t>
            </w:r>
            <w:r w:rsidRPr="0058387B">
              <w:rPr>
                <w:i/>
              </w:rPr>
              <w:t>minimum loading point</w:t>
            </w:r>
            <w:r w:rsidRPr="0058387B">
              <w:t xml:space="preserve"> for all hours of the </w:t>
            </w:r>
            <w:r w:rsidRPr="0058387B">
              <w:rPr>
                <w:i/>
                <w:iCs/>
              </w:rPr>
              <w:t xml:space="preserve">minimum generation block run-time </w:t>
            </w:r>
            <w:r w:rsidRPr="0058387B">
              <w:t>must be the same</w:t>
            </w:r>
          </w:p>
        </w:tc>
        <w:tc>
          <w:tcPr>
            <w:tcW w:w="2062" w:type="dxa"/>
          </w:tcPr>
          <w:p w14:paraId="426FDF56" w14:textId="77777777" w:rsidR="00A97391" w:rsidRPr="00346694" w:rsidRDefault="00A97391" w:rsidP="00A97391">
            <w:r w:rsidRPr="0058387B">
              <w:t>No change</w:t>
            </w:r>
          </w:p>
        </w:tc>
        <w:tc>
          <w:tcPr>
            <w:tcW w:w="2062" w:type="dxa"/>
          </w:tcPr>
          <w:p w14:paraId="58D7B883" w14:textId="77777777" w:rsidR="00A97391" w:rsidRPr="00346694" w:rsidRDefault="00A97391" w:rsidP="00A97391">
            <w:r w:rsidRPr="0058387B">
              <w:t>No change</w:t>
            </w:r>
          </w:p>
        </w:tc>
        <w:tc>
          <w:tcPr>
            <w:tcW w:w="1791" w:type="dxa"/>
          </w:tcPr>
          <w:p w14:paraId="66CE645C" w14:textId="77777777" w:rsidR="00A97391" w:rsidRPr="00346694" w:rsidRDefault="00A97391" w:rsidP="00A97391">
            <w:r w:rsidRPr="0058387B">
              <w:t>No change</w:t>
            </w:r>
          </w:p>
        </w:tc>
      </w:tr>
      <w:tr w:rsidR="00A97391" w:rsidRPr="00346694" w14:paraId="0D72A00E" w14:textId="77777777" w:rsidTr="001E65B5">
        <w:tc>
          <w:tcPr>
            <w:tcW w:w="1359" w:type="dxa"/>
            <w:vMerge/>
          </w:tcPr>
          <w:p w14:paraId="20A7BF88" w14:textId="77777777" w:rsidR="00A97391" w:rsidRPr="00346694" w:rsidRDefault="00A97391" w:rsidP="00A97391"/>
        </w:tc>
        <w:tc>
          <w:tcPr>
            <w:tcW w:w="5902" w:type="dxa"/>
          </w:tcPr>
          <w:p w14:paraId="5E6B9A92" w14:textId="77777777" w:rsidR="00A97391" w:rsidRPr="00346694" w:rsidRDefault="00A97391" w:rsidP="00A97391">
            <w:pPr>
              <w:pStyle w:val="ListParagraph"/>
              <w:numPr>
                <w:ilvl w:val="0"/>
                <w:numId w:val="68"/>
              </w:numPr>
              <w:spacing w:after="0"/>
              <w:ind w:left="702"/>
            </w:pPr>
            <w:r w:rsidRPr="0058387B">
              <w:t xml:space="preserve">the </w:t>
            </w:r>
            <w:r w:rsidRPr="0058387B">
              <w:rPr>
                <w:i/>
              </w:rPr>
              <w:t xml:space="preserve">generation unit </w:t>
            </w:r>
            <w:r w:rsidRPr="0058387B">
              <w:t xml:space="preserve">must be scheduled in any </w:t>
            </w:r>
            <w:r w:rsidRPr="0058387B">
              <w:rPr>
                <w:i/>
              </w:rPr>
              <w:t xml:space="preserve">pre-dispatch schedule </w:t>
            </w:r>
            <w:r w:rsidRPr="0058387B">
              <w:t xml:space="preserve">determined within three hours </w:t>
            </w:r>
            <w:r w:rsidRPr="0058387B">
              <w:rPr>
                <w:iCs/>
              </w:rPr>
              <w:t>ahead of the</w:t>
            </w:r>
            <w:r w:rsidRPr="0058387B">
              <w:rPr>
                <w:i/>
                <w:iCs/>
              </w:rPr>
              <w:t xml:space="preserve"> dispatch hour (i.e. </w:t>
            </w:r>
            <w:r w:rsidRPr="0058387B">
              <w:rPr>
                <w:iCs/>
              </w:rPr>
              <w:t>PD</w:t>
            </w:r>
            <w:r w:rsidRPr="0058387B">
              <w:t>-3, PD-2 or PD-1) for at least half of</w:t>
            </w:r>
            <w:r w:rsidRPr="0058387B">
              <w:rPr>
                <w:i/>
              </w:rPr>
              <w:t xml:space="preserve"> minimum generation block run-time</w:t>
            </w:r>
            <w:r w:rsidRPr="0058387B">
              <w:t>,</w:t>
            </w:r>
            <w:r w:rsidRPr="0058387B">
              <w:rPr>
                <w:i/>
              </w:rPr>
              <w:t xml:space="preserve"> </w:t>
            </w:r>
            <w:r w:rsidRPr="0058387B">
              <w:t>at</w:t>
            </w:r>
            <w:r w:rsidRPr="0058387B">
              <w:rPr>
                <w:i/>
              </w:rPr>
              <w:t xml:space="preserve"> </w:t>
            </w:r>
            <w:r w:rsidRPr="0058387B">
              <w:rPr>
                <w:i/>
                <w:iCs/>
              </w:rPr>
              <w:t xml:space="preserve">minimum loading point </w:t>
            </w:r>
            <w:r w:rsidRPr="0058387B">
              <w:rPr>
                <w:iCs/>
              </w:rPr>
              <w:t>hour ending</w:t>
            </w:r>
            <w:r w:rsidRPr="0058387B">
              <w:rPr>
                <w:i/>
                <w:iCs/>
              </w:rPr>
              <w:t xml:space="preserve"> </w:t>
            </w:r>
            <w:r w:rsidRPr="0058387B">
              <w:t>at the end of</w:t>
            </w:r>
            <w:r w:rsidRPr="0058387B">
              <w:rPr>
                <w:i/>
              </w:rPr>
              <w:t xml:space="preserve"> the minimum generation block run-time</w:t>
            </w:r>
            <w:r w:rsidRPr="0058387B">
              <w:t xml:space="preserve">, or the end of the </w:t>
            </w:r>
            <w:r w:rsidRPr="0058387B">
              <w:rPr>
                <w:i/>
              </w:rPr>
              <w:t xml:space="preserve">minimum run time, </w:t>
            </w:r>
            <w:r w:rsidRPr="0058387B">
              <w:t>whichever is earlier</w:t>
            </w:r>
          </w:p>
        </w:tc>
        <w:tc>
          <w:tcPr>
            <w:tcW w:w="2062" w:type="dxa"/>
          </w:tcPr>
          <w:p w14:paraId="6115CEE5" w14:textId="77777777" w:rsidR="00A97391" w:rsidRPr="00346694" w:rsidRDefault="00A97391" w:rsidP="00A97391">
            <w:r w:rsidRPr="0058387B">
              <w:rPr>
                <w:i/>
              </w:rPr>
              <w:t>Pre-dispatch Schedules</w:t>
            </w:r>
            <w:r w:rsidRPr="0058387B">
              <w:t xml:space="preserve"> with either manual or PCG constraints applied will not be considered</w:t>
            </w:r>
          </w:p>
        </w:tc>
        <w:tc>
          <w:tcPr>
            <w:tcW w:w="2062" w:type="dxa"/>
          </w:tcPr>
          <w:p w14:paraId="1CAF0AB3" w14:textId="77777777" w:rsidR="00A97391" w:rsidRPr="00346694" w:rsidRDefault="00A97391" w:rsidP="00A97391">
            <w:r w:rsidRPr="0058387B">
              <w:rPr>
                <w:i/>
              </w:rPr>
              <w:t>Pre-dispatch Schedules</w:t>
            </w:r>
            <w:r w:rsidRPr="0058387B">
              <w:t xml:space="preserve"> with either manual or PCG constraints applied will not be considered</w:t>
            </w:r>
          </w:p>
        </w:tc>
        <w:tc>
          <w:tcPr>
            <w:tcW w:w="1791" w:type="dxa"/>
          </w:tcPr>
          <w:p w14:paraId="023A30E6" w14:textId="77777777" w:rsidR="00A97391" w:rsidRPr="00346694" w:rsidRDefault="00A97391" w:rsidP="00A97391">
            <w:r w:rsidRPr="0058387B">
              <w:rPr>
                <w:i/>
              </w:rPr>
              <w:t>Pre-dispatch Schedules</w:t>
            </w:r>
            <w:r w:rsidRPr="0058387B">
              <w:t xml:space="preserve"> with either manual or PCG constraints applied will not be considered</w:t>
            </w:r>
          </w:p>
        </w:tc>
      </w:tr>
      <w:tr w:rsidR="00A97391" w:rsidRPr="00346694" w14:paraId="4DABBAD6" w14:textId="77777777" w:rsidTr="001E65B5">
        <w:tc>
          <w:tcPr>
            <w:tcW w:w="1359" w:type="dxa"/>
            <w:vMerge/>
          </w:tcPr>
          <w:p w14:paraId="0172EAEB" w14:textId="77777777" w:rsidR="00A97391" w:rsidRPr="00346694" w:rsidRDefault="00A97391" w:rsidP="00A97391"/>
        </w:tc>
        <w:tc>
          <w:tcPr>
            <w:tcW w:w="5902" w:type="dxa"/>
          </w:tcPr>
          <w:p w14:paraId="30AAFBD5" w14:textId="77777777" w:rsidR="00A97391" w:rsidRPr="00346694" w:rsidRDefault="00A97391" w:rsidP="00A97391">
            <w:pPr>
              <w:pStyle w:val="ListParagraph"/>
              <w:numPr>
                <w:ilvl w:val="0"/>
                <w:numId w:val="68"/>
              </w:numPr>
              <w:spacing w:after="0"/>
              <w:ind w:left="702"/>
            </w:pPr>
            <w:r w:rsidRPr="0058387B">
              <w:t xml:space="preserve">the </w:t>
            </w:r>
            <w:r w:rsidRPr="0058387B">
              <w:rPr>
                <w:i/>
              </w:rPr>
              <w:t>offer</w:t>
            </w:r>
            <w:r w:rsidRPr="0058387B">
              <w:t xml:space="preserve"> prices corresponding to the </w:t>
            </w:r>
            <w:r w:rsidRPr="0058387B">
              <w:rPr>
                <w:i/>
              </w:rPr>
              <w:t>minimum loading point</w:t>
            </w:r>
            <w:r w:rsidRPr="0058387B">
              <w:t xml:space="preserve"> for the </w:t>
            </w:r>
            <w:r w:rsidRPr="0058387B">
              <w:rPr>
                <w:i/>
                <w:iCs/>
              </w:rPr>
              <w:t>minimum generation block run-time</w:t>
            </w:r>
            <w:r w:rsidRPr="0058387B">
              <w:t xml:space="preserve"> are not increased after notifying the </w:t>
            </w:r>
            <w:r w:rsidRPr="0058387B">
              <w:rPr>
                <w:i/>
              </w:rPr>
              <w:t>IESO</w:t>
            </w:r>
            <w:r w:rsidRPr="0058387B">
              <w:t xml:space="preserve"> of your intention to synchronize or after the </w:t>
            </w:r>
            <w:r w:rsidRPr="0058387B">
              <w:rPr>
                <w:i/>
                <w:iCs/>
              </w:rPr>
              <w:t xml:space="preserve">IESO </w:t>
            </w:r>
            <w:r w:rsidRPr="0058387B">
              <w:t>has applied a manual constraint;</w:t>
            </w:r>
          </w:p>
        </w:tc>
        <w:tc>
          <w:tcPr>
            <w:tcW w:w="2062" w:type="dxa"/>
          </w:tcPr>
          <w:p w14:paraId="2A8BF8A4" w14:textId="77777777" w:rsidR="00A97391" w:rsidRPr="00346694" w:rsidRDefault="00A97391" w:rsidP="00A97391">
            <w:r w:rsidRPr="0058387B">
              <w:t>No change</w:t>
            </w:r>
          </w:p>
        </w:tc>
        <w:tc>
          <w:tcPr>
            <w:tcW w:w="2062" w:type="dxa"/>
          </w:tcPr>
          <w:p w14:paraId="56CE7DE3" w14:textId="77777777" w:rsidR="00A97391" w:rsidRPr="00346694" w:rsidRDefault="00A97391" w:rsidP="00A97391">
            <w:r w:rsidRPr="0058387B">
              <w:t>No change</w:t>
            </w:r>
          </w:p>
        </w:tc>
        <w:tc>
          <w:tcPr>
            <w:tcW w:w="1791" w:type="dxa"/>
          </w:tcPr>
          <w:p w14:paraId="4AC0488A" w14:textId="77777777" w:rsidR="00A97391" w:rsidRPr="00346694" w:rsidRDefault="00A97391" w:rsidP="00A97391">
            <w:r w:rsidRPr="0058387B">
              <w:t>No change</w:t>
            </w:r>
          </w:p>
        </w:tc>
      </w:tr>
      <w:tr w:rsidR="00A97391" w:rsidRPr="00346694" w14:paraId="4FAF5DF5" w14:textId="77777777" w:rsidTr="001E65B5">
        <w:tc>
          <w:tcPr>
            <w:tcW w:w="1359" w:type="dxa"/>
            <w:vMerge/>
          </w:tcPr>
          <w:p w14:paraId="502B8260" w14:textId="77777777" w:rsidR="00A97391" w:rsidRPr="00346694" w:rsidRDefault="00A97391" w:rsidP="00A97391"/>
        </w:tc>
        <w:tc>
          <w:tcPr>
            <w:tcW w:w="5902" w:type="dxa"/>
          </w:tcPr>
          <w:p w14:paraId="30358686" w14:textId="77777777" w:rsidR="00A97391" w:rsidRPr="00346694" w:rsidRDefault="00A97391" w:rsidP="00A97391">
            <w:pPr>
              <w:pStyle w:val="ListParagraph"/>
              <w:numPr>
                <w:ilvl w:val="0"/>
                <w:numId w:val="68"/>
              </w:numPr>
              <w:spacing w:after="0"/>
              <w:ind w:left="702"/>
            </w:pPr>
            <w:r w:rsidRPr="0058387B">
              <w:t xml:space="preserve">you synchronize your </w:t>
            </w:r>
            <w:r w:rsidRPr="0058387B">
              <w:rPr>
                <w:i/>
              </w:rPr>
              <w:t>generation unit</w:t>
            </w:r>
            <w:r w:rsidRPr="0058387B">
              <w:t xml:space="preserve"> no later than the end of the </w:t>
            </w:r>
            <w:r w:rsidRPr="0058387B">
              <w:rPr>
                <w:i/>
              </w:rPr>
              <w:t>dispatch hour</w:t>
            </w:r>
            <w:r w:rsidRPr="0058387B">
              <w:t>; and</w:t>
            </w:r>
          </w:p>
        </w:tc>
        <w:tc>
          <w:tcPr>
            <w:tcW w:w="2062" w:type="dxa"/>
          </w:tcPr>
          <w:p w14:paraId="1076A0DE" w14:textId="77777777" w:rsidR="00A97391" w:rsidRPr="00346694" w:rsidRDefault="00A97391" w:rsidP="00A97391">
            <w:r w:rsidRPr="0058387B">
              <w:t>No change</w:t>
            </w:r>
          </w:p>
        </w:tc>
        <w:tc>
          <w:tcPr>
            <w:tcW w:w="2062" w:type="dxa"/>
          </w:tcPr>
          <w:p w14:paraId="3206247D" w14:textId="77777777" w:rsidR="00A97391" w:rsidRPr="00346694" w:rsidRDefault="00A97391" w:rsidP="00A97391">
            <w:r w:rsidRPr="0058387B">
              <w:t>No change</w:t>
            </w:r>
          </w:p>
        </w:tc>
        <w:tc>
          <w:tcPr>
            <w:tcW w:w="1791" w:type="dxa"/>
          </w:tcPr>
          <w:p w14:paraId="30B29FF6" w14:textId="77777777" w:rsidR="00A97391" w:rsidRPr="00346694" w:rsidRDefault="00A97391" w:rsidP="00A97391">
            <w:r w:rsidRPr="0058387B">
              <w:t>No change</w:t>
            </w:r>
          </w:p>
        </w:tc>
      </w:tr>
      <w:tr w:rsidR="00A97391" w:rsidRPr="00346694" w14:paraId="7F3B0D30" w14:textId="77777777" w:rsidTr="001E65B5">
        <w:tc>
          <w:tcPr>
            <w:tcW w:w="1359" w:type="dxa"/>
            <w:vMerge/>
          </w:tcPr>
          <w:p w14:paraId="15B465AF" w14:textId="77777777" w:rsidR="00A97391" w:rsidRPr="00346694" w:rsidRDefault="00A97391" w:rsidP="00A97391"/>
        </w:tc>
        <w:tc>
          <w:tcPr>
            <w:tcW w:w="5902" w:type="dxa"/>
          </w:tcPr>
          <w:p w14:paraId="44ADB0B5" w14:textId="77777777" w:rsidR="00A97391" w:rsidRPr="00346694" w:rsidRDefault="00A97391" w:rsidP="00A97391">
            <w:pPr>
              <w:pStyle w:val="ListParagraph"/>
              <w:numPr>
                <w:ilvl w:val="0"/>
                <w:numId w:val="68"/>
              </w:numPr>
              <w:spacing w:after="0"/>
              <w:ind w:left="702"/>
            </w:pPr>
            <w:r w:rsidRPr="0058387B">
              <w:t xml:space="preserve">you run your </w:t>
            </w:r>
            <w:r w:rsidRPr="0058387B">
              <w:rPr>
                <w:i/>
              </w:rPr>
              <w:t>generation unit</w:t>
            </w:r>
            <w:r w:rsidRPr="0058387B">
              <w:t xml:space="preserve"> until the end of the </w:t>
            </w:r>
            <w:r w:rsidRPr="0058387B">
              <w:rPr>
                <w:i/>
              </w:rPr>
              <w:t>minimum generation block run-time</w:t>
            </w:r>
            <w:r w:rsidRPr="0058387B">
              <w:t>.</w:t>
            </w:r>
          </w:p>
        </w:tc>
        <w:tc>
          <w:tcPr>
            <w:tcW w:w="2062" w:type="dxa"/>
          </w:tcPr>
          <w:p w14:paraId="5660EA31" w14:textId="77777777" w:rsidR="00A97391" w:rsidRPr="00346694" w:rsidRDefault="00A97391" w:rsidP="00A97391">
            <w:r w:rsidRPr="0058387B">
              <w:t>No change</w:t>
            </w:r>
          </w:p>
        </w:tc>
        <w:tc>
          <w:tcPr>
            <w:tcW w:w="2062" w:type="dxa"/>
          </w:tcPr>
          <w:p w14:paraId="5F053CDB" w14:textId="77777777" w:rsidR="00A97391" w:rsidRPr="00346694" w:rsidRDefault="00A97391" w:rsidP="00A97391">
            <w:r w:rsidRPr="0058387B">
              <w:t>No change</w:t>
            </w:r>
          </w:p>
        </w:tc>
        <w:tc>
          <w:tcPr>
            <w:tcW w:w="1791" w:type="dxa"/>
          </w:tcPr>
          <w:p w14:paraId="66FC7C57" w14:textId="77777777" w:rsidR="00A97391" w:rsidRPr="00346694" w:rsidRDefault="00A97391" w:rsidP="00A97391">
            <w:r w:rsidRPr="0058387B">
              <w:t>No change</w:t>
            </w:r>
          </w:p>
        </w:tc>
      </w:tr>
      <w:tr w:rsidR="00A97391" w:rsidRPr="00346694" w14:paraId="1F29DF12" w14:textId="77777777" w:rsidTr="001E65B5">
        <w:tc>
          <w:tcPr>
            <w:tcW w:w="1359" w:type="dxa"/>
            <w:vMerge w:val="restart"/>
          </w:tcPr>
          <w:p w14:paraId="1775E6BF" w14:textId="77777777" w:rsidR="00A97391" w:rsidRPr="00346694" w:rsidRDefault="00A97391" w:rsidP="00A97391">
            <w:pPr>
              <w:rPr>
                <w:b/>
              </w:rPr>
            </w:pPr>
            <w:r w:rsidRPr="0058387B">
              <w:rPr>
                <w:b/>
              </w:rPr>
              <w:t>RT-GCG Cost</w:t>
            </w:r>
          </w:p>
        </w:tc>
        <w:tc>
          <w:tcPr>
            <w:tcW w:w="5902" w:type="dxa"/>
          </w:tcPr>
          <w:p w14:paraId="2121EE0D" w14:textId="77777777" w:rsidR="00A97391" w:rsidRPr="00346694" w:rsidRDefault="00A97391" w:rsidP="00A97391">
            <w:pPr>
              <w:pStyle w:val="Default"/>
              <w:numPr>
                <w:ilvl w:val="0"/>
                <w:numId w:val="66"/>
              </w:numPr>
              <w:rPr>
                <w:color w:val="auto"/>
                <w:sz w:val="22"/>
                <w:szCs w:val="22"/>
              </w:rPr>
            </w:pPr>
            <w:r w:rsidRPr="0058387B">
              <w:rPr>
                <w:color w:val="auto"/>
                <w:sz w:val="22"/>
                <w:szCs w:val="22"/>
              </w:rPr>
              <w:t xml:space="preserve">the submitted fuel costs and incremental O&amp;M costs for start-up and ramp to </w:t>
            </w:r>
            <w:r w:rsidRPr="0058387B">
              <w:rPr>
                <w:i/>
                <w:color w:val="auto"/>
                <w:sz w:val="22"/>
                <w:szCs w:val="22"/>
              </w:rPr>
              <w:t>minimum loading point</w:t>
            </w:r>
            <w:r w:rsidRPr="0058387B">
              <w:rPr>
                <w:color w:val="auto"/>
                <w:sz w:val="22"/>
                <w:szCs w:val="22"/>
              </w:rPr>
              <w:t xml:space="preserve">; </w:t>
            </w:r>
          </w:p>
        </w:tc>
        <w:tc>
          <w:tcPr>
            <w:tcW w:w="2062" w:type="dxa"/>
          </w:tcPr>
          <w:p w14:paraId="2DB63932" w14:textId="77777777" w:rsidR="00A97391" w:rsidRPr="00346694" w:rsidRDefault="00A97391" w:rsidP="00A97391">
            <w:r w:rsidRPr="0058387B">
              <w:t xml:space="preserve">The treatment and submission of fuel costs for start-up and for ramping to </w:t>
            </w:r>
            <w:r w:rsidRPr="0058387B">
              <w:rPr>
                <w:i/>
              </w:rPr>
              <w:t>minimum loading point</w:t>
            </w:r>
            <w:r w:rsidRPr="0058387B">
              <w:t xml:space="preserve"> are outlined in Principle (2) above.</w:t>
            </w:r>
          </w:p>
        </w:tc>
        <w:tc>
          <w:tcPr>
            <w:tcW w:w="2062" w:type="dxa"/>
          </w:tcPr>
          <w:p w14:paraId="42BD1026" w14:textId="77777777" w:rsidR="00A97391" w:rsidRPr="00346694" w:rsidRDefault="00A97391" w:rsidP="00A97391">
            <w:r w:rsidRPr="0058387B">
              <w:t xml:space="preserve">The treatment and submission of fuel costs for start-up and for ramping to </w:t>
            </w:r>
            <w:r w:rsidRPr="0058387B">
              <w:rPr>
                <w:i/>
              </w:rPr>
              <w:t>minimum loading point</w:t>
            </w:r>
            <w:r w:rsidRPr="0058387B">
              <w:t xml:space="preserve"> are outlined in Principle (2) above.</w:t>
            </w:r>
          </w:p>
        </w:tc>
        <w:tc>
          <w:tcPr>
            <w:tcW w:w="1791" w:type="dxa"/>
          </w:tcPr>
          <w:p w14:paraId="6A216B9A" w14:textId="77777777" w:rsidR="00A97391" w:rsidRPr="00346694" w:rsidRDefault="00A97391" w:rsidP="00A97391">
            <w:r w:rsidRPr="0058387B">
              <w:t xml:space="preserve">No change </w:t>
            </w:r>
          </w:p>
        </w:tc>
      </w:tr>
      <w:tr w:rsidR="00A97391" w:rsidRPr="00346694" w14:paraId="10D67DB6" w14:textId="77777777" w:rsidTr="001E65B5">
        <w:tc>
          <w:tcPr>
            <w:tcW w:w="1359" w:type="dxa"/>
            <w:vMerge/>
          </w:tcPr>
          <w:p w14:paraId="245F6D23" w14:textId="77777777" w:rsidR="00A97391" w:rsidRPr="00346694" w:rsidRDefault="00A97391" w:rsidP="00A97391"/>
        </w:tc>
        <w:tc>
          <w:tcPr>
            <w:tcW w:w="5902" w:type="dxa"/>
          </w:tcPr>
          <w:p w14:paraId="7BEAA902" w14:textId="77777777" w:rsidR="00A97391" w:rsidRPr="00093B41" w:rsidRDefault="00A97391" w:rsidP="00A97391">
            <w:pPr>
              <w:pStyle w:val="ListParagraph"/>
              <w:numPr>
                <w:ilvl w:val="0"/>
                <w:numId w:val="66"/>
              </w:numPr>
              <w:spacing w:after="0"/>
              <w:ind w:left="702"/>
            </w:pPr>
            <w:r w:rsidRPr="0058387B">
              <w:t xml:space="preserve">the </w:t>
            </w:r>
            <w:r w:rsidRPr="0058387B">
              <w:rPr>
                <w:i/>
                <w:iCs/>
              </w:rPr>
              <w:t xml:space="preserve">offer </w:t>
            </w:r>
            <w:r w:rsidRPr="0058387B">
              <w:rPr>
                <w:iCs/>
              </w:rPr>
              <w:t>price</w:t>
            </w:r>
            <w:r w:rsidRPr="0058387B">
              <w:rPr>
                <w:i/>
                <w:iCs/>
              </w:rPr>
              <w:t xml:space="preserve"> </w:t>
            </w:r>
            <w:r w:rsidRPr="0058387B">
              <w:t xml:space="preserve">associated with the real-time </w:t>
            </w:r>
            <w:r w:rsidRPr="0058387B">
              <w:rPr>
                <w:i/>
                <w:iCs/>
              </w:rPr>
              <w:t xml:space="preserve">dispatch </w:t>
            </w:r>
            <w:r w:rsidRPr="0058387B">
              <w:t xml:space="preserve">multiplied by the </w:t>
            </w:r>
            <w:r w:rsidRPr="0058387B">
              <w:rPr>
                <w:i/>
                <w:iCs/>
              </w:rPr>
              <w:t xml:space="preserve">energy </w:t>
            </w:r>
            <w:r w:rsidRPr="0058387B">
              <w:t xml:space="preserve">injected, to a maximum of the </w:t>
            </w:r>
            <w:r w:rsidRPr="0058387B">
              <w:rPr>
                <w:i/>
              </w:rPr>
              <w:t>minimum loading point</w:t>
            </w:r>
            <w:r w:rsidRPr="0058387B">
              <w:rPr>
                <w:i/>
                <w:iCs/>
              </w:rPr>
              <w:t xml:space="preserve">, </w:t>
            </w:r>
            <w:r w:rsidRPr="0058387B">
              <w:t xml:space="preserve">during the period from the beginning of the </w:t>
            </w:r>
            <w:r w:rsidRPr="0058387B">
              <w:rPr>
                <w:i/>
                <w:iCs/>
              </w:rPr>
              <w:t xml:space="preserve">minimum generation block run-time </w:t>
            </w:r>
            <w:r w:rsidRPr="0058387B">
              <w:t>until the earlier of the end of the</w:t>
            </w:r>
            <w:r w:rsidRPr="0058387B">
              <w:rPr>
                <w:i/>
              </w:rPr>
              <w:t xml:space="preserve"> minimum generation block run-time</w:t>
            </w:r>
            <w:r w:rsidRPr="0058387B">
              <w:t xml:space="preserve">, or the end of the </w:t>
            </w:r>
            <w:r w:rsidRPr="0058387B">
              <w:rPr>
                <w:i/>
              </w:rPr>
              <w:t>minimum run time</w:t>
            </w:r>
          </w:p>
          <w:p w14:paraId="7462B500" w14:textId="77777777" w:rsidR="00A97391" w:rsidRDefault="00A97391" w:rsidP="00A97391">
            <w:pPr>
              <w:spacing w:after="0"/>
              <w:ind w:left="702"/>
            </w:pPr>
          </w:p>
          <w:p w14:paraId="09C6A3D6" w14:textId="77777777" w:rsidR="00A97391" w:rsidRDefault="00A97391" w:rsidP="00A97391">
            <w:pPr>
              <w:spacing w:after="0"/>
            </w:pPr>
          </w:p>
        </w:tc>
        <w:tc>
          <w:tcPr>
            <w:tcW w:w="2062" w:type="dxa"/>
          </w:tcPr>
          <w:p w14:paraId="2487EC56" w14:textId="77777777" w:rsidR="00A97391" w:rsidRPr="00346694" w:rsidRDefault="00A97391" w:rsidP="00A97391">
            <w:r w:rsidRPr="0058387B">
              <w:t>No change</w:t>
            </w:r>
          </w:p>
        </w:tc>
        <w:tc>
          <w:tcPr>
            <w:tcW w:w="2062" w:type="dxa"/>
          </w:tcPr>
          <w:p w14:paraId="0D825D70" w14:textId="77777777" w:rsidR="00A97391" w:rsidRPr="00346694" w:rsidRDefault="00A97391" w:rsidP="00A97391">
            <w:r w:rsidRPr="0058387B">
              <w:t>Cost from start of MGBRT to start of DA-PCG event</w:t>
            </w:r>
          </w:p>
        </w:tc>
        <w:tc>
          <w:tcPr>
            <w:tcW w:w="1791" w:type="dxa"/>
          </w:tcPr>
          <w:p w14:paraId="5D473C05" w14:textId="77777777" w:rsidR="00A97391" w:rsidRPr="00346694" w:rsidRDefault="00A97391" w:rsidP="00A97391">
            <w:r w:rsidRPr="0058387B">
              <w:t>No change</w:t>
            </w:r>
          </w:p>
        </w:tc>
      </w:tr>
      <w:tr w:rsidR="00A97391" w:rsidRPr="00346694" w14:paraId="269057ED" w14:textId="77777777" w:rsidTr="001E65B5">
        <w:tc>
          <w:tcPr>
            <w:tcW w:w="1359" w:type="dxa"/>
          </w:tcPr>
          <w:p w14:paraId="0FA16631" w14:textId="77777777" w:rsidR="00A97391" w:rsidRPr="00346694" w:rsidRDefault="00A97391" w:rsidP="00A97391">
            <w:pPr>
              <w:rPr>
                <w:b/>
              </w:rPr>
            </w:pPr>
            <w:r w:rsidRPr="0058387B">
              <w:rPr>
                <w:b/>
              </w:rPr>
              <w:t>RT-GCG Revenues</w:t>
            </w:r>
          </w:p>
        </w:tc>
        <w:tc>
          <w:tcPr>
            <w:tcW w:w="5902" w:type="dxa"/>
          </w:tcPr>
          <w:p w14:paraId="3DDA2CAF" w14:textId="77777777" w:rsidR="00A97391" w:rsidRPr="00346694" w:rsidRDefault="00A97391" w:rsidP="00A97391">
            <w:pPr>
              <w:pStyle w:val="ListBullet"/>
              <w:tabs>
                <w:tab w:val="clear" w:pos="720"/>
                <w:tab w:val="num" w:pos="702"/>
              </w:tabs>
              <w:ind w:left="702"/>
            </w:pPr>
            <w:r w:rsidRPr="0058387B">
              <w:t xml:space="preserve">Revenues are calculated for the period from </w:t>
            </w:r>
            <w:r w:rsidRPr="0058387B">
              <w:rPr>
                <w:iCs/>
              </w:rPr>
              <w:t>start-up</w:t>
            </w:r>
            <w:r w:rsidRPr="0058387B">
              <w:rPr>
                <w:i/>
                <w:iCs/>
              </w:rPr>
              <w:t xml:space="preserve"> </w:t>
            </w:r>
            <w:r w:rsidRPr="0058387B">
              <w:t>until the earlier of the end of the</w:t>
            </w:r>
            <w:r w:rsidRPr="0058387B">
              <w:rPr>
                <w:i/>
              </w:rPr>
              <w:t xml:space="preserve"> minimum generation block run-time</w:t>
            </w:r>
            <w:r w:rsidRPr="0058387B">
              <w:t xml:space="preserve">, or the </w:t>
            </w:r>
            <w:r w:rsidRPr="0058387B">
              <w:rPr>
                <w:i/>
              </w:rPr>
              <w:t>end</w:t>
            </w:r>
            <w:r w:rsidRPr="0058387B">
              <w:t xml:space="preserve"> of the </w:t>
            </w:r>
            <w:r w:rsidRPr="0058387B">
              <w:rPr>
                <w:i/>
              </w:rPr>
              <w:t>minimum run time including:</w:t>
            </w:r>
          </w:p>
          <w:p w14:paraId="75F108F7" w14:textId="77777777" w:rsidR="00A97391" w:rsidRPr="00346694" w:rsidRDefault="00A97391" w:rsidP="00A97391">
            <w:pPr>
              <w:pStyle w:val="ListBullet"/>
              <w:tabs>
                <w:tab w:val="clear" w:pos="720"/>
                <w:tab w:val="num" w:pos="702"/>
              </w:tabs>
              <w:ind w:left="702"/>
            </w:pPr>
            <w:r w:rsidRPr="0058387B">
              <w:rPr>
                <w:i/>
              </w:rPr>
              <w:t>energy</w:t>
            </w:r>
            <w:r w:rsidRPr="0058387B">
              <w:t xml:space="preserve"> sales up to the </w:t>
            </w:r>
            <w:r w:rsidRPr="0058387B">
              <w:rPr>
                <w:i/>
              </w:rPr>
              <w:t>MLP</w:t>
            </w:r>
            <w:r w:rsidRPr="0058387B">
              <w:t xml:space="preserve"> </w:t>
            </w:r>
          </w:p>
          <w:p w14:paraId="3AF1F24D" w14:textId="77777777" w:rsidR="00A97391" w:rsidRPr="00346694" w:rsidRDefault="00A97391" w:rsidP="00A97391">
            <w:pPr>
              <w:pStyle w:val="ListBullet"/>
              <w:tabs>
                <w:tab w:val="clear" w:pos="720"/>
                <w:tab w:val="num" w:pos="702"/>
              </w:tabs>
              <w:ind w:left="702"/>
            </w:pPr>
            <w:r w:rsidRPr="0058387B">
              <w:t xml:space="preserve"> CMSC associated with AQEI up to the </w:t>
            </w:r>
            <w:r w:rsidRPr="0058387B">
              <w:rPr>
                <w:i/>
              </w:rPr>
              <w:t>MLP</w:t>
            </w:r>
          </w:p>
        </w:tc>
        <w:tc>
          <w:tcPr>
            <w:tcW w:w="2062" w:type="dxa"/>
          </w:tcPr>
          <w:p w14:paraId="6EE95680" w14:textId="77777777" w:rsidR="00A97391" w:rsidRPr="00346694" w:rsidRDefault="00A97391" w:rsidP="00A97391">
            <w:r w:rsidRPr="0058387B">
              <w:t>No change</w:t>
            </w:r>
          </w:p>
        </w:tc>
        <w:tc>
          <w:tcPr>
            <w:tcW w:w="2062" w:type="dxa"/>
          </w:tcPr>
          <w:p w14:paraId="08A8673C" w14:textId="77777777" w:rsidR="00A97391" w:rsidRPr="00346694" w:rsidRDefault="00A97391" w:rsidP="00A97391">
            <w:r w:rsidRPr="0058387B">
              <w:t>Revenue from start up to start of DA-PCG event</w:t>
            </w:r>
          </w:p>
        </w:tc>
        <w:tc>
          <w:tcPr>
            <w:tcW w:w="1791" w:type="dxa"/>
          </w:tcPr>
          <w:p w14:paraId="3F8D30A7" w14:textId="77777777" w:rsidR="00A97391" w:rsidRPr="00346694" w:rsidRDefault="00A97391" w:rsidP="00A97391">
            <w:r w:rsidRPr="0058387B">
              <w:t>No change</w:t>
            </w:r>
          </w:p>
        </w:tc>
      </w:tr>
    </w:tbl>
    <w:p w14:paraId="0A89F019" w14:textId="77777777" w:rsidR="00A97391" w:rsidRDefault="00A97391">
      <w:pPr>
        <w:spacing w:after="0"/>
      </w:pPr>
    </w:p>
    <w:p w14:paraId="68CCB01E" w14:textId="77777777" w:rsidR="002A55B6" w:rsidRDefault="002A55B6">
      <w:pPr>
        <w:spacing w:after="0"/>
      </w:pPr>
    </w:p>
    <w:p w14:paraId="0F8D6237" w14:textId="77777777" w:rsidR="002A55B6" w:rsidRPr="002A55B6" w:rsidRDefault="002A55B6" w:rsidP="000D2924">
      <w:pPr>
        <w:pStyle w:val="AppendixHead2"/>
        <w:pageBreakBefore/>
        <w:rPr>
          <w:lang w:val="en-CA"/>
        </w:rPr>
      </w:pPr>
      <w:r w:rsidRPr="002A55B6">
        <w:rPr>
          <w:lang w:val="en-CA"/>
        </w:rPr>
        <w:t>OPG Rebate Requests for Additional Payments or Returns</w:t>
      </w:r>
    </w:p>
    <w:p w14:paraId="3DFDA05D" w14:textId="77777777" w:rsidR="002A55B6" w:rsidRPr="002A55B6" w:rsidRDefault="002A55B6" w:rsidP="002A55B6">
      <w:pPr>
        <w:tabs>
          <w:tab w:val="left" w:pos="0"/>
        </w:tabs>
        <w:spacing w:before="120" w:after="120"/>
        <w:rPr>
          <w:lang w:val="en-CA"/>
        </w:rPr>
      </w:pPr>
      <w:r w:rsidRPr="002A55B6">
        <w:rPr>
          <w:lang w:val="en-CA"/>
        </w:rPr>
        <w:t xml:space="preserve">The OPG Rebate was paid to eligible </w:t>
      </w:r>
      <w:r w:rsidRPr="002A55B6">
        <w:rPr>
          <w:i/>
          <w:lang w:val="en-CA"/>
        </w:rPr>
        <w:t>market participants</w:t>
      </w:r>
      <w:r w:rsidRPr="002A55B6">
        <w:rPr>
          <w:lang w:val="en-CA"/>
        </w:rPr>
        <w:t xml:space="preserve"> for the period from May 1, 2006 to April 30, 2009, if the average price of </w:t>
      </w:r>
      <w:r w:rsidRPr="002A55B6">
        <w:rPr>
          <w:i/>
          <w:lang w:val="en-CA"/>
        </w:rPr>
        <w:t>energy</w:t>
      </w:r>
      <w:r w:rsidRPr="002A55B6">
        <w:rPr>
          <w:lang w:val="en-CA"/>
        </w:rPr>
        <w:t xml:space="preserve"> for OPG’s non-prescribed assets was above a specified price during the applicable </w:t>
      </w:r>
      <w:r w:rsidRPr="002A55B6">
        <w:rPr>
          <w:i/>
          <w:lang w:val="en-CA"/>
        </w:rPr>
        <w:t>settlement</w:t>
      </w:r>
      <w:r w:rsidRPr="002A55B6">
        <w:rPr>
          <w:lang w:val="en-CA"/>
        </w:rPr>
        <w:t xml:space="preserve"> period.  The final payment of the OPG Rebate appeared under </w:t>
      </w:r>
      <w:r w:rsidRPr="002A55B6">
        <w:rPr>
          <w:i/>
          <w:lang w:val="en-CA"/>
        </w:rPr>
        <w:t>charge type</w:t>
      </w:r>
      <w:r w:rsidRPr="002A55B6">
        <w:rPr>
          <w:lang w:val="en-CA"/>
        </w:rPr>
        <w:t xml:space="preserve"> 112 “Ontario Power Generation Rebate” on the May 31, 2009 </w:t>
      </w:r>
      <w:r w:rsidRPr="002A55B6">
        <w:rPr>
          <w:i/>
          <w:lang w:val="en-CA"/>
        </w:rPr>
        <w:t>preliminary settlement statement</w:t>
      </w:r>
      <w:r w:rsidRPr="002A55B6">
        <w:rPr>
          <w:lang w:val="en-CA"/>
        </w:rPr>
        <w:t>.</w:t>
      </w:r>
    </w:p>
    <w:p w14:paraId="45FDD518" w14:textId="77777777" w:rsidR="002A55B6" w:rsidRPr="002A55B6" w:rsidRDefault="002A55B6" w:rsidP="002A55B6">
      <w:pPr>
        <w:tabs>
          <w:tab w:val="left" w:pos="0"/>
        </w:tabs>
        <w:spacing w:before="120" w:after="120"/>
        <w:rPr>
          <w:lang w:val="en-CA"/>
        </w:rPr>
      </w:pPr>
      <w:r w:rsidRPr="002A55B6">
        <w:rPr>
          <w:i/>
          <w:lang w:val="en-CA"/>
        </w:rPr>
        <w:t>Distributors</w:t>
      </w:r>
      <w:r w:rsidRPr="002A55B6">
        <w:rPr>
          <w:lang w:val="en-CA"/>
        </w:rPr>
        <w:t xml:space="preserve"> were required to pass OPG Rebate amounts through to their non-Regulated Price Plan (RPP) customers.  Eligible </w:t>
      </w:r>
      <w:r w:rsidRPr="002A55B6">
        <w:rPr>
          <w:i/>
          <w:lang w:val="en-CA"/>
        </w:rPr>
        <w:t>market participants</w:t>
      </w:r>
      <w:r w:rsidRPr="002A55B6">
        <w:rPr>
          <w:lang w:val="en-CA"/>
        </w:rPr>
        <w:t xml:space="preserve"> received a pro rata share of the OPG Rebate Amount based on their load (AQEW) for the applicable </w:t>
      </w:r>
      <w:r w:rsidRPr="002A55B6">
        <w:rPr>
          <w:i/>
          <w:lang w:val="en-CA"/>
        </w:rPr>
        <w:t>settlement</w:t>
      </w:r>
      <w:r w:rsidRPr="002A55B6">
        <w:rPr>
          <w:lang w:val="en-CA"/>
        </w:rPr>
        <w:t xml:space="preserve"> period.  Payments for these OPG Rebates were based on </w:t>
      </w:r>
      <w:r w:rsidRPr="002A55B6">
        <w:rPr>
          <w:i/>
          <w:lang w:val="en-CA"/>
        </w:rPr>
        <w:t>distributor</w:t>
      </w:r>
      <w:r w:rsidRPr="002A55B6">
        <w:rPr>
          <w:lang w:val="en-CA"/>
        </w:rPr>
        <w:t xml:space="preserve"> submissions made through the online form “OPG Rebate Quarterly Distribution” that is no longer available as of May 1, 2009.</w:t>
      </w:r>
    </w:p>
    <w:p w14:paraId="35E4D43C" w14:textId="77777777" w:rsidR="002A55B6" w:rsidRPr="002A55B6" w:rsidRDefault="002A55B6" w:rsidP="002A55B6">
      <w:pPr>
        <w:tabs>
          <w:tab w:val="left" w:pos="0"/>
        </w:tabs>
        <w:spacing w:before="120" w:after="120"/>
        <w:rPr>
          <w:lang w:val="en-CA"/>
        </w:rPr>
      </w:pPr>
      <w:r w:rsidRPr="002A55B6">
        <w:rPr>
          <w:lang w:val="en-CA"/>
        </w:rPr>
        <w:t xml:space="preserve">If you are a </w:t>
      </w:r>
      <w:r w:rsidRPr="002A55B6">
        <w:rPr>
          <w:i/>
          <w:lang w:val="en-CA"/>
        </w:rPr>
        <w:t xml:space="preserve">distributor </w:t>
      </w:r>
      <w:r w:rsidRPr="002A55B6">
        <w:rPr>
          <w:lang w:val="en-CA"/>
        </w:rPr>
        <w:t xml:space="preserve">who made an error in the information that was submitted to us for the distribution of the OPG Rebate and you now require additional funds to pass through to your customers, you may submit a request to us.  </w:t>
      </w:r>
    </w:p>
    <w:p w14:paraId="26AEC576" w14:textId="74D505CD" w:rsidR="002A55B6" w:rsidRDefault="002A55B6" w:rsidP="00DA1C34">
      <w:pPr>
        <w:spacing w:before="120" w:after="120"/>
      </w:pPr>
      <w:r w:rsidRPr="002A55B6">
        <w:rPr>
          <w:lang w:val="en-CA"/>
        </w:rPr>
        <w:t xml:space="preserve">If you are a </w:t>
      </w:r>
      <w:r w:rsidRPr="002A55B6">
        <w:rPr>
          <w:i/>
          <w:lang w:val="en-CA"/>
        </w:rPr>
        <w:t>distributor</w:t>
      </w:r>
      <w:r w:rsidRPr="002A55B6">
        <w:rPr>
          <w:lang w:val="en-CA"/>
        </w:rPr>
        <w:t xml:space="preserve"> and you have received funds that you are unable to distribute to your customers, or that have been returned to you by your customers, you must return these funds to us.  Please notify us of the amounts to be returned via the “OPG Rebate Returned to IESO” online </w:t>
      </w:r>
      <w:r w:rsidRPr="002A55B6">
        <w:rPr>
          <w:i/>
          <w:lang w:val="en-CA"/>
        </w:rPr>
        <w:t>settlements</w:t>
      </w:r>
      <w:r w:rsidRPr="002A55B6">
        <w:rPr>
          <w:lang w:val="en-CA"/>
        </w:rPr>
        <w:t xml:space="preserve"> data entry screen, available on the </w:t>
      </w:r>
      <w:r w:rsidRPr="002A55B6">
        <w:rPr>
          <w:i/>
          <w:lang w:val="en-CA"/>
        </w:rPr>
        <w:t>IESO</w:t>
      </w:r>
      <w:r w:rsidRPr="002A55B6">
        <w:rPr>
          <w:lang w:val="en-CA"/>
        </w:rPr>
        <w:t xml:space="preserve"> </w:t>
      </w:r>
      <w:r w:rsidR="004A7BF5">
        <w:rPr>
          <w:lang w:val="en-CA"/>
        </w:rPr>
        <w:t>Gateway</w:t>
      </w:r>
      <w:r w:rsidRPr="002A55B6">
        <w:rPr>
          <w:lang w:val="en-CA"/>
        </w:rPr>
        <w:t>.</w:t>
      </w:r>
    </w:p>
    <w:p w14:paraId="19D9F42B" w14:textId="77777777" w:rsidR="002A55B6" w:rsidRPr="002A55B6" w:rsidRDefault="002A55B6" w:rsidP="002A55B6">
      <w:pPr>
        <w:pStyle w:val="AppendixHead2"/>
        <w:rPr>
          <w:lang w:val="en-CA"/>
        </w:rPr>
      </w:pPr>
      <w:r w:rsidRPr="002A55B6">
        <w:rPr>
          <w:lang w:val="en-CA"/>
        </w:rPr>
        <w:t>Ontario Clean Energy Benefit</w:t>
      </w:r>
    </w:p>
    <w:p w14:paraId="5978E737" w14:textId="77777777" w:rsidR="00E25DF6" w:rsidDel="002A55B6" w:rsidRDefault="00E25DF6" w:rsidP="00E25DF6">
      <w:pPr>
        <w:spacing w:before="240"/>
      </w:pPr>
      <w:r w:rsidRPr="00847C8D" w:rsidDel="002A55B6">
        <w:t xml:space="preserve">The Ontario Clean Energy Benefit (OCEB) was established by the </w:t>
      </w:r>
      <w:r w:rsidRPr="003A7208" w:rsidDel="002A55B6">
        <w:t>Ministry of Energy</w:t>
      </w:r>
      <w:r w:rsidRPr="00847C8D" w:rsidDel="002A55B6">
        <w:t xml:space="preserve"> to provide financial assistance to Ontarians to help them with the increased costs of upgrading and modernizing the </w:t>
      </w:r>
      <w:r w:rsidRPr="00C2447D" w:rsidDel="002A55B6">
        <w:rPr>
          <w:i/>
        </w:rPr>
        <w:t>energy</w:t>
      </w:r>
      <w:r w:rsidRPr="00847C8D" w:rsidDel="002A55B6">
        <w:t xml:space="preserve"> infrastructure.  The OCEB provides </w:t>
      </w:r>
      <w:r w:rsidRPr="00CC00BC" w:rsidDel="002A55B6">
        <w:rPr>
          <w:i/>
        </w:rPr>
        <w:t>consumers</w:t>
      </w:r>
      <w:r w:rsidDel="002A55B6">
        <w:t xml:space="preserve"> with </w:t>
      </w:r>
      <w:r w:rsidRPr="00847C8D" w:rsidDel="002A55B6">
        <w:t xml:space="preserve">eligible </w:t>
      </w:r>
      <w:r w:rsidDel="002A55B6">
        <w:t>accounts</w:t>
      </w:r>
      <w:r w:rsidRPr="00847C8D" w:rsidDel="002A55B6">
        <w:t xml:space="preserve"> with a monthly 10% rebate off</w:t>
      </w:r>
      <w:r w:rsidDel="002A55B6">
        <w:t xml:space="preserve"> the applicable portion of their electricity bills as described in the </w:t>
      </w:r>
      <w:r w:rsidRPr="003A7AEB" w:rsidDel="002A55B6">
        <w:rPr>
          <w:i/>
        </w:rPr>
        <w:t>Ontario Clean Energy Benefit Act, 2010</w:t>
      </w:r>
      <w:r w:rsidDel="002A55B6">
        <w:t xml:space="preserve">, and </w:t>
      </w:r>
      <w:hyperlink r:id="rId104" w:history="1">
        <w:r w:rsidRPr="007F72F4" w:rsidDel="002A55B6">
          <w:rPr>
            <w:rStyle w:val="Hyperlink"/>
            <w:color w:val="3333FF"/>
          </w:rPr>
          <w:t>Ontario Regulation 495/10</w:t>
        </w:r>
      </w:hyperlink>
      <w:r w:rsidDel="002A55B6">
        <w:t xml:space="preserve">.  </w:t>
      </w:r>
      <w:r w:rsidRPr="003A7AEB" w:rsidDel="002A55B6">
        <w:t>The rebate applies for a five-year period from January 1, 2011 to December 31, 2015.</w:t>
      </w:r>
    </w:p>
    <w:p w14:paraId="0E4B21C5" w14:textId="77777777" w:rsidR="00E25DF6" w:rsidRPr="007F72F4" w:rsidDel="002A55B6" w:rsidRDefault="00E25DF6" w:rsidP="00E25DF6">
      <w:r w:rsidDel="002A55B6">
        <w:t xml:space="preserve">Ontario Regulation 495/10 directs the </w:t>
      </w:r>
      <w:r w:rsidRPr="007F72F4" w:rsidDel="002A55B6">
        <w:rPr>
          <w:i/>
        </w:rPr>
        <w:t>IESO</w:t>
      </w:r>
      <w:r w:rsidRPr="007F72F4" w:rsidDel="002A55B6">
        <w:t xml:space="preserve"> </w:t>
      </w:r>
      <w:r w:rsidDel="002A55B6">
        <w:t xml:space="preserve">to </w:t>
      </w:r>
      <w:r w:rsidRPr="007F72F4" w:rsidDel="002A55B6">
        <w:t xml:space="preserve">reimburse </w:t>
      </w:r>
      <w:r w:rsidRPr="00E95F91" w:rsidDel="002A55B6">
        <w:rPr>
          <w:i/>
        </w:rPr>
        <w:t>market participant</w:t>
      </w:r>
      <w:r w:rsidDel="002A55B6">
        <w:t xml:space="preserve"> </w:t>
      </w:r>
      <w:r w:rsidRPr="007F72F4" w:rsidDel="002A55B6">
        <w:rPr>
          <w:i/>
        </w:rPr>
        <w:t>distributors</w:t>
      </w:r>
      <w:r w:rsidRPr="007F72F4" w:rsidDel="002A55B6">
        <w:t xml:space="preserve"> </w:t>
      </w:r>
      <w:r w:rsidDel="002A55B6">
        <w:t xml:space="preserve">for the 10% financial assistance that is provided to </w:t>
      </w:r>
      <w:r w:rsidRPr="00CC00BC" w:rsidDel="002A55B6">
        <w:rPr>
          <w:i/>
        </w:rPr>
        <w:t>consumers</w:t>
      </w:r>
      <w:r w:rsidDel="002A55B6">
        <w:t xml:space="preserve"> that have eligible accounts with them; with any of their wholly-embedded </w:t>
      </w:r>
      <w:r w:rsidRPr="0039308B" w:rsidDel="002A55B6">
        <w:rPr>
          <w:i/>
        </w:rPr>
        <w:t>distributors</w:t>
      </w:r>
      <w:r w:rsidDel="002A55B6">
        <w:t xml:space="preserve">; and with any licensed retailers that use retailer-consolidated billing and that conduct business in their service area or the service area of any of their wholly-embedded </w:t>
      </w:r>
      <w:r w:rsidRPr="0039308B" w:rsidDel="002A55B6">
        <w:rPr>
          <w:i/>
        </w:rPr>
        <w:t>distributors</w:t>
      </w:r>
      <w:r w:rsidDel="002A55B6">
        <w:t xml:space="preserve">.  This regulation also directs the </w:t>
      </w:r>
      <w:r w:rsidDel="002A55B6">
        <w:rPr>
          <w:i/>
        </w:rPr>
        <w:t xml:space="preserve">IESO </w:t>
      </w:r>
      <w:r w:rsidDel="002A55B6">
        <w:t xml:space="preserve">to reimburse </w:t>
      </w:r>
      <w:r w:rsidRPr="00B60314" w:rsidDel="002A55B6">
        <w:t>unit sub-</w:t>
      </w:r>
      <w:r w:rsidRPr="00CC00BC" w:rsidDel="002A55B6">
        <w:rPr>
          <w:i/>
        </w:rPr>
        <w:t>meter</w:t>
      </w:r>
      <w:r w:rsidRPr="00B60314" w:rsidDel="002A55B6">
        <w:t xml:space="preserve"> providers</w:t>
      </w:r>
      <w:r w:rsidRPr="007F72F4" w:rsidDel="002A55B6">
        <w:rPr>
          <w:rStyle w:val="FootnoteReference"/>
        </w:rPr>
        <w:footnoteReference w:id="60"/>
      </w:r>
      <w:r w:rsidRPr="007F72F4" w:rsidDel="002A55B6">
        <w:t xml:space="preserve"> for the 10% </w:t>
      </w:r>
      <w:r w:rsidDel="002A55B6">
        <w:t xml:space="preserve">financial assistance provided by them on their fees and charges for unit sub-metering that appear on invoices issued by them to </w:t>
      </w:r>
      <w:r w:rsidRPr="00CC00BC" w:rsidDel="002A55B6">
        <w:rPr>
          <w:i/>
        </w:rPr>
        <w:t>consumers</w:t>
      </w:r>
      <w:r w:rsidDel="002A55B6">
        <w:t xml:space="preserve"> that are entitled to receive financial assistance.</w:t>
      </w:r>
    </w:p>
    <w:p w14:paraId="735B2E8C" w14:textId="77777777" w:rsidR="00E25DF6" w:rsidRPr="007F72F4" w:rsidDel="002A55B6" w:rsidRDefault="00E25DF6" w:rsidP="00E25DF6">
      <w:r w:rsidDel="002A55B6">
        <w:rPr>
          <w:i/>
        </w:rPr>
        <w:t>Market participant d</w:t>
      </w:r>
      <w:r w:rsidRPr="007F72F4" w:rsidDel="002A55B6">
        <w:rPr>
          <w:i/>
        </w:rPr>
        <w:t>istributors</w:t>
      </w:r>
      <w:r w:rsidRPr="007F72F4" w:rsidDel="002A55B6">
        <w:t xml:space="preserve"> and </w:t>
      </w:r>
      <w:r w:rsidRPr="00B60314" w:rsidDel="002A55B6">
        <w:t>unit sub-</w:t>
      </w:r>
      <w:r w:rsidRPr="00CC00BC" w:rsidDel="002A55B6">
        <w:rPr>
          <w:i/>
        </w:rPr>
        <w:t>meter</w:t>
      </w:r>
      <w:r w:rsidRPr="00B60314" w:rsidDel="002A55B6">
        <w:t xml:space="preserve"> providers</w:t>
      </w:r>
      <w:r w:rsidRPr="007F72F4" w:rsidDel="002A55B6">
        <w:rPr>
          <w:i/>
        </w:rPr>
        <w:t xml:space="preserve"> </w:t>
      </w:r>
      <w:r w:rsidRPr="007F72F4" w:rsidDel="002A55B6">
        <w:t>must submit their claim</w:t>
      </w:r>
      <w:r w:rsidDel="002A55B6">
        <w:t>s</w:t>
      </w:r>
      <w:r w:rsidRPr="007F72F4" w:rsidDel="002A55B6">
        <w:t xml:space="preserve"> </w:t>
      </w:r>
      <w:r w:rsidDel="002A55B6">
        <w:t xml:space="preserve">for reimbursement </w:t>
      </w:r>
      <w:r w:rsidRPr="007F72F4" w:rsidDel="002A55B6">
        <w:t xml:space="preserve">to us monthly no later than the fourth business day after the last </w:t>
      </w:r>
      <w:r w:rsidRPr="00A03C37" w:rsidDel="002A55B6">
        <w:rPr>
          <w:i/>
        </w:rPr>
        <w:t>trading day</w:t>
      </w:r>
      <w:r w:rsidRPr="007F72F4" w:rsidDel="002A55B6">
        <w:t xml:space="preserve"> of the month.  The </w:t>
      </w:r>
      <w:r w:rsidRPr="00DC0E09" w:rsidDel="002A55B6">
        <w:rPr>
          <w:i/>
        </w:rPr>
        <w:t>settlement</w:t>
      </w:r>
      <w:r w:rsidRPr="007F72F4" w:rsidDel="002A55B6">
        <w:t xml:space="preserve"> amount for </w:t>
      </w:r>
      <w:r w:rsidDel="002A55B6">
        <w:rPr>
          <w:i/>
        </w:rPr>
        <w:t xml:space="preserve">market participant </w:t>
      </w:r>
      <w:r w:rsidRPr="005B49A1" w:rsidDel="002A55B6">
        <w:rPr>
          <w:i/>
        </w:rPr>
        <w:t xml:space="preserve">distributors </w:t>
      </w:r>
      <w:r w:rsidRPr="007F72F4" w:rsidDel="002A55B6">
        <w:t xml:space="preserve">and </w:t>
      </w:r>
      <w:r w:rsidRPr="00B60314" w:rsidDel="002A55B6">
        <w:t>unit sub-</w:t>
      </w:r>
      <w:r w:rsidRPr="00CC00BC" w:rsidDel="002A55B6">
        <w:rPr>
          <w:i/>
        </w:rPr>
        <w:t>meter</w:t>
      </w:r>
      <w:r w:rsidRPr="00B60314" w:rsidDel="002A55B6">
        <w:t xml:space="preserve"> providers</w:t>
      </w:r>
      <w:r w:rsidRPr="007F72F4" w:rsidDel="002A55B6">
        <w:t xml:space="preserve"> will be included on the </w:t>
      </w:r>
      <w:r w:rsidRPr="005B49A1" w:rsidDel="002A55B6">
        <w:rPr>
          <w:i/>
        </w:rPr>
        <w:t>preliminary settlement statement</w:t>
      </w:r>
      <w:r w:rsidRPr="007F72F4" w:rsidDel="002A55B6">
        <w:t xml:space="preserve"> and </w:t>
      </w:r>
      <w:r w:rsidRPr="005B49A1" w:rsidDel="002A55B6">
        <w:rPr>
          <w:i/>
        </w:rPr>
        <w:t>final settlement statement</w:t>
      </w:r>
      <w:r w:rsidRPr="007F72F4" w:rsidDel="002A55B6">
        <w:t xml:space="preserve"> for the last </w:t>
      </w:r>
      <w:r w:rsidRPr="005B49A1" w:rsidDel="002A55B6">
        <w:rPr>
          <w:i/>
        </w:rPr>
        <w:t>trading day</w:t>
      </w:r>
      <w:r w:rsidRPr="007F72F4" w:rsidDel="002A55B6">
        <w:t xml:space="preserve"> of the month under </w:t>
      </w:r>
      <w:r w:rsidRPr="005B49A1" w:rsidDel="002A55B6">
        <w:rPr>
          <w:i/>
        </w:rPr>
        <w:t>charge type</w:t>
      </w:r>
      <w:r w:rsidRPr="007F72F4" w:rsidDel="002A55B6">
        <w:t xml:space="preserve"> 9992 “Ontario Clean Energy Benefit (-10%) Program Settlement Amount”.</w:t>
      </w:r>
      <w:r w:rsidDel="002A55B6">
        <w:t xml:space="preserve">  </w:t>
      </w:r>
      <w:r w:rsidRPr="007F72F4" w:rsidDel="002A55B6">
        <w:t xml:space="preserve">The corresponding set-off is </w:t>
      </w:r>
      <w:r w:rsidRPr="005B49A1" w:rsidDel="002A55B6">
        <w:rPr>
          <w:i/>
        </w:rPr>
        <w:t xml:space="preserve">charge </w:t>
      </w:r>
      <w:r w:rsidRPr="00A03C37" w:rsidDel="002A55B6">
        <w:rPr>
          <w:i/>
        </w:rPr>
        <w:t>type</w:t>
      </w:r>
      <w:r w:rsidDel="002A55B6">
        <w:t xml:space="preserve"> </w:t>
      </w:r>
      <w:r w:rsidRPr="005B49A1" w:rsidDel="002A55B6">
        <w:t>1465</w:t>
      </w:r>
      <w:r w:rsidRPr="007F72F4" w:rsidDel="002A55B6">
        <w:t xml:space="preserve"> “Ontario Clean Energy Benefit (-10%) Program Balancing Amount</w:t>
      </w:r>
      <w:r w:rsidDel="002A55B6">
        <w:t>”</w:t>
      </w:r>
      <w:r w:rsidRPr="007F72F4" w:rsidDel="002A55B6">
        <w:t xml:space="preserve">.  </w:t>
      </w:r>
      <w:r w:rsidRPr="00D97DFE" w:rsidDel="002A55B6">
        <w:rPr>
          <w:i/>
        </w:rPr>
        <w:t>Charge type</w:t>
      </w:r>
      <w:r w:rsidRPr="00D97DFE" w:rsidDel="002A55B6">
        <w:t xml:space="preserve"> </w:t>
      </w:r>
      <w:r w:rsidRPr="00847C8D" w:rsidDel="002A55B6">
        <w:t xml:space="preserve">1465 is balanced by the </w:t>
      </w:r>
      <w:r w:rsidRPr="00D97DFE" w:rsidDel="002A55B6">
        <w:rPr>
          <w:i/>
        </w:rPr>
        <w:t>IESO</w:t>
      </w:r>
      <w:r w:rsidRPr="00847C8D" w:rsidDel="002A55B6">
        <w:t xml:space="preserve"> through a charge to the Ministry </w:t>
      </w:r>
      <w:r w:rsidDel="002A55B6">
        <w:t xml:space="preserve">of Energy </w:t>
      </w:r>
      <w:r w:rsidRPr="00847C8D" w:rsidDel="002A55B6">
        <w:t xml:space="preserve">on their </w:t>
      </w:r>
      <w:r w:rsidRPr="00847C8D" w:rsidDel="002A55B6">
        <w:rPr>
          <w:i/>
        </w:rPr>
        <w:t>preliminary settlement statement</w:t>
      </w:r>
      <w:r w:rsidRPr="00847C8D" w:rsidDel="002A55B6">
        <w:t xml:space="preserve"> and </w:t>
      </w:r>
      <w:r w:rsidRPr="00847C8D" w:rsidDel="002A55B6">
        <w:rPr>
          <w:i/>
        </w:rPr>
        <w:t>final settlement statement</w:t>
      </w:r>
      <w:r w:rsidRPr="00847C8D" w:rsidDel="002A55B6">
        <w:t xml:space="preserve"> for the last </w:t>
      </w:r>
      <w:r w:rsidRPr="00847C8D" w:rsidDel="002A55B6">
        <w:rPr>
          <w:i/>
        </w:rPr>
        <w:t>trading day</w:t>
      </w:r>
      <w:r w:rsidRPr="00847C8D" w:rsidDel="002A55B6">
        <w:t xml:space="preserve"> of the month.</w:t>
      </w:r>
    </w:p>
    <w:p w14:paraId="0C15A29B" w14:textId="2B4C6EED" w:rsidR="00EA2603" w:rsidRDefault="00E25DF6" w:rsidP="002A55B6">
      <w:pPr>
        <w:spacing w:after="0"/>
      </w:pPr>
      <w:r w:rsidRPr="007F72F4" w:rsidDel="002A55B6">
        <w:rPr>
          <w:i/>
        </w:rPr>
        <w:t>Distributors</w:t>
      </w:r>
      <w:r w:rsidRPr="007F72F4" w:rsidDel="002A55B6">
        <w:t xml:space="preserve"> that are </w:t>
      </w:r>
      <w:r w:rsidRPr="007F72F4" w:rsidDel="002A55B6">
        <w:rPr>
          <w:i/>
        </w:rPr>
        <w:t>market participants</w:t>
      </w:r>
      <w:r w:rsidRPr="007F72F4" w:rsidDel="002A55B6">
        <w:t xml:space="preserve"> must submit OCEB claims </w:t>
      </w:r>
      <w:r w:rsidDel="002A55B6">
        <w:t xml:space="preserve">to us </w:t>
      </w:r>
      <w:r w:rsidRPr="007F72F4" w:rsidDel="002A55B6">
        <w:t xml:space="preserve">via the on-line form “Ontario Clean Energy Benefit (-10%) – LDC”.  </w:t>
      </w:r>
      <w:r w:rsidDel="002A55B6">
        <w:t xml:space="preserve">In order to obtain reimbursement from the </w:t>
      </w:r>
      <w:r w:rsidDel="002A55B6">
        <w:rPr>
          <w:i/>
        </w:rPr>
        <w:t xml:space="preserve">IESO, </w:t>
      </w:r>
      <w:r w:rsidRPr="00B60314" w:rsidDel="002A55B6">
        <w:t>unit sub-</w:t>
      </w:r>
      <w:r w:rsidRPr="00CC00BC" w:rsidDel="002A55B6">
        <w:rPr>
          <w:i/>
        </w:rPr>
        <w:t>meter</w:t>
      </w:r>
      <w:r w:rsidRPr="00B60314" w:rsidDel="002A55B6">
        <w:t xml:space="preserve"> providers </w:t>
      </w:r>
      <w:r w:rsidRPr="007F72F4" w:rsidDel="002A55B6">
        <w:t xml:space="preserve">must be registered in the wholesale electricity market and submit OCEB claims </w:t>
      </w:r>
      <w:r w:rsidDel="002A55B6">
        <w:t xml:space="preserve">to us </w:t>
      </w:r>
      <w:r w:rsidRPr="007F72F4" w:rsidDel="002A55B6">
        <w:t xml:space="preserve">using the on-line form “Ontario Clean Energy Benefit (-10%) – Unit Sub-Meter Provider” that is also accessible on the </w:t>
      </w:r>
      <w:r w:rsidRPr="007F72F4" w:rsidDel="002A55B6">
        <w:rPr>
          <w:i/>
        </w:rPr>
        <w:t xml:space="preserve">IESO </w:t>
      </w:r>
      <w:r w:rsidR="004A7BF5">
        <w:t>Gateway</w:t>
      </w:r>
      <w:r w:rsidRPr="007F72F4" w:rsidDel="002A55B6">
        <w:t xml:space="preserve">.  </w:t>
      </w:r>
      <w:r w:rsidDel="002A55B6">
        <w:t>A guide to help unit sub-</w:t>
      </w:r>
      <w:r w:rsidRPr="00CC00BC" w:rsidDel="002A55B6">
        <w:rPr>
          <w:i/>
        </w:rPr>
        <w:t>meter</w:t>
      </w:r>
      <w:r w:rsidDel="002A55B6">
        <w:t xml:space="preserve"> providers to prepare their OCEB claims is available at. </w:t>
      </w:r>
      <w:hyperlink r:id="rId105" w:tooltip="IESO Website" w:history="1">
        <w:r w:rsidRPr="00D5610A" w:rsidDel="002A55B6">
          <w:rPr>
            <w:rStyle w:val="Hyperlink"/>
          </w:rPr>
          <w:t>http://ieso.ca/-/media/files/ieso/document-library/training/guide-to-online-data-submission.pdf</w:t>
        </w:r>
      </w:hyperlink>
    </w:p>
    <w:p w14:paraId="350BBD98" w14:textId="77777777" w:rsidR="00EA2603" w:rsidRPr="00EA2603" w:rsidRDefault="00EA2603" w:rsidP="003917D3">
      <w:pPr>
        <w:pStyle w:val="AppendixHead2"/>
        <w:rPr>
          <w:lang w:val="en-CA"/>
        </w:rPr>
      </w:pPr>
      <w:r w:rsidRPr="00EA2603">
        <w:rPr>
          <w:lang w:val="en-CA"/>
        </w:rPr>
        <w:t>Capacity Based Demand Response Program</w:t>
      </w:r>
    </w:p>
    <w:p w14:paraId="1E754D48" w14:textId="77777777" w:rsidR="00EA2603" w:rsidRPr="009C3EAD" w:rsidRDefault="00EA2603" w:rsidP="00EA2603">
      <w:pPr>
        <w:pStyle w:val="BodyText"/>
      </w:pPr>
      <w:r w:rsidRPr="009C3EAD">
        <w:t xml:space="preserve">The </w:t>
      </w:r>
      <w:r w:rsidRPr="0025074E">
        <w:rPr>
          <w:i/>
        </w:rPr>
        <w:t>capacity based demand response</w:t>
      </w:r>
      <w:r w:rsidRPr="009C3EAD">
        <w:t xml:space="preserve"> (CBDR) </w:t>
      </w:r>
      <w:r w:rsidRPr="00623EE6">
        <w:rPr>
          <w:i/>
        </w:rPr>
        <w:t>program</w:t>
      </w:r>
      <w:r w:rsidRPr="009C3EAD">
        <w:t xml:space="preserve"> is designed to bridge the period from the Demand Response 3 contract expiration to the delivery date of the first demand response auction.  This section describes the Measurement &amp; Verification Plan process and how the IESO settles the CBDR program.  </w:t>
      </w:r>
    </w:p>
    <w:p w14:paraId="15228D90" w14:textId="77777777" w:rsidR="00EA2603" w:rsidRPr="009C3EAD" w:rsidRDefault="00EA2603" w:rsidP="00EA2603">
      <w:pPr>
        <w:pStyle w:val="BodyText"/>
      </w:pPr>
      <w:r w:rsidRPr="009C3EAD">
        <w:t xml:space="preserve">All capitalized terms used in this section are defined in the “Glossary of Terms for Capacity Based Demand Response” document available on the Market Rules &amp; Manuals Library webpage.  Rates mentioned in this section can be found in the CBDR Program Operational Information and Rates document available on the </w:t>
      </w:r>
      <w:r w:rsidRPr="0025074E">
        <w:rPr>
          <w:i/>
        </w:rPr>
        <w:t>Capacity Based Demand Response</w:t>
      </w:r>
      <w:r w:rsidRPr="009C3EAD">
        <w:t xml:space="preserve"> </w:t>
      </w:r>
      <w:r w:rsidRPr="0025074E">
        <w:rPr>
          <w:i/>
        </w:rPr>
        <w:t>Program</w:t>
      </w:r>
      <w:r w:rsidRPr="009C3EAD">
        <w:t xml:space="preserve"> webpage</w:t>
      </w:r>
      <w:r>
        <w:t xml:space="preserve"> for informational purposes only</w:t>
      </w:r>
      <w:r w:rsidRPr="009C3EAD">
        <w:t>.</w:t>
      </w:r>
    </w:p>
    <w:p w14:paraId="699D8EF3" w14:textId="77777777" w:rsidR="00EA2603" w:rsidRPr="000A4696" w:rsidRDefault="00EA2603" w:rsidP="000A4696">
      <w:pPr>
        <w:pStyle w:val="AppendixHead3"/>
        <w:rPr>
          <w:lang w:val="en-CA"/>
        </w:rPr>
      </w:pPr>
      <w:r w:rsidRPr="000A4696">
        <w:rPr>
          <w:lang w:val="en-CA"/>
        </w:rPr>
        <w:t>Measurement &amp; Verification Plan</w:t>
      </w:r>
    </w:p>
    <w:p w14:paraId="5C81DE9C" w14:textId="77777777" w:rsidR="00EA2603" w:rsidRPr="009C3EAD" w:rsidRDefault="00EA2603" w:rsidP="00B94DE0">
      <w:pPr>
        <w:pStyle w:val="BodyText"/>
      </w:pPr>
      <w:r w:rsidRPr="00AF1561">
        <w:rPr>
          <w:i/>
        </w:rPr>
        <w:t>Demand response market participants</w:t>
      </w:r>
      <w:r w:rsidRPr="009C3EAD">
        <w:t xml:space="preserve"> (DRMP</w:t>
      </w:r>
      <w:r>
        <w:t>s</w:t>
      </w:r>
      <w:r w:rsidRPr="009C3EAD">
        <w:t>) participating in the CBDR program must submit a Measurement &amp; Verification Plan (or “M&amp;V Plan”) for each Demand Response Account (or “DR Account”) to the IESO for review and approval.  The M&amp;V Plan shall describe the data acquisition procedure and the analytical methodology that will be used by the DRMP to determine the delivery of Demand Response Curtailment (or “DR Curtailment”) by the Project. The M&amp;V Plan should be simple, easy to understand and implement, and provide predictability and consistency. The measurement and verification methodology should be accurate and verifiable.</w:t>
      </w:r>
    </w:p>
    <w:p w14:paraId="7D45FACF" w14:textId="77777777" w:rsidR="00527782" w:rsidRDefault="00EA2603" w:rsidP="00527782">
      <w:pPr>
        <w:pStyle w:val="ListParagraph"/>
        <w:ind w:left="0"/>
      </w:pPr>
      <w:r w:rsidRPr="009C3EAD">
        <w:t>An M&amp;V Plan may be submitted</w:t>
      </w:r>
      <w:r>
        <w:t xml:space="preserve"> to: </w:t>
      </w:r>
      <w:hyperlink r:id="rId106" w:history="1">
        <w:r w:rsidRPr="00230989">
          <w:rPr>
            <w:rStyle w:val="Hyperlink"/>
          </w:rPr>
          <w:t>CBDR.MV@ieso.ca</w:t>
        </w:r>
      </w:hyperlink>
      <w:r>
        <w:t xml:space="preserve"> </w:t>
      </w:r>
      <w:r w:rsidRPr="009C3EAD">
        <w:t>at any time</w:t>
      </w:r>
      <w:r>
        <w:t xml:space="preserve">. To </w:t>
      </w:r>
      <w:r w:rsidRPr="00CC469C">
        <w:rPr>
          <w:szCs w:val="22"/>
        </w:rPr>
        <w:t xml:space="preserve">make changes </w:t>
      </w:r>
      <w:r>
        <w:t xml:space="preserve">or updates </w:t>
      </w:r>
      <w:r w:rsidRPr="00CC469C">
        <w:rPr>
          <w:szCs w:val="22"/>
        </w:rPr>
        <w:t xml:space="preserve">including but not limited to measurement and verification methodology, addition, deletion or substitution of </w:t>
      </w:r>
      <w:r w:rsidRPr="00994157">
        <w:rPr>
          <w:i/>
          <w:szCs w:val="22"/>
        </w:rPr>
        <w:t>demand response contributors</w:t>
      </w:r>
      <w:r w:rsidRPr="00CC469C">
        <w:rPr>
          <w:szCs w:val="22"/>
        </w:rPr>
        <w:t xml:space="preserve"> (or “contributors”) </w:t>
      </w:r>
      <w:r>
        <w:t xml:space="preserve">within a pre-existing </w:t>
      </w:r>
      <w:r w:rsidRPr="00803F39">
        <w:t>Contract Schedule</w:t>
      </w:r>
      <w:r w:rsidRPr="00CC469C">
        <w:rPr>
          <w:i/>
        </w:rPr>
        <w:t>.</w:t>
      </w:r>
    </w:p>
    <w:p w14:paraId="00B3C5DF" w14:textId="77777777" w:rsidR="00EA2603" w:rsidRPr="000A4696" w:rsidRDefault="00EA2603" w:rsidP="00DA1C34">
      <w:pPr>
        <w:pStyle w:val="AppendixHead3"/>
        <w:numPr>
          <w:ilvl w:val="3"/>
          <w:numId w:val="6"/>
        </w:numPr>
        <w:ind w:left="1080"/>
        <w:rPr>
          <w:lang w:val="en-CA"/>
        </w:rPr>
      </w:pPr>
      <w:r w:rsidRPr="000A4696">
        <w:rPr>
          <w:lang w:val="en-CA"/>
        </w:rPr>
        <w:t>Submission and Approval of the M&amp;V Plan</w:t>
      </w:r>
    </w:p>
    <w:p w14:paraId="0BBABA6E" w14:textId="77777777" w:rsidR="00EA2603" w:rsidRPr="002C2B53" w:rsidRDefault="00EA2603" w:rsidP="00C46412">
      <w:pPr>
        <w:pStyle w:val="Heading51"/>
      </w:pPr>
      <w:r w:rsidRPr="002C2B53">
        <w:t xml:space="preserve">Upon receipt of amended M&amp;V Plans, the IESO will review and assess the submission within the timeline indicated on the CBDR </w:t>
      </w:r>
      <w:r>
        <w:t>P</w:t>
      </w:r>
      <w:r w:rsidRPr="002C2B53">
        <w:t xml:space="preserve">rocessing </w:t>
      </w:r>
      <w:r>
        <w:t>T</w:t>
      </w:r>
      <w:r w:rsidRPr="002C2B53">
        <w:t>imeline</w:t>
      </w:r>
      <w:r>
        <w:t>s</w:t>
      </w:r>
      <w:r w:rsidRPr="002C2B53">
        <w:t xml:space="preserve"> document available on the </w:t>
      </w:r>
      <w:r w:rsidRPr="0025074E">
        <w:rPr>
          <w:i/>
        </w:rPr>
        <w:t>Capacity Based Demand Response Program</w:t>
      </w:r>
      <w:r w:rsidRPr="002C2B53">
        <w:t xml:space="preserve"> webpage.  If the M&amp;V Plan is completed to the satisfaction of the IESO, the IESO will approve it.  If the M&amp;V Plan does not meet IESO’s requirements, the IESO may request additional information or reject the M&amp;V Plan at IESO’s discretion.  The IESO will notify DRMPs of the results of the M&amp;V Plan reviews.</w:t>
      </w:r>
    </w:p>
    <w:p w14:paraId="158ECD34" w14:textId="2F2568D6" w:rsidR="00EA2603" w:rsidRPr="009C3EAD" w:rsidRDefault="00EA2603" w:rsidP="00C46412">
      <w:pPr>
        <w:pStyle w:val="Heading51"/>
      </w:pPr>
      <w:r w:rsidRPr="009C3EAD">
        <w:t>No proposed amendment or modification to an existing M&amp;V Plan including any addition, deletion or substitution of any contributor to any such Project during its respective Schedule Term is effective without written acceptance of the IESO.</w:t>
      </w:r>
    </w:p>
    <w:p w14:paraId="22630E8F" w14:textId="77777777" w:rsidR="00EA2603" w:rsidRPr="002C2B53" w:rsidRDefault="00EA2603" w:rsidP="00C46412">
      <w:pPr>
        <w:pStyle w:val="Heading51"/>
      </w:pPr>
      <w:r w:rsidRPr="009C3EAD">
        <w:t xml:space="preserve">The IESO shall have the right to verify and audit all technical, financial, and operational data and systems for the Project and for any contributor.  The IESO shall have the right to visit contributor and/or DRMP site(s) to ensure that there is no Project Amendment that has not been consented to as required in this section. </w:t>
      </w:r>
      <w:r w:rsidRPr="00994157">
        <w:rPr>
          <w:i/>
        </w:rPr>
        <w:t>Demand response aggregators</w:t>
      </w:r>
      <w:r w:rsidRPr="009C3EAD">
        <w:t xml:space="preserve"> (or “aggregators”) must maintain records of measurement data for all contributors and Activation Notices sent to their contributors specifying the start time, stop times and dates of DR Activations as well as a record of contributors demonstrating the eligible portion of the Monthly Contracted MW that the contributor is providing to the aggregator.</w:t>
      </w:r>
      <w:r w:rsidRPr="002C2B53">
        <w:t xml:space="preserve"> </w:t>
      </w:r>
    </w:p>
    <w:p w14:paraId="4D324ACB" w14:textId="77777777" w:rsidR="00EA2603" w:rsidRPr="000A4696" w:rsidRDefault="00EA2603" w:rsidP="00DA1C34">
      <w:pPr>
        <w:pStyle w:val="AppendixHead3"/>
        <w:numPr>
          <w:ilvl w:val="3"/>
          <w:numId w:val="6"/>
        </w:numPr>
        <w:ind w:left="1080"/>
        <w:rPr>
          <w:lang w:val="en-CA"/>
        </w:rPr>
      </w:pPr>
      <w:r w:rsidRPr="000A4696">
        <w:rPr>
          <w:lang w:val="en-CA"/>
        </w:rPr>
        <w:t>M&amp;V Plan Information</w:t>
      </w:r>
    </w:p>
    <w:p w14:paraId="1D6C30D7" w14:textId="77777777" w:rsidR="00EA2603" w:rsidRPr="00340B86" w:rsidRDefault="00EA2603" w:rsidP="00AC52B7">
      <w:pPr>
        <w:spacing w:before="120"/>
      </w:pPr>
      <w:r w:rsidRPr="00340B86">
        <w:t>The content of M&amp;V Plan submission must meet the following requirements:</w:t>
      </w:r>
    </w:p>
    <w:p w14:paraId="5A9A773A" w14:textId="77777777" w:rsidR="00EA2603" w:rsidRDefault="00EA2603" w:rsidP="00EA2603">
      <w:pPr>
        <w:pStyle w:val="ListParagraph"/>
        <w:numPr>
          <w:ilvl w:val="0"/>
          <w:numId w:val="92"/>
        </w:numPr>
      </w:pPr>
      <w:r>
        <w:t>Each M&amp;V Plan submission shall be complete.</w:t>
      </w:r>
    </w:p>
    <w:p w14:paraId="72DCE514" w14:textId="77777777" w:rsidR="00EA2603" w:rsidRDefault="00EA2603" w:rsidP="00EA2603">
      <w:pPr>
        <w:pStyle w:val="ListParagraph"/>
        <w:ind w:left="1080"/>
      </w:pPr>
    </w:p>
    <w:p w14:paraId="1F4D1785" w14:textId="77777777" w:rsidR="00EA2603" w:rsidRDefault="00EA2603" w:rsidP="00EA2603">
      <w:pPr>
        <w:pStyle w:val="ListParagraph"/>
        <w:numPr>
          <w:ilvl w:val="0"/>
          <w:numId w:val="92"/>
        </w:numPr>
      </w:pPr>
      <w:r w:rsidRPr="00340B86">
        <w:t>Each DRMP must supply sufficient information in order for the IESO</w:t>
      </w:r>
      <w:r>
        <w:t xml:space="preserve">, in its sole discretion, </w:t>
      </w:r>
      <w:r w:rsidRPr="00340B86">
        <w:t>to review the M&amp;V Plan, including the following:</w:t>
      </w:r>
    </w:p>
    <w:p w14:paraId="6B8C087B" w14:textId="77777777" w:rsidR="00EA2603" w:rsidRDefault="00EA2603" w:rsidP="00EA2603">
      <w:pPr>
        <w:pStyle w:val="ListParagraph"/>
        <w:ind w:left="1080"/>
      </w:pPr>
    </w:p>
    <w:p w14:paraId="762E353D" w14:textId="77777777" w:rsidR="00EA2603" w:rsidRDefault="00EA2603" w:rsidP="00EA2603">
      <w:pPr>
        <w:pStyle w:val="ListParagraph"/>
        <w:numPr>
          <w:ilvl w:val="1"/>
          <w:numId w:val="92"/>
        </w:numPr>
      </w:pPr>
      <w:r w:rsidRPr="002C2B53">
        <w:t xml:space="preserve">the names, telephone numbers, and e-mail addresses of the DRMP’s contact person(s) with respect to the M&amp;V Plan; </w:t>
      </w:r>
    </w:p>
    <w:p w14:paraId="65BD6E5A" w14:textId="77777777" w:rsidR="00EA2603" w:rsidRPr="002C2B53" w:rsidRDefault="00EA2603" w:rsidP="00EA2603">
      <w:pPr>
        <w:pStyle w:val="ListParagraph"/>
        <w:ind w:left="1800"/>
      </w:pPr>
    </w:p>
    <w:p w14:paraId="2F3F6304" w14:textId="77777777" w:rsidR="00EA2603" w:rsidRDefault="00EA2603" w:rsidP="00EA2603">
      <w:pPr>
        <w:pStyle w:val="ListParagraph"/>
        <w:numPr>
          <w:ilvl w:val="1"/>
          <w:numId w:val="92"/>
        </w:numPr>
        <w:spacing w:after="0"/>
        <w:contextualSpacing w:val="0"/>
      </w:pPr>
      <w:r w:rsidRPr="002C2B53">
        <w:t>a description of the Project;</w:t>
      </w:r>
    </w:p>
    <w:p w14:paraId="2DC64EA5" w14:textId="77777777" w:rsidR="00EA2603" w:rsidRPr="002F2A30" w:rsidRDefault="00EA2603" w:rsidP="00EA2603">
      <w:pPr>
        <w:pStyle w:val="ListParagraph"/>
        <w:spacing w:after="0"/>
        <w:ind w:left="1800"/>
        <w:contextualSpacing w:val="0"/>
      </w:pPr>
    </w:p>
    <w:p w14:paraId="2BC3E0A4" w14:textId="77777777" w:rsidR="00EA2603" w:rsidRPr="009C3EAD" w:rsidRDefault="00EA2603" w:rsidP="00EA2603">
      <w:pPr>
        <w:pStyle w:val="ListParagraph"/>
        <w:numPr>
          <w:ilvl w:val="1"/>
          <w:numId w:val="92"/>
        </w:numPr>
        <w:spacing w:after="0"/>
        <w:contextualSpacing w:val="0"/>
      </w:pPr>
      <w:r>
        <w:t>reference to a pre-existing Contract Schedule and DR Account;</w:t>
      </w:r>
      <w:r w:rsidRPr="00CD7CC8">
        <w:t xml:space="preserve"> </w:t>
      </w:r>
    </w:p>
    <w:p w14:paraId="148DBF1C" w14:textId="77777777" w:rsidR="00EA2603" w:rsidRDefault="00EA2603" w:rsidP="00EA2603">
      <w:pPr>
        <w:pStyle w:val="ListParagraph"/>
        <w:spacing w:after="0"/>
        <w:ind w:left="1800"/>
        <w:contextualSpacing w:val="0"/>
      </w:pPr>
    </w:p>
    <w:p w14:paraId="1CE94C3F" w14:textId="77777777" w:rsidR="00EA2603" w:rsidRPr="009C3EAD" w:rsidRDefault="00EA2603" w:rsidP="00EA2603">
      <w:pPr>
        <w:pStyle w:val="ListParagraph"/>
        <w:numPr>
          <w:ilvl w:val="1"/>
          <w:numId w:val="92"/>
        </w:numPr>
        <w:spacing w:after="0"/>
        <w:contextualSpacing w:val="0"/>
      </w:pPr>
      <w:r w:rsidRPr="009C3EAD">
        <w:t>a description of how the DR Curtailment will reduce demand on the IESO-controlled grid, directly or indirectly;</w:t>
      </w:r>
    </w:p>
    <w:p w14:paraId="3D1ED3C5" w14:textId="77777777" w:rsidR="00EA2603" w:rsidRPr="009C3EAD" w:rsidRDefault="00EA2603" w:rsidP="00EA2603">
      <w:pPr>
        <w:spacing w:after="0"/>
        <w:ind w:left="1800"/>
      </w:pPr>
    </w:p>
    <w:p w14:paraId="62AEFFF6" w14:textId="77777777" w:rsidR="00EA2603" w:rsidRPr="009C3EAD" w:rsidRDefault="00EA2603" w:rsidP="00EA2603">
      <w:pPr>
        <w:pStyle w:val="ListParagraph"/>
        <w:numPr>
          <w:ilvl w:val="1"/>
          <w:numId w:val="92"/>
        </w:numPr>
        <w:spacing w:after="0"/>
        <w:contextualSpacing w:val="0"/>
      </w:pPr>
      <w:r w:rsidRPr="009C3EAD">
        <w:t>a description of the physical location, names and description of the contributor(s) included;</w:t>
      </w:r>
    </w:p>
    <w:p w14:paraId="6E9E6093" w14:textId="77777777" w:rsidR="00EA2603" w:rsidRPr="009C3EAD" w:rsidRDefault="00EA2603" w:rsidP="00EA2603">
      <w:pPr>
        <w:spacing w:after="0"/>
        <w:ind w:left="1800"/>
      </w:pPr>
    </w:p>
    <w:p w14:paraId="4CEBC9EF" w14:textId="77777777" w:rsidR="00EA2603" w:rsidRPr="009C3EAD" w:rsidRDefault="00EA2603" w:rsidP="00AC52B7">
      <w:pPr>
        <w:pStyle w:val="ListParagraph"/>
        <w:numPr>
          <w:ilvl w:val="1"/>
          <w:numId w:val="92"/>
        </w:numPr>
        <w:spacing w:after="0"/>
        <w:contextualSpacing w:val="0"/>
      </w:pPr>
      <w:r w:rsidRPr="009C3EAD">
        <w:t>a single line diagram (SLD) if specifically requested by the IESO and whenever, in the discretion of the IESO, the Load can be transferred to another source that is not set out in the M&amp;V Plan;</w:t>
      </w:r>
    </w:p>
    <w:p w14:paraId="0CAEAA46" w14:textId="77777777" w:rsidR="00EA2603" w:rsidRPr="007055BD" w:rsidRDefault="00EA2603" w:rsidP="00EA2603">
      <w:pPr>
        <w:spacing w:after="0"/>
        <w:ind w:left="1800"/>
      </w:pPr>
    </w:p>
    <w:p w14:paraId="23C6E7BE" w14:textId="77777777" w:rsidR="00EA2603" w:rsidRPr="009C3EAD" w:rsidRDefault="00EA2603" w:rsidP="00EA2603">
      <w:pPr>
        <w:pStyle w:val="ListParagraph"/>
        <w:numPr>
          <w:ilvl w:val="1"/>
          <w:numId w:val="92"/>
        </w:numPr>
        <w:spacing w:after="0"/>
        <w:contextualSpacing w:val="0"/>
      </w:pPr>
      <w:r w:rsidRPr="009C3EAD">
        <w:t>where the capacity of a Behind the Meter Generator exceeds the annual peak demand of the Load in which the Behind the Meter Generator is embedded, a declaration that the appropriate technology is in place to prevent electricity generated from being injected into the IESO controlled grid or Local Distribution System;</w:t>
      </w:r>
    </w:p>
    <w:p w14:paraId="20B5333A" w14:textId="77777777" w:rsidR="00EA2603" w:rsidRPr="009C3EAD" w:rsidRDefault="00EA2603" w:rsidP="00EA2603">
      <w:pPr>
        <w:pStyle w:val="ListParagraph"/>
        <w:spacing w:after="0"/>
        <w:ind w:left="1800"/>
        <w:contextualSpacing w:val="0"/>
      </w:pPr>
    </w:p>
    <w:p w14:paraId="627AEB52" w14:textId="77777777" w:rsidR="00EA2603" w:rsidRPr="009C3EAD" w:rsidRDefault="00EA2603" w:rsidP="00EA2603">
      <w:pPr>
        <w:pStyle w:val="ListParagraph"/>
        <w:numPr>
          <w:ilvl w:val="1"/>
          <w:numId w:val="92"/>
        </w:numPr>
        <w:spacing w:after="0"/>
        <w:contextualSpacing w:val="0"/>
      </w:pPr>
      <w:r w:rsidRPr="009C3EAD">
        <w:t xml:space="preserve">for </w:t>
      </w:r>
      <w:r w:rsidRPr="00C46E4F">
        <w:rPr>
          <w:i/>
        </w:rPr>
        <w:t>demand response direct participants</w:t>
      </w:r>
      <w:r w:rsidRPr="009C3EAD">
        <w:t xml:space="preserve"> (or “direct participants”), two years of historical data to support any request for an Extended Period Planned Non-Performance Event and to support the capacity of each contributor to the Project to provide its portion of the Monthly Contracted MW;</w:t>
      </w:r>
    </w:p>
    <w:p w14:paraId="20A28BEC" w14:textId="77777777" w:rsidR="00EA2603" w:rsidRPr="009C3EAD" w:rsidRDefault="00EA2603" w:rsidP="00EA2603">
      <w:pPr>
        <w:pStyle w:val="ListParagraph"/>
        <w:spacing w:after="0"/>
        <w:ind w:left="1800"/>
        <w:contextualSpacing w:val="0"/>
      </w:pPr>
    </w:p>
    <w:p w14:paraId="16DE9C20" w14:textId="77777777" w:rsidR="00EA2603" w:rsidRPr="009C3EAD" w:rsidRDefault="00EA2603" w:rsidP="00EA2603">
      <w:pPr>
        <w:pStyle w:val="ListParagraph"/>
        <w:numPr>
          <w:ilvl w:val="1"/>
          <w:numId w:val="92"/>
        </w:numPr>
        <w:spacing w:after="0"/>
        <w:contextualSpacing w:val="0"/>
      </w:pPr>
      <w:r w:rsidRPr="009C3EAD">
        <w:t>for aggregators, one year of historical data aggregated into one stream of data for all contributors and one year of historical data from each contributor to support the capacity of each contributor to the Project to provide its portion of the Monthly Contracted MW; and</w:t>
      </w:r>
    </w:p>
    <w:p w14:paraId="751844B9" w14:textId="77777777" w:rsidR="00EA2603" w:rsidRPr="009C3EAD" w:rsidRDefault="00EA2603" w:rsidP="00EA2603">
      <w:pPr>
        <w:pStyle w:val="ListParagraph"/>
        <w:spacing w:after="0"/>
        <w:ind w:left="1800"/>
        <w:contextualSpacing w:val="0"/>
      </w:pPr>
    </w:p>
    <w:p w14:paraId="3F1169E3" w14:textId="77777777" w:rsidR="00EA2603" w:rsidRPr="009C3EAD" w:rsidRDefault="00EA2603" w:rsidP="00EA2603">
      <w:pPr>
        <w:pStyle w:val="ListParagraph"/>
        <w:numPr>
          <w:ilvl w:val="1"/>
          <w:numId w:val="92"/>
        </w:numPr>
        <w:spacing w:after="0"/>
        <w:contextualSpacing w:val="0"/>
      </w:pPr>
      <w:r w:rsidRPr="009C3EAD">
        <w:t>with respect to each contributor (whether to an aggregator or a direct participant):</w:t>
      </w:r>
    </w:p>
    <w:p w14:paraId="1A180CE6" w14:textId="77777777" w:rsidR="00EA2603" w:rsidRPr="009C3EAD" w:rsidRDefault="00EA2603" w:rsidP="00EA2603">
      <w:pPr>
        <w:pStyle w:val="ListParagraph"/>
      </w:pPr>
    </w:p>
    <w:p w14:paraId="27B38875" w14:textId="77777777" w:rsidR="00EA2603" w:rsidRPr="009C3EAD" w:rsidRDefault="00EA2603" w:rsidP="00EA2603">
      <w:pPr>
        <w:pStyle w:val="ListParagraph"/>
        <w:numPr>
          <w:ilvl w:val="2"/>
          <w:numId w:val="92"/>
        </w:numPr>
        <w:ind w:left="2635" w:hanging="288"/>
      </w:pPr>
      <w:r w:rsidRPr="009C3EAD">
        <w:t>meter type, model and firmware version, Measurement Canada approval reference;</w:t>
      </w:r>
    </w:p>
    <w:p w14:paraId="2D86AD1F" w14:textId="77777777" w:rsidR="00EA2603" w:rsidRPr="009C3EAD" w:rsidRDefault="00EA2603" w:rsidP="00EA2603">
      <w:pPr>
        <w:pStyle w:val="ListParagraph"/>
        <w:numPr>
          <w:ilvl w:val="2"/>
          <w:numId w:val="92"/>
        </w:numPr>
        <w:ind w:left="2635" w:hanging="288"/>
      </w:pPr>
      <w:r w:rsidRPr="009C3EAD">
        <w:t>meter reference number (badge);</w:t>
      </w:r>
    </w:p>
    <w:p w14:paraId="22AC5614" w14:textId="77777777" w:rsidR="00EA2603" w:rsidRPr="009C3EAD" w:rsidRDefault="00EA2603" w:rsidP="00EA2603">
      <w:pPr>
        <w:pStyle w:val="ListParagraph"/>
        <w:numPr>
          <w:ilvl w:val="2"/>
          <w:numId w:val="92"/>
        </w:numPr>
        <w:ind w:left="2635" w:hanging="288"/>
      </w:pPr>
      <w:r w:rsidRPr="009C3EAD">
        <w:t>IESO reference number (where appropriate);</w:t>
      </w:r>
    </w:p>
    <w:p w14:paraId="486F129C" w14:textId="77777777" w:rsidR="00EA2603" w:rsidRPr="009C3EAD" w:rsidRDefault="00EA2603" w:rsidP="00EA2603">
      <w:pPr>
        <w:pStyle w:val="ListParagraph"/>
        <w:numPr>
          <w:ilvl w:val="2"/>
          <w:numId w:val="92"/>
        </w:numPr>
        <w:ind w:left="2635" w:hanging="288"/>
      </w:pPr>
      <w:r w:rsidRPr="009C3EAD">
        <w:t>brief description of the Interruptible Load or Behind the Meter Generator measured;</w:t>
      </w:r>
    </w:p>
    <w:p w14:paraId="6829C03D" w14:textId="77777777" w:rsidR="00EA2603" w:rsidRPr="009C3EAD" w:rsidRDefault="00EA2603" w:rsidP="00EA2603">
      <w:pPr>
        <w:pStyle w:val="ListParagraph"/>
        <w:numPr>
          <w:ilvl w:val="2"/>
          <w:numId w:val="92"/>
        </w:numPr>
        <w:ind w:left="2635" w:hanging="288"/>
      </w:pPr>
      <w:r w:rsidRPr="009C3EAD">
        <w:t>feeder number (where appropriate);</w:t>
      </w:r>
    </w:p>
    <w:p w14:paraId="24C0CEA3" w14:textId="77777777" w:rsidR="00EA2603" w:rsidRPr="009C3EAD" w:rsidRDefault="00EA2603" w:rsidP="00EA2603">
      <w:pPr>
        <w:pStyle w:val="ListParagraph"/>
        <w:numPr>
          <w:ilvl w:val="2"/>
          <w:numId w:val="92"/>
        </w:numPr>
        <w:ind w:left="2635" w:hanging="288"/>
      </w:pPr>
      <w:r w:rsidRPr="009C3EAD">
        <w:t>meter seal expiry date(s);</w:t>
      </w:r>
    </w:p>
    <w:p w14:paraId="13C3FAF7" w14:textId="77777777" w:rsidR="00EA2603" w:rsidRPr="009C3EAD" w:rsidRDefault="00EA2603" w:rsidP="00EA2603">
      <w:pPr>
        <w:pStyle w:val="ListParagraph"/>
        <w:numPr>
          <w:ilvl w:val="2"/>
          <w:numId w:val="92"/>
        </w:numPr>
        <w:ind w:left="2635" w:hanging="288"/>
      </w:pPr>
      <w:r w:rsidRPr="009C3EAD">
        <w:t>confirmation of ability to deliver Interval measurement data;</w:t>
      </w:r>
    </w:p>
    <w:p w14:paraId="607F8E99" w14:textId="77777777" w:rsidR="00EA2603" w:rsidRPr="009C3EAD" w:rsidRDefault="00EA2603" w:rsidP="00EA2603">
      <w:pPr>
        <w:pStyle w:val="ListParagraph"/>
        <w:numPr>
          <w:ilvl w:val="2"/>
          <w:numId w:val="92"/>
        </w:numPr>
        <w:ind w:left="2635" w:hanging="288"/>
      </w:pPr>
      <w:r w:rsidRPr="009C3EAD">
        <w:t>instrument transformer information, including model numbers, Measurement Canada approval references, ratios, accuracy; and</w:t>
      </w:r>
    </w:p>
    <w:p w14:paraId="188E7E9E" w14:textId="77777777" w:rsidR="00EA2603" w:rsidRPr="009C3EAD" w:rsidRDefault="00EA2603" w:rsidP="00EA2603">
      <w:pPr>
        <w:pStyle w:val="ListParagraph"/>
        <w:numPr>
          <w:ilvl w:val="2"/>
          <w:numId w:val="92"/>
        </w:numPr>
        <w:ind w:left="2635" w:hanging="288"/>
      </w:pPr>
      <w:r w:rsidRPr="009C3EAD">
        <w:t>Verification Report which compares the independent source measurement data (hourly) and contributor measurement data (hourly).</w:t>
      </w:r>
    </w:p>
    <w:p w14:paraId="2D9C309E" w14:textId="77777777" w:rsidR="00EA2603" w:rsidRPr="009C3EAD" w:rsidRDefault="00EA2603" w:rsidP="00EA2603">
      <w:pPr>
        <w:ind w:left="1440"/>
      </w:pPr>
      <w:r w:rsidRPr="009C3EAD">
        <w:t>The DRMP shall acknowledge within the M&amp;V Plan, for each contributor where some portion of the required information is not readily available and reasonable efforts have been undertaken to secure such information, that such information shall be subject to acceptance or rejection at the sole and absolute discretion of the IESO.</w:t>
      </w:r>
    </w:p>
    <w:p w14:paraId="5C01E03C" w14:textId="77777777" w:rsidR="00EA2603" w:rsidRPr="009C3EAD" w:rsidRDefault="00EA2603" w:rsidP="00EA2603">
      <w:pPr>
        <w:pStyle w:val="ListParagraph"/>
        <w:tabs>
          <w:tab w:val="left" w:pos="1983"/>
        </w:tabs>
      </w:pPr>
    </w:p>
    <w:p w14:paraId="4F043889" w14:textId="77777777" w:rsidR="00EA2603" w:rsidRDefault="00EA2603" w:rsidP="00EA2603">
      <w:pPr>
        <w:pStyle w:val="ListParagraph"/>
        <w:numPr>
          <w:ilvl w:val="0"/>
          <w:numId w:val="92"/>
        </w:numPr>
      </w:pPr>
      <w:r w:rsidRPr="009C3EAD">
        <w:t>The IESO will create a settlement map which represents the DR Account.  The IESO will:</w:t>
      </w:r>
    </w:p>
    <w:p w14:paraId="6FF9B855" w14:textId="77777777" w:rsidR="00EA2603" w:rsidRPr="009C3EAD" w:rsidRDefault="00EA2603" w:rsidP="00AC52B7">
      <w:pPr>
        <w:pStyle w:val="ListParagraph"/>
        <w:spacing w:after="0"/>
        <w:ind w:left="1080"/>
      </w:pPr>
    </w:p>
    <w:p w14:paraId="5A21898A" w14:textId="77777777" w:rsidR="00EA2603" w:rsidRDefault="00EA2603" w:rsidP="00AC52B7">
      <w:pPr>
        <w:pStyle w:val="ListParagraph"/>
        <w:numPr>
          <w:ilvl w:val="1"/>
          <w:numId w:val="92"/>
        </w:numPr>
        <w:spacing w:after="0"/>
        <w:contextualSpacing w:val="0"/>
      </w:pPr>
      <w:r w:rsidRPr="009C3EAD">
        <w:t>map all kWh delivered and received meter point data streams to the DR Account; and</w:t>
      </w:r>
    </w:p>
    <w:p w14:paraId="53A66C4A" w14:textId="77777777" w:rsidR="00EA2603" w:rsidRPr="009C3EAD" w:rsidRDefault="00EA2603" w:rsidP="00AC52B7">
      <w:pPr>
        <w:pStyle w:val="ListParagraph"/>
        <w:spacing w:after="0"/>
        <w:ind w:left="1800"/>
        <w:contextualSpacing w:val="0"/>
      </w:pPr>
    </w:p>
    <w:p w14:paraId="32954812" w14:textId="77777777" w:rsidR="00EA2603" w:rsidRDefault="00EA2603" w:rsidP="00AC52B7">
      <w:pPr>
        <w:pStyle w:val="ListParagraph"/>
        <w:numPr>
          <w:ilvl w:val="1"/>
          <w:numId w:val="92"/>
        </w:numPr>
        <w:spacing w:after="0"/>
        <w:contextualSpacing w:val="0"/>
      </w:pPr>
      <w:r w:rsidRPr="009C3EAD">
        <w:t>issue site registration reports (SRR) to the DRMP for signature and confirmation of their acceptance of the settlement map.</w:t>
      </w:r>
    </w:p>
    <w:p w14:paraId="23FAB7AD" w14:textId="77777777" w:rsidR="00AC52B7" w:rsidRDefault="00AC52B7" w:rsidP="00AC52B7">
      <w:pPr>
        <w:pStyle w:val="ListParagraph"/>
        <w:spacing w:after="0"/>
      </w:pPr>
    </w:p>
    <w:p w14:paraId="64653938" w14:textId="77777777" w:rsidR="00EA2603" w:rsidRPr="00DE3E1A" w:rsidRDefault="00EA2603" w:rsidP="00EA2603">
      <w:pPr>
        <w:ind w:left="720"/>
      </w:pPr>
      <w:r w:rsidRPr="009C3EAD">
        <w:t>Not all combinations of measurement data submission will be allowed by the IESO.  Direct participants who participate in the Ontario wholesale electricity markets will be considered by the IESO to have Class 1 measurement data, aggregators will be considered by the IESO to have Class 2 measurement data and direct participants who participate in the Ontario retail electricity markets will be considered by the IESO to have Class 3 measurement data. The</w:t>
      </w:r>
      <w:r w:rsidRPr="00DE3E1A">
        <w:t xml:space="preserve"> allowable forms and combinations of measurement data submission with respect to a DR Account will be as follows:</w:t>
      </w:r>
    </w:p>
    <w:p w14:paraId="1A50FD3A" w14:textId="77777777" w:rsidR="00EA2603" w:rsidRPr="00DE3E1A" w:rsidRDefault="00EA2603" w:rsidP="00EA2603">
      <w:pPr>
        <w:pStyle w:val="ListParagraph"/>
        <w:numPr>
          <w:ilvl w:val="0"/>
          <w:numId w:val="93"/>
        </w:numPr>
      </w:pPr>
      <w:r w:rsidRPr="00DE3E1A">
        <w:t>only one of Class 1</w:t>
      </w:r>
      <w:r w:rsidRPr="00BD0FC2">
        <w:rPr>
          <w:vertAlign w:val="superscript"/>
        </w:rPr>
        <w:t>n</w:t>
      </w:r>
      <w:r w:rsidRPr="00DE3E1A">
        <w:t>, Class 2</w:t>
      </w:r>
      <w:r w:rsidRPr="00BD0FC2">
        <w:rPr>
          <w:vertAlign w:val="superscript"/>
        </w:rPr>
        <w:t>n</w:t>
      </w:r>
      <w:r w:rsidRPr="00DE3E1A">
        <w:t>, or Class 3</w:t>
      </w:r>
      <w:r w:rsidRPr="00BD0FC2">
        <w:rPr>
          <w:vertAlign w:val="superscript"/>
        </w:rPr>
        <w:t>n</w:t>
      </w:r>
      <w:r w:rsidRPr="00DE3E1A">
        <w:t xml:space="preserve"> measurement data; or</w:t>
      </w:r>
    </w:p>
    <w:p w14:paraId="300F526B" w14:textId="77777777" w:rsidR="00EA2603" w:rsidRPr="00BD0FC2" w:rsidRDefault="00EA2603" w:rsidP="00EA2603">
      <w:pPr>
        <w:pStyle w:val="ListParagraph"/>
        <w:numPr>
          <w:ilvl w:val="0"/>
          <w:numId w:val="93"/>
        </w:numPr>
      </w:pPr>
      <w:r w:rsidRPr="00DE3E1A">
        <w:t>Class 1</w:t>
      </w:r>
      <w:r w:rsidRPr="00BD0FC2">
        <w:rPr>
          <w:vertAlign w:val="superscript"/>
        </w:rPr>
        <w:t>n</w:t>
      </w:r>
      <w:r w:rsidRPr="00DE3E1A">
        <w:t xml:space="preserve"> and Class 3</w:t>
      </w:r>
      <w:r w:rsidRPr="00BD0FC2">
        <w:rPr>
          <w:vertAlign w:val="superscript"/>
        </w:rPr>
        <w:t>n</w:t>
      </w:r>
      <w:r w:rsidRPr="00DE3E1A">
        <w:t xml:space="preserve"> which may be aggregated measurement data, where 1</w:t>
      </w:r>
      <w:r w:rsidRPr="00BD0FC2">
        <w:rPr>
          <w:vertAlign w:val="superscript"/>
        </w:rPr>
        <w:t>n</w:t>
      </w:r>
      <w:r w:rsidRPr="00DE3E1A">
        <w:t xml:space="preserve"> means Class 1 measurement data from 1 to n sources and 3</w:t>
      </w:r>
      <w:r w:rsidRPr="00BD0FC2">
        <w:rPr>
          <w:vertAlign w:val="superscript"/>
        </w:rPr>
        <w:t>n</w:t>
      </w:r>
      <w:r w:rsidRPr="00BD0FC2">
        <w:t xml:space="preserve"> means Class 3 measurement data from 1 to n sources.</w:t>
      </w:r>
    </w:p>
    <w:p w14:paraId="56D99D20" w14:textId="77777777" w:rsidR="00EA2603" w:rsidRPr="00BD0FC2" w:rsidRDefault="00EA2603" w:rsidP="00EA2603">
      <w:pPr>
        <w:pStyle w:val="ListParagraph"/>
        <w:ind w:left="1800"/>
      </w:pPr>
    </w:p>
    <w:p w14:paraId="756DAEB0" w14:textId="77777777" w:rsidR="00EA2603" w:rsidRDefault="00EA2603" w:rsidP="00EA2603">
      <w:pPr>
        <w:pStyle w:val="ListParagraph"/>
        <w:numPr>
          <w:ilvl w:val="0"/>
          <w:numId w:val="92"/>
        </w:numPr>
      </w:pPr>
      <w:r w:rsidRPr="00BD0FC2">
        <w:t>The following additional principles shall apply to the development and evaluation of the M&amp;V Plan:</w:t>
      </w:r>
    </w:p>
    <w:p w14:paraId="0BD37C85" w14:textId="77777777" w:rsidR="00EA2603" w:rsidRPr="002330DA" w:rsidRDefault="00EA2603" w:rsidP="00EA2603">
      <w:pPr>
        <w:pStyle w:val="ListParagraph"/>
        <w:ind w:left="1080"/>
      </w:pPr>
    </w:p>
    <w:p w14:paraId="4B5CA10E" w14:textId="77777777" w:rsidR="00EA2603" w:rsidRPr="002330DA" w:rsidRDefault="00EA2603" w:rsidP="00EA2603">
      <w:pPr>
        <w:pStyle w:val="ListParagraph"/>
        <w:numPr>
          <w:ilvl w:val="1"/>
          <w:numId w:val="92"/>
        </w:numPr>
      </w:pPr>
      <w:r w:rsidRPr="00BD0FC2">
        <w:t>measurement error correction of the data is not permitted for Class 2 and Class 3 measurement</w:t>
      </w:r>
      <w:r w:rsidRPr="00BD0FC2" w:rsidDel="00B03E7D">
        <w:t xml:space="preserve"> </w:t>
      </w:r>
      <w:r w:rsidRPr="00BD0FC2">
        <w:t>data;</w:t>
      </w:r>
    </w:p>
    <w:p w14:paraId="3B9B6C67" w14:textId="77777777" w:rsidR="00EA2603" w:rsidRPr="002330DA" w:rsidRDefault="00EA2603" w:rsidP="00EA2603">
      <w:pPr>
        <w:pStyle w:val="ListParagraph"/>
        <w:ind w:left="1800"/>
      </w:pPr>
    </w:p>
    <w:p w14:paraId="549A8ED9" w14:textId="77777777" w:rsidR="00EA2603" w:rsidRPr="002330DA" w:rsidRDefault="00EA2603" w:rsidP="00EA2603">
      <w:pPr>
        <w:pStyle w:val="ListParagraph"/>
        <w:numPr>
          <w:ilvl w:val="1"/>
          <w:numId w:val="92"/>
        </w:numPr>
      </w:pPr>
      <w:r w:rsidRPr="00BD0FC2">
        <w:t>loss adjustment of measurement data is not permitted; and</w:t>
      </w:r>
    </w:p>
    <w:p w14:paraId="4866F618" w14:textId="77777777" w:rsidR="00EA2603" w:rsidRPr="002330DA" w:rsidRDefault="00EA2603" w:rsidP="00EA2603">
      <w:pPr>
        <w:pStyle w:val="ListParagraph"/>
        <w:ind w:left="1800"/>
      </w:pPr>
    </w:p>
    <w:p w14:paraId="30FBD9B3" w14:textId="77777777" w:rsidR="00EA2603" w:rsidRDefault="00EA2603" w:rsidP="00EA2603">
      <w:pPr>
        <w:pStyle w:val="ListParagraph"/>
        <w:numPr>
          <w:ilvl w:val="1"/>
          <w:numId w:val="92"/>
        </w:numPr>
      </w:pPr>
      <w:r w:rsidRPr="009C3EAD">
        <w:t>all Load reductions must be metered using a revenue meter that complies with Measurement Canada standards; statistical methods, operational meters, SCADA (supervisory control and data acquisition) and other non-meter means are not permitted.</w:t>
      </w:r>
    </w:p>
    <w:p w14:paraId="48DB7FD8" w14:textId="77777777" w:rsidR="00EA2603" w:rsidRDefault="00EA2603" w:rsidP="00EA2603">
      <w:pPr>
        <w:pStyle w:val="ListParagraph"/>
      </w:pPr>
    </w:p>
    <w:p w14:paraId="27C456D0" w14:textId="77777777" w:rsidR="00EA2603" w:rsidRDefault="00EA2603" w:rsidP="003917D3">
      <w:pPr>
        <w:pStyle w:val="AppendixHead3"/>
      </w:pPr>
      <w:r>
        <w:t>Contributor Management</w:t>
      </w:r>
    </w:p>
    <w:p w14:paraId="32433F22" w14:textId="77777777" w:rsidR="00EA2603" w:rsidRPr="008A6936" w:rsidRDefault="00EA2603" w:rsidP="00527782">
      <w:pPr>
        <w:spacing w:before="120"/>
      </w:pPr>
      <w:r>
        <w:t>DRMPs</w:t>
      </w:r>
      <w:r w:rsidRPr="008A6936">
        <w:t xml:space="preserve"> may not increase their </w:t>
      </w:r>
      <w:r>
        <w:t>M</w:t>
      </w:r>
      <w:r w:rsidRPr="008A6936">
        <w:t xml:space="preserve">onthly or </w:t>
      </w:r>
      <w:r>
        <w:t>D</w:t>
      </w:r>
      <w:r w:rsidRPr="008A6936">
        <w:t xml:space="preserve">aily </w:t>
      </w:r>
      <w:r>
        <w:t xml:space="preserve">Contracted </w:t>
      </w:r>
      <w:r w:rsidRPr="008A6936">
        <w:t xml:space="preserve">MW </w:t>
      </w:r>
      <w:r>
        <w:t xml:space="preserve">in any given month </w:t>
      </w:r>
      <w:r w:rsidRPr="008A6936">
        <w:t>above the</w:t>
      </w:r>
      <w:r>
        <w:t>ir</w:t>
      </w:r>
      <w:r w:rsidRPr="008A6936">
        <w:t xml:space="preserve"> total</w:t>
      </w:r>
      <w:r>
        <w:t xml:space="preserve"> aggregated MW zonal cap for each IESO CBDR Resource.  Each DRMP will be provided a DR Zonal MW cap at the start of the CBDR program for each IESO CBDR Resource for which they have active DR Accounts and Contract Schedules. The zonal cap will be the maximum amount of MW that a DRMP can subscribe on aggregate within an IESO CBDR Resource.</w:t>
      </w:r>
    </w:p>
    <w:p w14:paraId="58D9BF76" w14:textId="77777777" w:rsidR="00EA2603" w:rsidRDefault="00EA2603" w:rsidP="00527782">
      <w:r w:rsidRPr="008A6936">
        <w:t xml:space="preserve">Contributor </w:t>
      </w:r>
      <w:r>
        <w:t xml:space="preserve">changes </w:t>
      </w:r>
      <w:r w:rsidRPr="008A6936">
        <w:t xml:space="preserve">will fall under two categories: </w:t>
      </w:r>
      <w:r w:rsidRPr="008A6936">
        <w:rPr>
          <w:u w:val="single"/>
        </w:rPr>
        <w:t>Remove</w:t>
      </w:r>
      <w:r w:rsidRPr="008A6936">
        <w:t xml:space="preserve"> or </w:t>
      </w:r>
      <w:r w:rsidRPr="008A6936">
        <w:rPr>
          <w:u w:val="single"/>
        </w:rPr>
        <w:t>Add</w:t>
      </w:r>
      <w:r w:rsidRPr="008A6936">
        <w:t xml:space="preserve">. </w:t>
      </w:r>
      <w:r>
        <w:t>DRMPs</w:t>
      </w:r>
      <w:r w:rsidRPr="008A6936">
        <w:t xml:space="preserve"> must state the existing DR Account and Contract Schedule that any </w:t>
      </w:r>
      <w:r>
        <w:t>c</w:t>
      </w:r>
      <w:r w:rsidRPr="008A6936">
        <w:t>ontributor is being removed from or added to</w:t>
      </w:r>
      <w:r>
        <w:t xml:space="preserve"> when submitting their changes. Changes must be communicated to </w:t>
      </w:r>
      <w:hyperlink r:id="rId107" w:history="1">
        <w:r>
          <w:rPr>
            <w:rStyle w:val="Hyperlink"/>
          </w:rPr>
          <w:t>CBDR.MV@ieso.ca</w:t>
        </w:r>
      </w:hyperlink>
      <w:r>
        <w:rPr>
          <w:color w:val="1F497D"/>
        </w:rPr>
        <w:t xml:space="preserve"> </w:t>
      </w:r>
      <w:r w:rsidRPr="00833F0A">
        <w:t xml:space="preserve">using the </w:t>
      </w:r>
      <w:r>
        <w:t>CBDR Contributor Form (available on the Market Rules and Manuals page)</w:t>
      </w:r>
      <w:r w:rsidRPr="008A6936">
        <w:t xml:space="preserve">. No new DR Accounts or Contract Schedules will be created under CBDR. </w:t>
      </w:r>
      <w:r>
        <w:t xml:space="preserve"> Contributor management must follow the </w:t>
      </w:r>
      <w:r w:rsidRPr="002C2B53">
        <w:t xml:space="preserve">CBDR </w:t>
      </w:r>
      <w:r>
        <w:t>P</w:t>
      </w:r>
      <w:r w:rsidRPr="002C2B53">
        <w:t xml:space="preserve">rocessing </w:t>
      </w:r>
      <w:r>
        <w:t>T</w:t>
      </w:r>
      <w:r w:rsidRPr="002C2B53">
        <w:t>imeline</w:t>
      </w:r>
      <w:r>
        <w:t>s</w:t>
      </w:r>
      <w:r w:rsidRPr="002C2B53">
        <w:t xml:space="preserve"> document available on the </w:t>
      </w:r>
      <w:r w:rsidRPr="0025074E">
        <w:rPr>
          <w:i/>
        </w:rPr>
        <w:t>Capacity Based Demand Response Program</w:t>
      </w:r>
      <w:r w:rsidRPr="002C2B53">
        <w:t xml:space="preserve"> webpage</w:t>
      </w:r>
      <w:r>
        <w:t>.</w:t>
      </w:r>
      <w:r w:rsidRPr="001F3E31">
        <w:t xml:space="preserve"> </w:t>
      </w:r>
      <w:r w:rsidRPr="008A6936">
        <w:t xml:space="preserve">Contributor changes will occur in the order requested by the </w:t>
      </w:r>
      <w:r>
        <w:t xml:space="preserve">DRMP </w:t>
      </w:r>
      <w:r w:rsidRPr="008A6936">
        <w:t>in the contributor change email and the following rules will apply under each scenario.</w:t>
      </w:r>
    </w:p>
    <w:p w14:paraId="3492EFFA" w14:textId="77777777" w:rsidR="00EA2603" w:rsidRPr="003917D3" w:rsidRDefault="00EA2603" w:rsidP="00DA1C34">
      <w:pPr>
        <w:pStyle w:val="AppendixHead3"/>
        <w:numPr>
          <w:ilvl w:val="3"/>
          <w:numId w:val="6"/>
        </w:numPr>
        <w:ind w:left="1080"/>
      </w:pPr>
      <w:r w:rsidRPr="003917D3">
        <w:t xml:space="preserve">Removing a Contributor </w:t>
      </w:r>
    </w:p>
    <w:p w14:paraId="040D290F" w14:textId="77777777" w:rsidR="00EA2603" w:rsidRPr="00966B12" w:rsidRDefault="00EA2603" w:rsidP="00527782">
      <w:pPr>
        <w:spacing w:before="120"/>
      </w:pPr>
      <w:r w:rsidRPr="008A6936">
        <w:t>Removing</w:t>
      </w:r>
      <w:r>
        <w:t xml:space="preserve"> a contributor will reduce the M</w:t>
      </w:r>
      <w:r w:rsidRPr="008A6936">
        <w:t>onthly</w:t>
      </w:r>
      <w:r>
        <w:t xml:space="preserve"> Contracted</w:t>
      </w:r>
      <w:r w:rsidRPr="008A6936">
        <w:t xml:space="preserve"> MW under a</w:t>
      </w:r>
      <w:r>
        <w:t xml:space="preserve"> DRMP’s IESO</w:t>
      </w:r>
      <w:r w:rsidRPr="008A6936">
        <w:t xml:space="preserve"> CBDR </w:t>
      </w:r>
      <w:r>
        <w:t>R</w:t>
      </w:r>
      <w:r w:rsidRPr="008A6936">
        <w:t xml:space="preserve">esource for some or all months </w:t>
      </w:r>
      <w:r>
        <w:t xml:space="preserve">and </w:t>
      </w:r>
      <w:r w:rsidRPr="008A6936">
        <w:t>so</w:t>
      </w:r>
      <w:r>
        <w:t>,</w:t>
      </w:r>
      <w:r w:rsidRPr="008A6936">
        <w:t xml:space="preserve"> will be accepted under all conditions. The </w:t>
      </w:r>
      <w:r>
        <w:t>c</w:t>
      </w:r>
      <w:r w:rsidRPr="008A6936">
        <w:t xml:space="preserve">ontributor will be removed from the </w:t>
      </w:r>
      <w:r>
        <w:t>C</w:t>
      </w:r>
      <w:r w:rsidRPr="008A6936">
        <w:t>ontract</w:t>
      </w:r>
      <w:r>
        <w:t xml:space="preserve"> S</w:t>
      </w:r>
      <w:r w:rsidRPr="008A6936">
        <w:t xml:space="preserve">chedule and </w:t>
      </w:r>
      <w:r>
        <w:t xml:space="preserve">will reduce the aggregate MW subscription for the CBDR Resource – leaving space for DRMPs to add contributors.  </w:t>
      </w:r>
      <w:r w:rsidRPr="00966B12">
        <w:t xml:space="preserve">Removing a Contributor will not reduce the participant’s zonal cap; it will reduce subscription and will create space for capacity to be added. </w:t>
      </w:r>
    </w:p>
    <w:p w14:paraId="07ECD2C2" w14:textId="77777777" w:rsidR="00EA2603" w:rsidRPr="003917D3" w:rsidRDefault="00EA2603" w:rsidP="00DA1C34">
      <w:pPr>
        <w:pStyle w:val="AppendixHead3"/>
        <w:numPr>
          <w:ilvl w:val="3"/>
          <w:numId w:val="6"/>
        </w:numPr>
        <w:ind w:left="1080"/>
      </w:pPr>
      <w:r w:rsidRPr="003917D3">
        <w:t>Adding a Contributor</w:t>
      </w:r>
    </w:p>
    <w:p w14:paraId="235E19B2" w14:textId="77777777" w:rsidR="00EA2603" w:rsidRDefault="00EA2603" w:rsidP="00527782">
      <w:pPr>
        <w:pStyle w:val="BodyText"/>
      </w:pPr>
      <w:r w:rsidRPr="008A6936">
        <w:t>Adding a contributor will only be accepted if the addition does not</w:t>
      </w:r>
      <w:r>
        <w:t xml:space="preserve"> put a DRMPs aggregate zonal DR capacity subscription over its set DR Zonal MW Cap. </w:t>
      </w:r>
      <w:r w:rsidRPr="008A6936">
        <w:t xml:space="preserve">Since participants may oversubscribe contributors in a </w:t>
      </w:r>
      <w:r>
        <w:t>C</w:t>
      </w:r>
      <w:r w:rsidRPr="008A6936">
        <w:t xml:space="preserve">ontract </w:t>
      </w:r>
      <w:r>
        <w:t>Schedule, the IESO will add the c</w:t>
      </w:r>
      <w:r w:rsidRPr="008A6936">
        <w:t xml:space="preserve">ontributor to a </w:t>
      </w:r>
      <w:r>
        <w:t>C</w:t>
      </w:r>
      <w:r w:rsidRPr="008A6936">
        <w:t xml:space="preserve">ontract </w:t>
      </w:r>
      <w:r>
        <w:t>S</w:t>
      </w:r>
      <w:r w:rsidRPr="008A6936">
        <w:t xml:space="preserve">chedule but will only allow the affected </w:t>
      </w:r>
      <w:r>
        <w:t>C</w:t>
      </w:r>
      <w:r w:rsidRPr="008A6936">
        <w:t xml:space="preserve">ontract </w:t>
      </w:r>
      <w:r>
        <w:t>S</w:t>
      </w:r>
      <w:r w:rsidRPr="008A6936">
        <w:t xml:space="preserve">chedule’s </w:t>
      </w:r>
      <w:r>
        <w:t>M</w:t>
      </w:r>
      <w:r w:rsidRPr="008A6936">
        <w:t>onthly</w:t>
      </w:r>
      <w:r>
        <w:t xml:space="preserve"> Contracted</w:t>
      </w:r>
      <w:r w:rsidRPr="008A6936">
        <w:t xml:space="preserve"> MW to increase to the CBDR </w:t>
      </w:r>
      <w:r>
        <w:t>R</w:t>
      </w:r>
      <w:r w:rsidRPr="008A6936">
        <w:t>esource’s maximum capacity and any remaining contracted capacity of the contributor will be deemed as oversubscription.</w:t>
      </w:r>
    </w:p>
    <w:p w14:paraId="6C0C847F" w14:textId="77777777" w:rsidR="00EA2603" w:rsidRPr="00EB1A26" w:rsidRDefault="00EA2603" w:rsidP="00527782">
      <w:pPr>
        <w:pStyle w:val="BodyText"/>
      </w:pPr>
      <w:r w:rsidRPr="00EB1A26">
        <w:t xml:space="preserve">Upon </w:t>
      </w:r>
      <w:r>
        <w:t>transitioning</w:t>
      </w:r>
      <w:r w:rsidRPr="00EB1A26">
        <w:t xml:space="preserve"> in</w:t>
      </w:r>
      <w:r>
        <w:t>to</w:t>
      </w:r>
      <w:r w:rsidRPr="00EB1A26">
        <w:t xml:space="preserve"> the CBDR program, </w:t>
      </w:r>
      <w:r>
        <w:t xml:space="preserve">CBDR </w:t>
      </w:r>
      <w:r w:rsidRPr="00EB1A26">
        <w:t xml:space="preserve">Contract Schedules </w:t>
      </w:r>
      <w:r>
        <w:t xml:space="preserve">were established using terms </w:t>
      </w:r>
      <w:r w:rsidRPr="00EB1A26">
        <w:t>that reflected the quantities, expiry dates and Availability Rates</w:t>
      </w:r>
      <w:r>
        <w:t xml:space="preserve"> </w:t>
      </w:r>
      <w:r w:rsidRPr="00EB1A26">
        <w:t xml:space="preserve">of </w:t>
      </w:r>
      <w:r>
        <w:t xml:space="preserve">DR3 </w:t>
      </w:r>
      <w:r w:rsidRPr="00EB1A26">
        <w:t xml:space="preserve">Contract Schedules </w:t>
      </w:r>
      <w:r>
        <w:t>that had existed under the DR3 P</w:t>
      </w:r>
      <w:r w:rsidRPr="00EB1A26">
        <w:t xml:space="preserve">rogram. </w:t>
      </w:r>
      <w:r w:rsidRPr="0028350F">
        <w:t xml:space="preserve">In addition, </w:t>
      </w:r>
      <w:r>
        <w:t xml:space="preserve">each CBDR Contract Schedule has a </w:t>
      </w:r>
      <w:r w:rsidRPr="0028350F">
        <w:t>monthly DR capacity quantit</w:t>
      </w:r>
      <w:r>
        <w:t>y</w:t>
      </w:r>
      <w:r w:rsidRPr="0028350F">
        <w:t>, referred to as the Contractual MW</w:t>
      </w:r>
      <w:r>
        <w:t>, established to</w:t>
      </w:r>
      <w:r w:rsidRPr="0028350F">
        <w:t xml:space="preserve"> provide a reference threshold for the addition and removal of contributors to aid DRMPs in managing contributors across their Contract Schedules.</w:t>
      </w:r>
    </w:p>
    <w:p w14:paraId="3743FD3D" w14:textId="77777777" w:rsidR="00EA2603" w:rsidRPr="00EB1A26" w:rsidRDefault="00EA2603" w:rsidP="00527782">
      <w:pPr>
        <w:pStyle w:val="BodyText"/>
      </w:pPr>
      <w:r w:rsidRPr="00EB1A26">
        <w:t xml:space="preserve">For greater clarity, contributor changes that impact </w:t>
      </w:r>
      <w:r>
        <w:t xml:space="preserve">CBDR </w:t>
      </w:r>
      <w:r w:rsidRPr="00EB1A26">
        <w:t>Contract Schedules are subject to the following rules:</w:t>
      </w:r>
    </w:p>
    <w:p w14:paraId="4656E5CD" w14:textId="77777777" w:rsidR="00EA2603" w:rsidRPr="00EB1A26" w:rsidRDefault="00EA2603" w:rsidP="006B5440">
      <w:pPr>
        <w:pStyle w:val="ListParagraph"/>
        <w:numPr>
          <w:ilvl w:val="0"/>
          <w:numId w:val="124"/>
        </w:numPr>
        <w:spacing w:after="200" w:line="276" w:lineRule="auto"/>
        <w:rPr>
          <w:bCs/>
        </w:rPr>
      </w:pPr>
      <w:r w:rsidRPr="00EB1A26">
        <w:rPr>
          <w:bCs/>
        </w:rPr>
        <w:t>A Contract Schedule’s Monthly Contracted MW can be increased to accommodate the addition of a contributor up to its Contractual MW quantity.</w:t>
      </w:r>
    </w:p>
    <w:p w14:paraId="0EBABEBF" w14:textId="77777777" w:rsidR="00EA2603" w:rsidRPr="00EB1A26" w:rsidRDefault="00EA2603" w:rsidP="00527782">
      <w:pPr>
        <w:pStyle w:val="ListParagraph"/>
        <w:rPr>
          <w:bCs/>
        </w:rPr>
      </w:pPr>
    </w:p>
    <w:p w14:paraId="2D344DA0" w14:textId="77777777" w:rsidR="00EA2603" w:rsidRPr="00EB1A26" w:rsidRDefault="00EA2603" w:rsidP="006B5440">
      <w:pPr>
        <w:pStyle w:val="ListParagraph"/>
        <w:numPr>
          <w:ilvl w:val="0"/>
          <w:numId w:val="124"/>
        </w:numPr>
        <w:spacing w:after="200" w:line="276" w:lineRule="auto"/>
        <w:rPr>
          <w:bCs/>
        </w:rPr>
      </w:pPr>
      <w:r w:rsidRPr="00EB1A26">
        <w:rPr>
          <w:bCs/>
        </w:rPr>
        <w:t>A Contract Schedule’s Monthly Contracted MW may be increased beyond its Contractual MW quantity if:</w:t>
      </w:r>
    </w:p>
    <w:p w14:paraId="4A92BB5B" w14:textId="77777777" w:rsidR="00EA2603" w:rsidRPr="00EB1A26" w:rsidRDefault="00EA2603" w:rsidP="006B5440">
      <w:pPr>
        <w:pStyle w:val="ListParagraph"/>
        <w:numPr>
          <w:ilvl w:val="2"/>
          <w:numId w:val="124"/>
        </w:numPr>
        <w:spacing w:after="200" w:line="276" w:lineRule="auto"/>
        <w:rPr>
          <w:bCs/>
        </w:rPr>
      </w:pPr>
      <w:r w:rsidRPr="00EB1A26">
        <w:rPr>
          <w:bCs/>
        </w:rPr>
        <w:t xml:space="preserve">The increase does not exceed </w:t>
      </w:r>
      <w:r>
        <w:rPr>
          <w:bCs/>
        </w:rPr>
        <w:t xml:space="preserve">the </w:t>
      </w:r>
      <w:r w:rsidRPr="00EB1A26">
        <w:rPr>
          <w:bCs/>
        </w:rPr>
        <w:t xml:space="preserve">difference between the DR Zonal MW Cap and the sum of Monthly Contracted MW </w:t>
      </w:r>
      <w:r>
        <w:rPr>
          <w:bCs/>
        </w:rPr>
        <w:t>of</w:t>
      </w:r>
      <w:r w:rsidRPr="00EB1A26">
        <w:rPr>
          <w:bCs/>
        </w:rPr>
        <w:t xml:space="preserve"> all Contract Schedules in that CBDR Resource for that month; and</w:t>
      </w:r>
    </w:p>
    <w:p w14:paraId="7A2A6FCA" w14:textId="77777777" w:rsidR="00EA2603" w:rsidRPr="00906BEF" w:rsidRDefault="00EA2603" w:rsidP="006B5440">
      <w:pPr>
        <w:pStyle w:val="ListParagraph"/>
        <w:numPr>
          <w:ilvl w:val="2"/>
          <w:numId w:val="124"/>
        </w:numPr>
        <w:spacing w:after="200" w:line="276" w:lineRule="auto"/>
        <w:rPr>
          <w:bCs/>
        </w:rPr>
      </w:pPr>
      <w:r w:rsidRPr="00906BEF">
        <w:rPr>
          <w:bCs/>
        </w:rPr>
        <w:t xml:space="preserve">All Contract Schedules in that CBDR Resource for the DRMP have been subscribed to a Monthly Contracted MW equal to or greater than its Contractual MW. </w:t>
      </w:r>
    </w:p>
    <w:p w14:paraId="490FA180" w14:textId="77777777" w:rsidR="00EA2603" w:rsidRDefault="00EA2603" w:rsidP="00527782">
      <w:pPr>
        <w:pStyle w:val="BodyText"/>
      </w:pPr>
      <w:r w:rsidRPr="00EB1A26">
        <w:rPr>
          <w:bCs/>
        </w:rPr>
        <w:t xml:space="preserve">Should the amount of DR capacity provided by </w:t>
      </w:r>
      <w:r>
        <w:rPr>
          <w:bCs/>
        </w:rPr>
        <w:t>c</w:t>
      </w:r>
      <w:r w:rsidRPr="00EB1A26">
        <w:rPr>
          <w:bCs/>
        </w:rPr>
        <w:t>ontributors to a Contract Schedule fall below its Contractual MW either through the removal o</w:t>
      </w:r>
      <w:r>
        <w:rPr>
          <w:bCs/>
        </w:rPr>
        <w:t>f</w:t>
      </w:r>
      <w:r w:rsidRPr="00EB1A26">
        <w:rPr>
          <w:bCs/>
        </w:rPr>
        <w:t xml:space="preserve"> a </w:t>
      </w:r>
      <w:r>
        <w:rPr>
          <w:bCs/>
        </w:rPr>
        <w:t>c</w:t>
      </w:r>
      <w:r w:rsidRPr="00EB1A26">
        <w:rPr>
          <w:bCs/>
        </w:rPr>
        <w:t xml:space="preserve">ontributor or through Contributor Loss, the DRMP must replace that </w:t>
      </w:r>
      <w:r>
        <w:rPr>
          <w:bCs/>
        </w:rPr>
        <w:t>c</w:t>
      </w:r>
      <w:r w:rsidRPr="00EB1A26">
        <w:rPr>
          <w:bCs/>
        </w:rPr>
        <w:t xml:space="preserve">ontributor to return the Contract Schedule to at least its Contractual MW. Otherwise, Contract Schedules whose Monthly Contracted MW have been increased above </w:t>
      </w:r>
      <w:r>
        <w:rPr>
          <w:bCs/>
        </w:rPr>
        <w:t>the</w:t>
      </w:r>
      <w:r w:rsidRPr="00EB1A26">
        <w:rPr>
          <w:bCs/>
        </w:rPr>
        <w:t xml:space="preserve"> Contractual MW will </w:t>
      </w:r>
      <w:r>
        <w:rPr>
          <w:bCs/>
        </w:rPr>
        <w:t xml:space="preserve">be </w:t>
      </w:r>
      <w:r w:rsidRPr="00EB1A26">
        <w:rPr>
          <w:bCs/>
        </w:rPr>
        <w:t xml:space="preserve">reduced back to </w:t>
      </w:r>
      <w:r>
        <w:rPr>
          <w:bCs/>
        </w:rPr>
        <w:t>the</w:t>
      </w:r>
      <w:r w:rsidRPr="00EB1A26">
        <w:rPr>
          <w:bCs/>
        </w:rPr>
        <w:t xml:space="preserve"> Contractual MW value until such time as condition 2</w:t>
      </w:r>
      <w:r>
        <w:rPr>
          <w:bCs/>
        </w:rPr>
        <w:t xml:space="preserve"> (</w:t>
      </w:r>
      <w:r w:rsidRPr="00EB1A26">
        <w:rPr>
          <w:bCs/>
        </w:rPr>
        <w:t>ii</w:t>
      </w:r>
      <w:r>
        <w:rPr>
          <w:bCs/>
        </w:rPr>
        <w:t>)</w:t>
      </w:r>
      <w:r w:rsidRPr="00EB1A26">
        <w:rPr>
          <w:bCs/>
        </w:rPr>
        <w:t xml:space="preserve"> above is satisfied.</w:t>
      </w:r>
    </w:p>
    <w:p w14:paraId="77B394EC" w14:textId="77777777" w:rsidR="00EA2603" w:rsidRPr="003917D3" w:rsidRDefault="00EA2603" w:rsidP="00DA1C34">
      <w:pPr>
        <w:pStyle w:val="AppendixHead3"/>
        <w:numPr>
          <w:ilvl w:val="3"/>
          <w:numId w:val="6"/>
        </w:numPr>
        <w:tabs>
          <w:tab w:val="left" w:pos="1080"/>
        </w:tabs>
        <w:ind w:left="1080"/>
      </w:pPr>
      <w:r w:rsidRPr="003917D3">
        <w:t>Contributor Loss</w:t>
      </w:r>
    </w:p>
    <w:p w14:paraId="3F651161" w14:textId="77777777" w:rsidR="00EA2603" w:rsidRDefault="00EA2603" w:rsidP="00EA2603">
      <w:pPr>
        <w:spacing w:before="120" w:after="120"/>
      </w:pPr>
      <w:r>
        <w:t>DRMPs</w:t>
      </w:r>
      <w:r w:rsidRPr="008A6936">
        <w:t xml:space="preserve"> must notify the IESO as soon as possible </w:t>
      </w:r>
      <w:r>
        <w:t>by emailing:</w:t>
      </w:r>
      <w:r w:rsidRPr="008A6936">
        <w:t xml:space="preserve"> </w:t>
      </w:r>
      <w:hyperlink r:id="rId108" w:history="1">
        <w:r w:rsidRPr="008A6936">
          <w:rPr>
            <w:rStyle w:val="Hyperlink"/>
          </w:rPr>
          <w:t>cbdr@ieso.ca</w:t>
        </w:r>
      </w:hyperlink>
      <w:r>
        <w:rPr>
          <w:rStyle w:val="Hyperlink"/>
        </w:rPr>
        <w:t xml:space="preserve"> </w:t>
      </w:r>
      <w:r w:rsidRPr="008A6936">
        <w:t xml:space="preserve">to advise </w:t>
      </w:r>
      <w:r>
        <w:t xml:space="preserve">the IESO </w:t>
      </w:r>
      <w:r w:rsidRPr="008A6936">
        <w:t xml:space="preserve">that </w:t>
      </w:r>
      <w:r>
        <w:t>they have suffered a Contributor Loss. The email should identify both the contributor and the capacity that was lost as well as identify which DR Account and Contract Schedule the contributor belonged to.  T</w:t>
      </w:r>
      <w:r w:rsidRPr="008A6936">
        <w:t xml:space="preserve">he IESO will update the </w:t>
      </w:r>
      <w:r>
        <w:t>DRMPs</w:t>
      </w:r>
      <w:r w:rsidRPr="008A6936">
        <w:t xml:space="preserve"> </w:t>
      </w:r>
      <w:r>
        <w:t>M</w:t>
      </w:r>
      <w:r w:rsidRPr="008A6936">
        <w:t xml:space="preserve">onthly </w:t>
      </w:r>
      <w:r>
        <w:t>C</w:t>
      </w:r>
      <w:r w:rsidRPr="008A6936">
        <w:t xml:space="preserve">ontracted MW to reflect the capacity that has been lost. A DRMP should consider a </w:t>
      </w:r>
      <w:r>
        <w:t>C</w:t>
      </w:r>
      <w:r w:rsidRPr="008A6936">
        <w:t xml:space="preserve">ontributor </w:t>
      </w:r>
      <w:r>
        <w:t>L</w:t>
      </w:r>
      <w:r w:rsidRPr="008A6936">
        <w:t xml:space="preserve">oss to be any sudden loss of capacity that needs to be communicated to the IESO in order to keep an accurate record of actual available capacity. </w:t>
      </w:r>
    </w:p>
    <w:p w14:paraId="23588298" w14:textId="77777777" w:rsidR="00EA2603" w:rsidRDefault="00EA2603" w:rsidP="00EA2603">
      <w:r>
        <w:t>The C</w:t>
      </w:r>
      <w:r w:rsidRPr="008A6936">
        <w:t xml:space="preserve">ontributor </w:t>
      </w:r>
      <w:r>
        <w:t>L</w:t>
      </w:r>
      <w:r w:rsidRPr="008A6936">
        <w:t>oss notice al</w:t>
      </w:r>
      <w:r>
        <w:t>lows DRMPs to communicate lost c</w:t>
      </w:r>
      <w:r w:rsidRPr="008A6936">
        <w:t xml:space="preserve">ontributors more urgently than the CBDR timelines for </w:t>
      </w:r>
      <w:r>
        <w:t xml:space="preserve">removing </w:t>
      </w:r>
      <w:r w:rsidRPr="008A6936">
        <w:t xml:space="preserve">a </w:t>
      </w:r>
      <w:r>
        <w:t>c</w:t>
      </w:r>
      <w:r w:rsidRPr="008A6936">
        <w:t>ontributor al</w:t>
      </w:r>
      <w:r>
        <w:t>low. In addition to filing the C</w:t>
      </w:r>
      <w:r w:rsidRPr="008A6936">
        <w:t xml:space="preserve">ontributor </w:t>
      </w:r>
      <w:r>
        <w:t>L</w:t>
      </w:r>
      <w:r w:rsidRPr="008A6936">
        <w:t xml:space="preserve">oss, the DRMP will have to remove that </w:t>
      </w:r>
      <w:r>
        <w:t>c</w:t>
      </w:r>
      <w:r w:rsidRPr="008A6936">
        <w:t xml:space="preserve">ontributor via a M&amp;V Plan update at the next available opportunity according to the </w:t>
      </w:r>
      <w:r w:rsidRPr="00F832EE">
        <w:t xml:space="preserve">CBDR </w:t>
      </w:r>
      <w:r>
        <w:t>Processing T</w:t>
      </w:r>
      <w:r w:rsidRPr="00F832EE">
        <w:t>imeline</w:t>
      </w:r>
      <w:r w:rsidRPr="008A6936">
        <w:t>. Removal of a contributor is described above. The r</w:t>
      </w:r>
      <w:r>
        <w:t>educed</w:t>
      </w:r>
      <w:r w:rsidRPr="008A6936">
        <w:t xml:space="preserve"> MW may be replaced at any time before the expiry of the CBDR schedule term, but those MW must be replaced within the same CBDR Resource or ‘zone’</w:t>
      </w:r>
      <w:r>
        <w:t xml:space="preserve"> that they were removed from</w:t>
      </w:r>
      <w:r w:rsidRPr="008A6936">
        <w:t xml:space="preserve"> in order to respect the modelling of resource capacity within the IESO system. </w:t>
      </w:r>
    </w:p>
    <w:p w14:paraId="1596B838" w14:textId="77777777" w:rsidR="00EA2603" w:rsidRPr="009C3EAD" w:rsidRDefault="00EA2603" w:rsidP="00F71000">
      <w:pPr>
        <w:pStyle w:val="AppendixHead3"/>
      </w:pPr>
      <w:r w:rsidRPr="009C3EAD">
        <w:t>Demand Response Measurement Data</w:t>
      </w:r>
    </w:p>
    <w:p w14:paraId="5225FC42" w14:textId="77777777" w:rsidR="00EA2603" w:rsidRPr="009C3EAD" w:rsidRDefault="00EA2603" w:rsidP="00EA2603">
      <w:pPr>
        <w:spacing w:before="120" w:after="120"/>
      </w:pPr>
      <w:r w:rsidRPr="009C3EAD">
        <w:t>To allow the IESO to determine the CBDR Baseline, performance set-offs, performance breaches, and settlement, weekly submission of demand response (DR) Class 2 and Class 3 measurement data is required.  A week starts on a Saturday and ends on a Friday.  M&amp;V Plans will be used to verify measurement data for accuracy and ensure adherence to the Market Rules.</w:t>
      </w:r>
    </w:p>
    <w:p w14:paraId="164B477F" w14:textId="77777777" w:rsidR="00EA2603" w:rsidRPr="009C3EAD" w:rsidRDefault="00EA2603" w:rsidP="00EA2603">
      <w:pPr>
        <w:spacing w:before="120" w:after="120"/>
      </w:pPr>
      <w:r w:rsidRPr="009C3EAD">
        <w:t>For DRMPs that have registered Class 1 measurement</w:t>
      </w:r>
      <w:r w:rsidRPr="009C3EAD" w:rsidDel="00B03E7D">
        <w:t xml:space="preserve"> </w:t>
      </w:r>
      <w:r w:rsidRPr="009C3EAD">
        <w:t>data, we will use the revenue measurement data that is collected as part of our market settlement process.  When applicable, such DRMPs are to provide After Deadline Outage Day for each DR Account by 15:00 EST on the first business day of the second week following the week to which the data relates.</w:t>
      </w:r>
      <w:r>
        <w:t xml:space="preserve">  DRMPs may take one After Deadline Outage Day per week.</w:t>
      </w:r>
    </w:p>
    <w:p w14:paraId="61028C9B" w14:textId="77777777" w:rsidR="00EA2603" w:rsidRPr="009C3EAD" w:rsidRDefault="00EA2603" w:rsidP="00EA2603">
      <w:pPr>
        <w:pStyle w:val="BodyText"/>
      </w:pPr>
      <w:r w:rsidRPr="009C3EAD">
        <w:t xml:space="preserve">For DRMPs that have registered Class 2 or Class 3 measurement data, you will be required to submit </w:t>
      </w:r>
      <w:r>
        <w:t xml:space="preserve">to: </w:t>
      </w:r>
      <w:hyperlink r:id="rId109" w:history="1">
        <w:r>
          <w:rPr>
            <w:rStyle w:val="Hyperlink"/>
          </w:rPr>
          <w:t>CBDR.Datafiles@ieso.ca</w:t>
        </w:r>
      </w:hyperlink>
      <w:r w:rsidRPr="00054139">
        <w:t xml:space="preserve"> the following:</w:t>
      </w:r>
    </w:p>
    <w:p w14:paraId="39D8FC5D" w14:textId="77777777" w:rsidR="00EA2603" w:rsidRPr="009C3EAD" w:rsidRDefault="00EA2603" w:rsidP="00EA2603">
      <w:pPr>
        <w:pStyle w:val="BodyText"/>
        <w:numPr>
          <w:ilvl w:val="0"/>
          <w:numId w:val="94"/>
        </w:numPr>
      </w:pPr>
      <w:r w:rsidRPr="009C3EAD">
        <w:t xml:space="preserve">Upon request, a data file consisting of an initial set of 35 business days by 15:00 EST on the first business day of the first week of the </w:t>
      </w:r>
      <w:r>
        <w:t>program</w:t>
      </w:r>
      <w:r w:rsidRPr="009C3EAD">
        <w:t xml:space="preserve"> month (initial baseline data).</w:t>
      </w:r>
    </w:p>
    <w:p w14:paraId="54563E65" w14:textId="77777777" w:rsidR="00EA2603" w:rsidRPr="009C3EAD" w:rsidRDefault="00EA2603" w:rsidP="00EA2603">
      <w:pPr>
        <w:pStyle w:val="BodyText"/>
        <w:numPr>
          <w:ilvl w:val="0"/>
          <w:numId w:val="94"/>
        </w:numPr>
      </w:pPr>
      <w:r w:rsidRPr="009C3EAD">
        <w:t>On a weekly basis, weekly retail revenue measurement data (i.e. weekly data file), and After Deadline Outage Day for each DR Account by 15:00 EST on the first business day of the second week following the week to which the data relates (V1 measurement data).</w:t>
      </w:r>
      <w:r>
        <w:t xml:space="preserve">  DRMPs may take one After Deadline Outage Day per week.</w:t>
      </w:r>
    </w:p>
    <w:p w14:paraId="0BA494E4" w14:textId="77777777" w:rsidR="00EA2603" w:rsidRPr="009C3EAD" w:rsidRDefault="00EA2603" w:rsidP="00EA2603">
      <w:pPr>
        <w:pStyle w:val="BodyText"/>
        <w:numPr>
          <w:ilvl w:val="0"/>
          <w:numId w:val="94"/>
        </w:numPr>
      </w:pPr>
      <w:r w:rsidRPr="009C3EAD">
        <w:t>If applicable, revisions to the weekly measurement data files can be submitted by 15:00 EST on the last business day of the month following the month for which the data relates (V2 measurement data).  You will need to indicate which Intervals have been edited and why.</w:t>
      </w:r>
    </w:p>
    <w:p w14:paraId="43F0AD65" w14:textId="77777777" w:rsidR="00EA2603" w:rsidRPr="009C3EAD" w:rsidRDefault="00EA2603" w:rsidP="00EA2603">
      <w:pPr>
        <w:pStyle w:val="BodyText"/>
      </w:pPr>
      <w:r w:rsidRPr="009C3EAD">
        <w:t>The IESO has three (3) business days from the V1 measurement data submission deadline (as per the CBDR Processing Timelines document) to process the submitted data file(s) and will notify the DRMP if and only if there are any data file discrepancies or errors found.  Upon such notification, the weekly data files containing the data file discrepancies or errors will be deemed as not having been</w:t>
      </w:r>
      <w:r w:rsidRPr="00BD0FC2">
        <w:t xml:space="preserve"> </w:t>
      </w:r>
      <w:r w:rsidRPr="009C3EAD">
        <w:t xml:space="preserve">received by the IESO (i.e. undelivered) and the DRMP will be required to resubmit the weekly data without errors.  A measurement data set-off will apply.  More details on the measurement data set-off can be found in Section </w:t>
      </w:r>
      <w:r w:rsidRPr="003B3A9E">
        <w:t>1.6.24.6.5.</w:t>
      </w:r>
    </w:p>
    <w:p w14:paraId="0338C8DF" w14:textId="77777777" w:rsidR="00EA2603" w:rsidRPr="009C3EAD" w:rsidRDefault="00EA2603" w:rsidP="00EA2603">
      <w:pPr>
        <w:pStyle w:val="BodyText"/>
      </w:pPr>
      <w:r w:rsidRPr="009C3EAD">
        <w:t>In addition to the above noted measurement data, aggregators must submit a log by DR Account, of each contributor that was requested by the aggregator to Curtail by 15:00 EST on the last Business Day of the month following the activation month only for the days when CBDR was Activated.  The log shall contain the following information, the date and time of the request, duration of request, amount (in MW) of such request, and the contributor’s name.  This log will be assessed by the IESO periodically to validate that the DR Curtailment plans are followed through as defined in the M&amp;V Plan.</w:t>
      </w:r>
    </w:p>
    <w:p w14:paraId="347EC9EF" w14:textId="77777777" w:rsidR="00EA2603" w:rsidRPr="001016A4" w:rsidRDefault="00EA2603" w:rsidP="00DA1C34">
      <w:pPr>
        <w:pStyle w:val="AppendixHead3"/>
        <w:numPr>
          <w:ilvl w:val="3"/>
          <w:numId w:val="6"/>
        </w:numPr>
        <w:ind w:left="1080"/>
      </w:pPr>
      <w:r w:rsidRPr="001016A4">
        <w:t>Measurement Data Specification</w:t>
      </w:r>
    </w:p>
    <w:p w14:paraId="7F15B522" w14:textId="77777777" w:rsidR="00EA2603" w:rsidRPr="009C3EAD" w:rsidRDefault="00EA2603" w:rsidP="00EA2603">
      <w:pPr>
        <w:spacing w:before="120" w:after="120"/>
      </w:pPr>
      <w:r w:rsidRPr="009C3EAD">
        <w:t>This section applies to DRMPs that have Class 2 and Class 3 measurement data.</w:t>
      </w:r>
    </w:p>
    <w:p w14:paraId="7ED2CBFD" w14:textId="77777777" w:rsidR="00EA2603" w:rsidRPr="009C3EAD" w:rsidRDefault="00EA2603" w:rsidP="00EA2603">
      <w:pPr>
        <w:pStyle w:val="BodyText"/>
      </w:pPr>
      <w:r w:rsidRPr="009C3EAD">
        <w:t>DR measurement data is a feed of two channels of validated, edited, and estimated (VEE) data for each aggregated Facility (Class 2 measurement data) and direct Facility (Class 3 measurement</w:t>
      </w:r>
      <w:r w:rsidRPr="009C3EAD" w:rsidDel="00B03E7D">
        <w:t xml:space="preserve"> </w:t>
      </w:r>
      <w:r w:rsidRPr="009C3EAD">
        <w:t>data) for each DR Account at 5 minute Interval.  For CBDR, VEE consists of the following checks performed by the IESO and any problems (i.e. data file discrepancies or errors) will be communicated to DRMP:</w:t>
      </w:r>
    </w:p>
    <w:p w14:paraId="77E8A5D0" w14:textId="77777777" w:rsidR="00EA2603" w:rsidRPr="009C3EAD" w:rsidRDefault="00EA2603" w:rsidP="00EA2603">
      <w:pPr>
        <w:pStyle w:val="BodyText"/>
        <w:numPr>
          <w:ilvl w:val="0"/>
          <w:numId w:val="95"/>
        </w:numPr>
      </w:pPr>
      <w:r w:rsidRPr="009C3EAD">
        <w:t>Data does not have gaps (i.e. any 5 minute Interval missing from the data file),</w:t>
      </w:r>
    </w:p>
    <w:p w14:paraId="332E14F9" w14:textId="77777777" w:rsidR="00EA2603" w:rsidRPr="009C3EAD" w:rsidRDefault="00EA2603" w:rsidP="00EA2603">
      <w:pPr>
        <w:pStyle w:val="BodyText"/>
        <w:numPr>
          <w:ilvl w:val="0"/>
          <w:numId w:val="95"/>
        </w:numPr>
      </w:pPr>
      <w:r w:rsidRPr="009C3EAD">
        <w:t>Data does not have overlaps (i.e. any 5 minute Interval that is a duplicate in the data file), and</w:t>
      </w:r>
    </w:p>
    <w:p w14:paraId="09E76A67" w14:textId="77777777" w:rsidR="00EA2603" w:rsidRPr="009C3EAD" w:rsidRDefault="00EA2603" w:rsidP="00EA2603">
      <w:pPr>
        <w:pStyle w:val="BodyText"/>
        <w:numPr>
          <w:ilvl w:val="0"/>
          <w:numId w:val="95"/>
        </w:numPr>
      </w:pPr>
      <w:r w:rsidRPr="009C3EAD">
        <w:t>File format as defined below.</w:t>
      </w:r>
    </w:p>
    <w:p w14:paraId="0DE9B202" w14:textId="77777777" w:rsidR="00EA2603" w:rsidRPr="009C3EAD" w:rsidRDefault="00EA2603" w:rsidP="00EA2603">
      <w:pPr>
        <w:pStyle w:val="BodyText"/>
      </w:pPr>
      <w:r w:rsidRPr="009C3EAD">
        <w:t>Measurement data must be provided in a CSV (comma separated values) compatible with the IESO’s meter data collection application</w:t>
      </w:r>
      <w:r w:rsidRPr="009C3EAD">
        <w:rPr>
          <w:rStyle w:val="FootnoteReference"/>
        </w:rPr>
        <w:footnoteReference w:id="61"/>
      </w:r>
      <w:r w:rsidRPr="009C3EAD">
        <w:t>.  The CSV file shall contain two channels of 5 minute engineering unit values.  The unit of measurement is kWh delivered (withdrawn from the grid) for channel 1 and kWh received (injected into the grid) for channel 2.  The CSV file shall adhere to the following format corresponding to each column name:</w:t>
      </w:r>
    </w:p>
    <w:p w14:paraId="595EC03B" w14:textId="77777777" w:rsidR="00EA2603" w:rsidRPr="009C3EAD" w:rsidRDefault="00EA2603" w:rsidP="00EA2603">
      <w:pPr>
        <w:pStyle w:val="BodyText"/>
        <w:numPr>
          <w:ilvl w:val="0"/>
          <w:numId w:val="96"/>
        </w:numPr>
      </w:pPr>
      <w:r w:rsidRPr="009C3EAD">
        <w:t>Date: “YYYY/MM/DD”</w:t>
      </w:r>
    </w:p>
    <w:p w14:paraId="2301788B" w14:textId="77777777" w:rsidR="00EA2603" w:rsidRPr="009C3EAD" w:rsidRDefault="00EA2603" w:rsidP="00EA2603">
      <w:pPr>
        <w:pStyle w:val="BodyText"/>
        <w:numPr>
          <w:ilvl w:val="0"/>
          <w:numId w:val="96"/>
        </w:numPr>
      </w:pPr>
      <w:r w:rsidRPr="009C3EAD">
        <w:t>Time: “HH:MM”</w:t>
      </w:r>
    </w:p>
    <w:p w14:paraId="0A7A2F8F" w14:textId="77777777" w:rsidR="00EA2603" w:rsidRPr="009C3EAD" w:rsidRDefault="00EA2603" w:rsidP="00EA2603">
      <w:pPr>
        <w:pStyle w:val="BodyText"/>
        <w:numPr>
          <w:ilvl w:val="0"/>
          <w:numId w:val="96"/>
        </w:numPr>
      </w:pPr>
      <w:r w:rsidRPr="009C3EAD">
        <w:t>Ch1: Numeric “##.###” in kWh up to three decimal places</w:t>
      </w:r>
    </w:p>
    <w:p w14:paraId="0C7F4A3C" w14:textId="77777777" w:rsidR="00EA2603" w:rsidRPr="009C3EAD" w:rsidRDefault="00EA2603" w:rsidP="00EA2603">
      <w:pPr>
        <w:pStyle w:val="BodyText"/>
        <w:numPr>
          <w:ilvl w:val="0"/>
          <w:numId w:val="96"/>
        </w:numPr>
      </w:pPr>
      <w:r w:rsidRPr="009C3EAD">
        <w:t>Ch2: Numeric “###.###” in kWh up to three decimal places</w:t>
      </w:r>
    </w:p>
    <w:p w14:paraId="0A4F85A4" w14:textId="72D613A9" w:rsidR="00EA2603" w:rsidRPr="009C3EAD" w:rsidRDefault="00EA2603" w:rsidP="00DA1C34">
      <w:pPr>
        <w:pStyle w:val="TableCaption"/>
        <w:keepNext/>
        <w:pageBreakBefore/>
      </w:pPr>
      <w:bookmarkStart w:id="1636" w:name="_Toc35796444"/>
      <w:bookmarkStart w:id="1637" w:name="_Toc79657851"/>
      <w:r w:rsidRPr="009C3EAD">
        <w:t xml:space="preserve">Table </w:t>
      </w:r>
      <w:r w:rsidR="005D1E49">
        <w:t>E</w:t>
      </w:r>
      <w:r w:rsidR="00E27134" w:rsidRPr="009C3EAD">
        <w:t>–</w:t>
      </w:r>
      <w:r w:rsidR="005D1E49">
        <w:t>1</w:t>
      </w:r>
      <w:r w:rsidRPr="009C3EAD">
        <w:t>:  Example of Weekly Data File</w:t>
      </w:r>
      <w:bookmarkEnd w:id="1636"/>
      <w:bookmarkEnd w:id="1637"/>
    </w:p>
    <w:tbl>
      <w:tblPr>
        <w:tblStyle w:val="LightGrid-Accent1"/>
        <w:tblW w:w="5787" w:type="dxa"/>
        <w:jc w:val="center"/>
        <w:tblLook w:val="04A0" w:firstRow="1" w:lastRow="0" w:firstColumn="1" w:lastColumn="0" w:noHBand="0" w:noVBand="1"/>
        <w:tblDescription w:val="Table of Examples of Weekly Data File"/>
      </w:tblPr>
      <w:tblGrid>
        <w:gridCol w:w="2121"/>
        <w:gridCol w:w="1416"/>
        <w:gridCol w:w="1170"/>
        <w:gridCol w:w="1080"/>
      </w:tblGrid>
      <w:tr w:rsidR="00EA2603" w:rsidRPr="009C3EAD" w14:paraId="400F23D6" w14:textId="77777777" w:rsidTr="001E65B5">
        <w:trPr>
          <w:cnfStyle w:val="100000000000" w:firstRow="1" w:lastRow="0" w:firstColumn="0" w:lastColumn="0" w:oddVBand="0" w:evenVBand="0" w:oddHBand="0" w:evenHBand="0" w:firstRowFirstColumn="0" w:firstRowLastColumn="0" w:lastRowFirstColumn="0" w:lastRowLastColumn="0"/>
          <w:tblHeader/>
          <w:jc w:val="center"/>
        </w:trPr>
        <w:tc>
          <w:tcPr>
            <w:cnfStyle w:val="001000000000" w:firstRow="0" w:lastRow="0" w:firstColumn="1" w:lastColumn="0" w:oddVBand="0" w:evenVBand="0" w:oddHBand="0" w:evenHBand="0" w:firstRowFirstColumn="0" w:firstRowLastColumn="0" w:lastRowFirstColumn="0" w:lastRowLastColumn="0"/>
            <w:tcW w:w="2121" w:type="dxa"/>
          </w:tcPr>
          <w:p w14:paraId="27C68DA4" w14:textId="77777777" w:rsidR="00EA2603" w:rsidRPr="009C3EAD" w:rsidRDefault="00EA2603" w:rsidP="00B94DE0">
            <w:pPr>
              <w:pStyle w:val="ConstructionL4"/>
              <w:numPr>
                <w:ilvl w:val="0"/>
                <w:numId w:val="0"/>
              </w:numPr>
              <w:rPr>
                <w:color w:val="000000"/>
              </w:rPr>
            </w:pPr>
            <w:r w:rsidRPr="009C3EAD">
              <w:rPr>
                <w:color w:val="000000"/>
              </w:rPr>
              <w:t>Date</w:t>
            </w:r>
          </w:p>
        </w:tc>
        <w:tc>
          <w:tcPr>
            <w:tcW w:w="1416" w:type="dxa"/>
          </w:tcPr>
          <w:p w14:paraId="073494BD" w14:textId="77777777" w:rsidR="00EA2603" w:rsidRPr="009C3EAD" w:rsidRDefault="00EA2603" w:rsidP="00B94DE0">
            <w:pPr>
              <w:pStyle w:val="ConstructionL4"/>
              <w:numPr>
                <w:ilvl w:val="0"/>
                <w:numId w:val="0"/>
              </w:numPr>
              <w:cnfStyle w:val="100000000000" w:firstRow="1" w:lastRow="0" w:firstColumn="0" w:lastColumn="0" w:oddVBand="0" w:evenVBand="0" w:oddHBand="0" w:evenHBand="0" w:firstRowFirstColumn="0" w:firstRowLastColumn="0" w:lastRowFirstColumn="0" w:lastRowLastColumn="0"/>
              <w:rPr>
                <w:color w:val="000000"/>
              </w:rPr>
            </w:pPr>
            <w:r w:rsidRPr="009C3EAD">
              <w:rPr>
                <w:color w:val="000000"/>
              </w:rPr>
              <w:t>Time</w:t>
            </w:r>
          </w:p>
        </w:tc>
        <w:tc>
          <w:tcPr>
            <w:tcW w:w="1170" w:type="dxa"/>
          </w:tcPr>
          <w:p w14:paraId="073AC711" w14:textId="77777777" w:rsidR="00EA2603" w:rsidRPr="009C3EAD" w:rsidRDefault="00EA2603" w:rsidP="00B94DE0">
            <w:pPr>
              <w:pStyle w:val="ConstructionL4"/>
              <w:numPr>
                <w:ilvl w:val="0"/>
                <w:numId w:val="0"/>
              </w:numPr>
              <w:cnfStyle w:val="100000000000" w:firstRow="1" w:lastRow="0" w:firstColumn="0" w:lastColumn="0" w:oddVBand="0" w:evenVBand="0" w:oddHBand="0" w:evenHBand="0" w:firstRowFirstColumn="0" w:firstRowLastColumn="0" w:lastRowFirstColumn="0" w:lastRowLastColumn="0"/>
              <w:rPr>
                <w:color w:val="000000"/>
              </w:rPr>
            </w:pPr>
            <w:r w:rsidRPr="009C3EAD">
              <w:rPr>
                <w:color w:val="000000"/>
              </w:rPr>
              <w:t>Ch1</w:t>
            </w:r>
          </w:p>
        </w:tc>
        <w:tc>
          <w:tcPr>
            <w:tcW w:w="1080" w:type="dxa"/>
          </w:tcPr>
          <w:p w14:paraId="74F397B0" w14:textId="77777777" w:rsidR="00EA2603" w:rsidRPr="009C3EAD" w:rsidRDefault="00EA2603" w:rsidP="00B94DE0">
            <w:pPr>
              <w:pStyle w:val="ConstructionL4"/>
              <w:numPr>
                <w:ilvl w:val="0"/>
                <w:numId w:val="0"/>
              </w:numPr>
              <w:cnfStyle w:val="100000000000" w:firstRow="1" w:lastRow="0" w:firstColumn="0" w:lastColumn="0" w:oddVBand="0" w:evenVBand="0" w:oddHBand="0" w:evenHBand="0" w:firstRowFirstColumn="0" w:firstRowLastColumn="0" w:lastRowFirstColumn="0" w:lastRowLastColumn="0"/>
              <w:rPr>
                <w:color w:val="000000"/>
              </w:rPr>
            </w:pPr>
            <w:r w:rsidRPr="009C3EAD">
              <w:rPr>
                <w:color w:val="000000"/>
              </w:rPr>
              <w:t>Ch2</w:t>
            </w:r>
          </w:p>
        </w:tc>
      </w:tr>
      <w:tr w:rsidR="00EA2603" w:rsidRPr="009C3EAD" w14:paraId="3D20DD6E" w14:textId="77777777" w:rsidTr="00B94DE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1" w:type="dxa"/>
          </w:tcPr>
          <w:p w14:paraId="1FDEADF9" w14:textId="77777777" w:rsidR="00EA2603" w:rsidRPr="009C3EAD" w:rsidRDefault="00EA2603" w:rsidP="00B94DE0">
            <w:pPr>
              <w:pStyle w:val="ConstructionL4"/>
              <w:numPr>
                <w:ilvl w:val="0"/>
                <w:numId w:val="0"/>
              </w:numPr>
              <w:rPr>
                <w:color w:val="000000"/>
              </w:rPr>
            </w:pPr>
            <w:r w:rsidRPr="009C3EAD">
              <w:rPr>
                <w:color w:val="000000"/>
              </w:rPr>
              <w:t>2014/03/28</w:t>
            </w:r>
          </w:p>
        </w:tc>
        <w:tc>
          <w:tcPr>
            <w:tcW w:w="1416" w:type="dxa"/>
          </w:tcPr>
          <w:p w14:paraId="3CC4EC25" w14:textId="77777777" w:rsidR="00EA2603" w:rsidRPr="009C3EAD" w:rsidRDefault="00EA2603" w:rsidP="00B94DE0">
            <w:pPr>
              <w:pStyle w:val="ConstructionL4"/>
              <w:numPr>
                <w:ilvl w:val="0"/>
                <w:numId w:val="0"/>
              </w:numPr>
              <w:cnfStyle w:val="000000100000" w:firstRow="0" w:lastRow="0" w:firstColumn="0" w:lastColumn="0" w:oddVBand="0" w:evenVBand="0" w:oddHBand="1" w:evenHBand="0" w:firstRowFirstColumn="0" w:firstRowLastColumn="0" w:lastRowFirstColumn="0" w:lastRowLastColumn="0"/>
              <w:rPr>
                <w:color w:val="000000"/>
              </w:rPr>
            </w:pPr>
            <w:r w:rsidRPr="009C3EAD">
              <w:rPr>
                <w:color w:val="000000"/>
              </w:rPr>
              <w:t>00:20</w:t>
            </w:r>
          </w:p>
        </w:tc>
        <w:tc>
          <w:tcPr>
            <w:tcW w:w="1170" w:type="dxa"/>
          </w:tcPr>
          <w:p w14:paraId="69A4143E" w14:textId="77777777" w:rsidR="00EA2603" w:rsidRPr="009C3EAD" w:rsidRDefault="00EA2603" w:rsidP="00B94DE0">
            <w:pPr>
              <w:pStyle w:val="ConstructionL4"/>
              <w:numPr>
                <w:ilvl w:val="0"/>
                <w:numId w:val="0"/>
              </w:numPr>
              <w:cnfStyle w:val="000000100000" w:firstRow="0" w:lastRow="0" w:firstColumn="0" w:lastColumn="0" w:oddVBand="0" w:evenVBand="0" w:oddHBand="1" w:evenHBand="0" w:firstRowFirstColumn="0" w:firstRowLastColumn="0" w:lastRowFirstColumn="0" w:lastRowLastColumn="0"/>
              <w:rPr>
                <w:color w:val="000000"/>
              </w:rPr>
            </w:pPr>
            <w:r w:rsidRPr="009C3EAD">
              <w:rPr>
                <w:color w:val="000000"/>
              </w:rPr>
              <w:t>749.305</w:t>
            </w:r>
          </w:p>
        </w:tc>
        <w:tc>
          <w:tcPr>
            <w:tcW w:w="1080" w:type="dxa"/>
          </w:tcPr>
          <w:p w14:paraId="56A96F54" w14:textId="77777777" w:rsidR="00EA2603" w:rsidRPr="009C3EAD" w:rsidRDefault="00EA2603" w:rsidP="00B94DE0">
            <w:pPr>
              <w:pStyle w:val="ConstructionL4"/>
              <w:numPr>
                <w:ilvl w:val="0"/>
                <w:numId w:val="0"/>
              </w:numPr>
              <w:cnfStyle w:val="000000100000" w:firstRow="0" w:lastRow="0" w:firstColumn="0" w:lastColumn="0" w:oddVBand="0" w:evenVBand="0" w:oddHBand="1" w:evenHBand="0" w:firstRowFirstColumn="0" w:firstRowLastColumn="0" w:lastRowFirstColumn="0" w:lastRowLastColumn="0"/>
              <w:rPr>
                <w:color w:val="000000"/>
              </w:rPr>
            </w:pPr>
            <w:r w:rsidRPr="009C3EAD">
              <w:rPr>
                <w:color w:val="000000"/>
              </w:rPr>
              <w:t>0</w:t>
            </w:r>
          </w:p>
        </w:tc>
      </w:tr>
      <w:tr w:rsidR="00EA2603" w14:paraId="520497B1" w14:textId="77777777" w:rsidTr="00B94DE0">
        <w:trPr>
          <w:cnfStyle w:val="000000010000" w:firstRow="0" w:lastRow="0" w:firstColumn="0" w:lastColumn="0" w:oddVBand="0" w:evenVBand="0" w:oddHBand="0" w:evenHBand="1"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2121" w:type="dxa"/>
          </w:tcPr>
          <w:p w14:paraId="30DB9EBA" w14:textId="77777777" w:rsidR="00EA2603" w:rsidRPr="009C3EAD" w:rsidRDefault="00EA2603" w:rsidP="00B94DE0">
            <w:pPr>
              <w:pStyle w:val="ConstructionL4"/>
              <w:numPr>
                <w:ilvl w:val="0"/>
                <w:numId w:val="0"/>
              </w:numPr>
              <w:rPr>
                <w:color w:val="000000"/>
              </w:rPr>
            </w:pPr>
            <w:r w:rsidRPr="009C3EAD">
              <w:rPr>
                <w:color w:val="000000"/>
              </w:rPr>
              <w:t>2014/03/28</w:t>
            </w:r>
          </w:p>
        </w:tc>
        <w:tc>
          <w:tcPr>
            <w:tcW w:w="1416" w:type="dxa"/>
          </w:tcPr>
          <w:p w14:paraId="74651045" w14:textId="77777777" w:rsidR="00EA2603" w:rsidRPr="009C3EAD" w:rsidRDefault="00EA2603" w:rsidP="00B94DE0">
            <w:pPr>
              <w:pStyle w:val="ConstructionL4"/>
              <w:numPr>
                <w:ilvl w:val="0"/>
                <w:numId w:val="0"/>
              </w:numPr>
              <w:cnfStyle w:val="000000010000" w:firstRow="0" w:lastRow="0" w:firstColumn="0" w:lastColumn="0" w:oddVBand="0" w:evenVBand="0" w:oddHBand="0" w:evenHBand="1" w:firstRowFirstColumn="0" w:firstRowLastColumn="0" w:lastRowFirstColumn="0" w:lastRowLastColumn="0"/>
              <w:rPr>
                <w:color w:val="000000"/>
              </w:rPr>
            </w:pPr>
            <w:r w:rsidRPr="009C3EAD">
              <w:rPr>
                <w:color w:val="000000"/>
              </w:rPr>
              <w:t>00:25</w:t>
            </w:r>
          </w:p>
        </w:tc>
        <w:tc>
          <w:tcPr>
            <w:tcW w:w="1170" w:type="dxa"/>
          </w:tcPr>
          <w:p w14:paraId="642E2AF0" w14:textId="77777777" w:rsidR="00EA2603" w:rsidRPr="009C3EAD" w:rsidRDefault="00EA2603" w:rsidP="00B94DE0">
            <w:pPr>
              <w:pStyle w:val="ConstructionL4"/>
              <w:numPr>
                <w:ilvl w:val="0"/>
                <w:numId w:val="0"/>
              </w:numPr>
              <w:cnfStyle w:val="000000010000" w:firstRow="0" w:lastRow="0" w:firstColumn="0" w:lastColumn="0" w:oddVBand="0" w:evenVBand="0" w:oddHBand="0" w:evenHBand="1" w:firstRowFirstColumn="0" w:firstRowLastColumn="0" w:lastRowFirstColumn="0" w:lastRowLastColumn="0"/>
              <w:rPr>
                <w:color w:val="000000"/>
              </w:rPr>
            </w:pPr>
            <w:r w:rsidRPr="009C3EAD">
              <w:rPr>
                <w:color w:val="000000"/>
              </w:rPr>
              <w:t>748.455</w:t>
            </w:r>
          </w:p>
        </w:tc>
        <w:tc>
          <w:tcPr>
            <w:tcW w:w="1080" w:type="dxa"/>
          </w:tcPr>
          <w:p w14:paraId="5A322D66" w14:textId="77777777" w:rsidR="00EA2603" w:rsidRDefault="00EA2603" w:rsidP="00B94DE0">
            <w:pPr>
              <w:pStyle w:val="ConstructionL4"/>
              <w:numPr>
                <w:ilvl w:val="0"/>
                <w:numId w:val="0"/>
              </w:numPr>
              <w:cnfStyle w:val="000000010000" w:firstRow="0" w:lastRow="0" w:firstColumn="0" w:lastColumn="0" w:oddVBand="0" w:evenVBand="0" w:oddHBand="0" w:evenHBand="1" w:firstRowFirstColumn="0" w:firstRowLastColumn="0" w:lastRowFirstColumn="0" w:lastRowLastColumn="0"/>
              <w:rPr>
                <w:color w:val="000000"/>
              </w:rPr>
            </w:pPr>
            <w:r w:rsidRPr="009C3EAD">
              <w:rPr>
                <w:color w:val="000000"/>
              </w:rPr>
              <w:t>0</w:t>
            </w:r>
          </w:p>
        </w:tc>
      </w:tr>
      <w:tr w:rsidR="00EA2603" w14:paraId="5D57CA4C" w14:textId="77777777" w:rsidTr="00B94DE0">
        <w:trPr>
          <w:cnfStyle w:val="000000100000" w:firstRow="0" w:lastRow="0" w:firstColumn="0" w:lastColumn="0" w:oddVBand="0" w:evenVBand="0" w:oddHBand="1"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2121" w:type="dxa"/>
          </w:tcPr>
          <w:p w14:paraId="153C41E3" w14:textId="77777777" w:rsidR="00EA2603" w:rsidRDefault="00EA2603" w:rsidP="00B94DE0">
            <w:pPr>
              <w:pStyle w:val="ConstructionL4"/>
              <w:numPr>
                <w:ilvl w:val="0"/>
                <w:numId w:val="0"/>
              </w:numPr>
              <w:rPr>
                <w:color w:val="000000"/>
              </w:rPr>
            </w:pPr>
            <w:r>
              <w:rPr>
                <w:color w:val="000000"/>
              </w:rPr>
              <w:t>2014/03/28</w:t>
            </w:r>
          </w:p>
        </w:tc>
        <w:tc>
          <w:tcPr>
            <w:tcW w:w="1416" w:type="dxa"/>
          </w:tcPr>
          <w:p w14:paraId="43B85A1C" w14:textId="77777777" w:rsidR="00EA2603" w:rsidRDefault="00EA2603" w:rsidP="00B94DE0">
            <w:pPr>
              <w:pStyle w:val="ConstructionL4"/>
              <w:numPr>
                <w:ilvl w:val="0"/>
                <w:numId w:val="0"/>
              </w:numPr>
              <w:cnfStyle w:val="000000100000" w:firstRow="0" w:lastRow="0" w:firstColumn="0" w:lastColumn="0" w:oddVBand="0" w:evenVBand="0" w:oddHBand="1" w:evenHBand="0" w:firstRowFirstColumn="0" w:firstRowLastColumn="0" w:lastRowFirstColumn="0" w:lastRowLastColumn="0"/>
              <w:rPr>
                <w:color w:val="000000"/>
              </w:rPr>
            </w:pPr>
            <w:r>
              <w:rPr>
                <w:color w:val="000000"/>
              </w:rPr>
              <w:t>00:30</w:t>
            </w:r>
          </w:p>
        </w:tc>
        <w:tc>
          <w:tcPr>
            <w:tcW w:w="1170" w:type="dxa"/>
          </w:tcPr>
          <w:p w14:paraId="1265CA4D" w14:textId="77777777" w:rsidR="00EA2603" w:rsidRDefault="00EA2603" w:rsidP="00B94DE0">
            <w:pPr>
              <w:pStyle w:val="ConstructionL4"/>
              <w:numPr>
                <w:ilvl w:val="0"/>
                <w:numId w:val="0"/>
              </w:numPr>
              <w:cnfStyle w:val="000000100000" w:firstRow="0" w:lastRow="0" w:firstColumn="0" w:lastColumn="0" w:oddVBand="0" w:evenVBand="0" w:oddHBand="1" w:evenHBand="0" w:firstRowFirstColumn="0" w:firstRowLastColumn="0" w:lastRowFirstColumn="0" w:lastRowLastColumn="0"/>
              <w:rPr>
                <w:color w:val="000000"/>
              </w:rPr>
            </w:pPr>
            <w:r>
              <w:rPr>
                <w:color w:val="000000"/>
              </w:rPr>
              <w:t>745.455</w:t>
            </w:r>
          </w:p>
        </w:tc>
        <w:tc>
          <w:tcPr>
            <w:tcW w:w="1080" w:type="dxa"/>
          </w:tcPr>
          <w:p w14:paraId="660EB58D" w14:textId="77777777" w:rsidR="00EA2603" w:rsidRDefault="00EA2603" w:rsidP="00B94DE0">
            <w:pPr>
              <w:pStyle w:val="ConstructionL4"/>
              <w:numPr>
                <w:ilvl w:val="0"/>
                <w:numId w:val="0"/>
              </w:numPr>
              <w:cnfStyle w:val="000000100000" w:firstRow="0" w:lastRow="0" w:firstColumn="0" w:lastColumn="0" w:oddVBand="0" w:evenVBand="0" w:oddHBand="1" w:evenHBand="0" w:firstRowFirstColumn="0" w:firstRowLastColumn="0" w:lastRowFirstColumn="0" w:lastRowLastColumn="0"/>
              <w:rPr>
                <w:color w:val="000000"/>
              </w:rPr>
            </w:pPr>
            <w:r>
              <w:rPr>
                <w:color w:val="000000"/>
              </w:rPr>
              <w:t>0</w:t>
            </w:r>
          </w:p>
        </w:tc>
      </w:tr>
    </w:tbl>
    <w:p w14:paraId="0BF8AAEA" w14:textId="77777777" w:rsidR="00EA2603" w:rsidRPr="009C3EAD" w:rsidRDefault="00EA2603" w:rsidP="00EA2603">
      <w:pPr>
        <w:pStyle w:val="BodyText"/>
      </w:pPr>
      <w:r w:rsidRPr="009C3EAD">
        <w:t>The data file must contain 288 rows of data per day, having a beginning time of 00:05 and an end time of 24:00.  The time reference shall be in eastern standard time (EST).</w:t>
      </w:r>
    </w:p>
    <w:p w14:paraId="5DC19CA9" w14:textId="77777777" w:rsidR="00EA2603" w:rsidRPr="009C3EAD" w:rsidRDefault="00EA2603" w:rsidP="00F71000">
      <w:pPr>
        <w:pStyle w:val="AppendixHead3"/>
      </w:pPr>
      <w:r w:rsidRPr="009C3EAD">
        <w:t>M&amp;V Baseline Methodology</w:t>
      </w:r>
    </w:p>
    <w:p w14:paraId="67A3EE70" w14:textId="77777777" w:rsidR="00EA2603" w:rsidRPr="009C3EAD" w:rsidRDefault="00EA2603" w:rsidP="00EA2603">
      <w:pPr>
        <w:pStyle w:val="BodyText"/>
        <w:rPr>
          <w:color w:val="000000"/>
          <w:szCs w:val="22"/>
        </w:rPr>
      </w:pPr>
      <w:r w:rsidRPr="009C3EAD">
        <w:rPr>
          <w:szCs w:val="22"/>
        </w:rPr>
        <w:t>DR Curtailment will be calculated for each hour of Activation as the difference between the Project's calculated CBDR Baseline and the Project's measured consumption (or net production) of electricity, subject to adjustment of an in-day adjustment.</w:t>
      </w:r>
      <w:r w:rsidRPr="009C3EAD">
        <w:rPr>
          <w:color w:val="000000"/>
          <w:szCs w:val="22"/>
        </w:rPr>
        <w:t xml:space="preserve">  A CBDR Baseline will be calculated for each DR Account by aggregating all measurement data for all contributors of that DR Account.</w:t>
      </w:r>
    </w:p>
    <w:p w14:paraId="16FF1FDF" w14:textId="77777777" w:rsidR="00EA2603" w:rsidRPr="001016A4" w:rsidRDefault="00EA2603" w:rsidP="00DA1C34">
      <w:pPr>
        <w:pStyle w:val="AppendixHead3"/>
        <w:numPr>
          <w:ilvl w:val="3"/>
          <w:numId w:val="6"/>
        </w:numPr>
        <w:ind w:left="1080"/>
      </w:pPr>
      <w:r w:rsidRPr="001016A4">
        <w:t>Suitable Business Day</w:t>
      </w:r>
    </w:p>
    <w:p w14:paraId="5476780A" w14:textId="77777777" w:rsidR="00EA2603" w:rsidRPr="009C3EAD" w:rsidRDefault="00EA2603" w:rsidP="00EA2603">
      <w:pPr>
        <w:pStyle w:val="BodyText"/>
      </w:pPr>
      <w:r w:rsidRPr="009C3EAD">
        <w:t>A suitable business day is any business day where DR measurement data has been submitted and is available to the IESO, excluding days where:</w:t>
      </w:r>
    </w:p>
    <w:p w14:paraId="5FE80327" w14:textId="77777777" w:rsidR="00EA2603" w:rsidRPr="009C3EAD" w:rsidRDefault="00EA2603" w:rsidP="00EA2603">
      <w:pPr>
        <w:pStyle w:val="BodyText"/>
        <w:numPr>
          <w:ilvl w:val="0"/>
          <w:numId w:val="97"/>
        </w:numPr>
      </w:pPr>
      <w:r w:rsidRPr="009C3EAD">
        <w:t>an Interruptible Load underwent a Planned Non-Performance Event;</w:t>
      </w:r>
    </w:p>
    <w:p w14:paraId="62CDE21B" w14:textId="77777777" w:rsidR="00EA2603" w:rsidRPr="009C3EAD" w:rsidRDefault="00EA2603" w:rsidP="00EA2603">
      <w:pPr>
        <w:pStyle w:val="BodyText"/>
        <w:numPr>
          <w:ilvl w:val="0"/>
          <w:numId w:val="97"/>
        </w:numPr>
      </w:pPr>
      <w:r w:rsidRPr="009C3EAD">
        <w:t xml:space="preserve">a DRMP </w:t>
      </w:r>
      <w:r>
        <w:t>undergo a DR Forced Outage</w:t>
      </w:r>
      <w:r w:rsidRPr="009C3EAD">
        <w:t>;</w:t>
      </w:r>
    </w:p>
    <w:p w14:paraId="0F681814" w14:textId="77777777" w:rsidR="00EA2603" w:rsidRDefault="00EA2603" w:rsidP="00EA2603">
      <w:pPr>
        <w:pStyle w:val="BodyText"/>
        <w:numPr>
          <w:ilvl w:val="0"/>
          <w:numId w:val="97"/>
        </w:numPr>
      </w:pPr>
      <w:r>
        <w:t>a DRMP claimed an After Deadline Outage Day which was accepted by the IESO;</w:t>
      </w:r>
    </w:p>
    <w:p w14:paraId="27706AD1" w14:textId="77777777" w:rsidR="00EA2603" w:rsidRPr="009C3EAD" w:rsidRDefault="00EA2603" w:rsidP="00EA2603">
      <w:pPr>
        <w:pStyle w:val="BodyText"/>
        <w:numPr>
          <w:ilvl w:val="0"/>
          <w:numId w:val="97"/>
        </w:numPr>
      </w:pPr>
      <w:r w:rsidRPr="009C3EAD">
        <w:t xml:space="preserve">the IESO issued an Activation Notice; </w:t>
      </w:r>
    </w:p>
    <w:p w14:paraId="1EBEAC91" w14:textId="77777777" w:rsidR="00EA2603" w:rsidRDefault="00EA2603" w:rsidP="00EA2603">
      <w:pPr>
        <w:pStyle w:val="BodyText"/>
        <w:numPr>
          <w:ilvl w:val="0"/>
          <w:numId w:val="97"/>
        </w:numPr>
      </w:pPr>
      <w:r w:rsidRPr="009C3EAD">
        <w:t>the DRMP has responded to the IESO with a Confirmation Notice for less than the Monthly Contracted MW</w:t>
      </w:r>
      <w:r>
        <w:t>; or</w:t>
      </w:r>
    </w:p>
    <w:p w14:paraId="13EF0BF2" w14:textId="77777777" w:rsidR="00EA2603" w:rsidRPr="009C3EAD" w:rsidRDefault="00EA2603" w:rsidP="00EA2603">
      <w:pPr>
        <w:pStyle w:val="BodyText"/>
        <w:numPr>
          <w:ilvl w:val="0"/>
          <w:numId w:val="97"/>
        </w:numPr>
      </w:pPr>
      <w:r>
        <w:t>the DRMP has responded to the IESO with a Confirmation Notice for less than the Contracted Dispatch Period.</w:t>
      </w:r>
    </w:p>
    <w:p w14:paraId="54AA1183" w14:textId="77777777" w:rsidR="00EA2603" w:rsidRPr="001016A4" w:rsidRDefault="00EA2603" w:rsidP="00DA1C34">
      <w:pPr>
        <w:pStyle w:val="AppendixHead3"/>
        <w:numPr>
          <w:ilvl w:val="3"/>
          <w:numId w:val="6"/>
        </w:numPr>
        <w:ind w:left="1080"/>
      </w:pPr>
      <w:r w:rsidRPr="001016A4">
        <w:t>Capacity Based Demand Response Baseline</w:t>
      </w:r>
    </w:p>
    <w:p w14:paraId="1B6EBD30" w14:textId="77777777" w:rsidR="00EA2603" w:rsidRPr="009C3EAD" w:rsidRDefault="00EA2603" w:rsidP="00EA2603">
      <w:pPr>
        <w:pStyle w:val="BodyText"/>
        <w:rPr>
          <w:color w:val="000000"/>
          <w:szCs w:val="22"/>
        </w:rPr>
      </w:pPr>
      <w:r w:rsidRPr="009C3EAD">
        <w:rPr>
          <w:color w:val="000000"/>
          <w:szCs w:val="22"/>
        </w:rPr>
        <w:t>For each hour of a DR Activation event, the CBDR Baseline shall be calculated as follows:</w:t>
      </w:r>
    </w:p>
    <w:p w14:paraId="025C91D0" w14:textId="77777777" w:rsidR="00EA2603" w:rsidRPr="009C3EAD" w:rsidRDefault="00EA2603" w:rsidP="00EA2603">
      <w:pPr>
        <w:pStyle w:val="BodyText"/>
      </w:pPr>
      <w:r w:rsidRPr="009C3EAD">
        <w:rPr>
          <w:color w:val="000000"/>
          <w:szCs w:val="22"/>
        </w:rPr>
        <w:tab/>
      </w:r>
      <w:r w:rsidRPr="009C3EAD">
        <w:rPr>
          <w:b/>
          <w:color w:val="000000"/>
          <w:szCs w:val="22"/>
        </w:rPr>
        <w:t xml:space="preserve">CBDR Baseline = Standard Baseline </w:t>
      </w:r>
      <w:r w:rsidRPr="009C3EAD">
        <w:rPr>
          <w:b/>
          <w:color w:val="000000"/>
          <w:sz w:val="28"/>
          <w:szCs w:val="22"/>
        </w:rPr>
        <w:t>×</w:t>
      </w:r>
      <w:r w:rsidRPr="009C3EAD">
        <w:rPr>
          <w:b/>
          <w:color w:val="000000"/>
          <w:szCs w:val="22"/>
        </w:rPr>
        <w:t xml:space="preserve"> In-Day Adjustment Factor</w:t>
      </w:r>
    </w:p>
    <w:p w14:paraId="345294F5" w14:textId="77777777" w:rsidR="00EA2603" w:rsidRPr="009C3EAD" w:rsidRDefault="00EA2603" w:rsidP="00EA2603">
      <w:pPr>
        <w:pStyle w:val="BodyText"/>
        <w:rPr>
          <w:color w:val="000000"/>
          <w:szCs w:val="22"/>
        </w:rPr>
      </w:pPr>
      <w:r w:rsidRPr="009C3EAD">
        <w:rPr>
          <w:color w:val="000000"/>
          <w:szCs w:val="22"/>
        </w:rPr>
        <w:t>Both the standard baseline and the in-day adjustment calculation for any Confirmed Hour of an Activation shall go back to a maximum of thirty-five (35) business days prior to the day of the Activation to establish twenty (20) suitable business days.</w:t>
      </w:r>
    </w:p>
    <w:p w14:paraId="5F293DEA" w14:textId="77777777" w:rsidR="00EA2603" w:rsidRPr="009C3EAD" w:rsidRDefault="00EA2603" w:rsidP="00EA2603">
      <w:pPr>
        <w:pStyle w:val="BodyText"/>
        <w:rPr>
          <w:szCs w:val="22"/>
        </w:rPr>
      </w:pPr>
      <w:r w:rsidRPr="009C3EAD">
        <w:rPr>
          <w:szCs w:val="22"/>
        </w:rPr>
        <w:t>If there are insufficient suitable business days within the previous thirty-five (35) business days to establish a standard baseline, then the IESO may elect to utilize only the available suitable business days within the previous thirty-five (35) business days.  For example, if less than twenty (20) suitable business days was available then all those suitable business days will be used to calculate the standard baseline.</w:t>
      </w:r>
    </w:p>
    <w:p w14:paraId="4C3932B8" w14:textId="77777777" w:rsidR="00EA2603" w:rsidRPr="009C3EAD" w:rsidRDefault="00EA2603" w:rsidP="00EA2603">
      <w:pPr>
        <w:rPr>
          <w:b/>
        </w:rPr>
      </w:pPr>
      <w:r w:rsidRPr="009C3EAD">
        <w:rPr>
          <w:b/>
        </w:rPr>
        <w:t>Standard Baseline: High 15 of 20</w:t>
      </w:r>
    </w:p>
    <w:p w14:paraId="495B8839" w14:textId="77777777" w:rsidR="00EA2603" w:rsidRPr="009C3EAD" w:rsidRDefault="00EA2603" w:rsidP="00C46412">
      <w:pPr>
        <w:pStyle w:val="Heading51"/>
      </w:pPr>
      <w:r w:rsidRPr="009C3EAD">
        <w:t xml:space="preserve">The standard baseline for any Confirmed Hour of an Activation is the average of the highest fifteen (15) values for the same hour as those of the Activation, in the last twenty (20) suitable </w:t>
      </w:r>
      <w:r w:rsidRPr="009C3EAD">
        <w:rPr>
          <w:bCs/>
        </w:rPr>
        <w:t>business days</w:t>
      </w:r>
      <w:r w:rsidRPr="009C3EAD">
        <w:t xml:space="preserve"> prior to the Activation.</w:t>
      </w:r>
    </w:p>
    <w:p w14:paraId="5785C234" w14:textId="77777777" w:rsidR="00EA2603" w:rsidRPr="009C3EAD" w:rsidRDefault="00EA2603" w:rsidP="00EA2603">
      <w:pPr>
        <w:rPr>
          <w:b/>
        </w:rPr>
      </w:pPr>
      <w:r w:rsidRPr="009C3EAD">
        <w:rPr>
          <w:b/>
        </w:rPr>
        <w:t>In-Day Adjustment Factor</w:t>
      </w:r>
    </w:p>
    <w:p w14:paraId="41783A61" w14:textId="77777777" w:rsidR="00EA2603" w:rsidRPr="009C3EAD" w:rsidRDefault="00EA2603" w:rsidP="00C46412">
      <w:pPr>
        <w:pStyle w:val="Heading51"/>
      </w:pPr>
      <w:r w:rsidRPr="009C3EAD">
        <w:t>The in-day adjustment factor is equal to A ÷ B, where:</w:t>
      </w:r>
    </w:p>
    <w:p w14:paraId="3C646DE2" w14:textId="77777777" w:rsidR="00EA2603" w:rsidRDefault="00EA2603" w:rsidP="00C46412">
      <w:pPr>
        <w:pStyle w:val="Heading51"/>
      </w:pPr>
      <w:r w:rsidRPr="009C3EAD">
        <w:t>A = Average actual consumption during the adjustment window hours on the actual Activation day.</w:t>
      </w:r>
    </w:p>
    <w:p w14:paraId="73D85E5A" w14:textId="77777777" w:rsidR="00EA2603" w:rsidRPr="009C3EAD" w:rsidRDefault="00EA2603" w:rsidP="00C46412">
      <w:pPr>
        <w:pStyle w:val="Heading51"/>
      </w:pPr>
      <w:r w:rsidRPr="009C3EAD">
        <w:t>B = Average actual consumption during the adjustment window hours in the past highest fifteen (15) of twenty (20) suitable business days prior to the Activation.</w:t>
      </w:r>
    </w:p>
    <w:p w14:paraId="4EA88813" w14:textId="77777777" w:rsidR="00EA2603" w:rsidRPr="009C3EAD" w:rsidRDefault="00EA2603" w:rsidP="00EA2603">
      <w:r w:rsidRPr="009C3EAD">
        <w:t>The adjustment window is the three (3) hour window occurring one (1) hour before an Activation event.  The in-day adjustment factor can only be as low as 0.8 and as high as 1.2.</w:t>
      </w:r>
    </w:p>
    <w:p w14:paraId="3279119A" w14:textId="77777777" w:rsidR="00EA2603" w:rsidRPr="001016A4" w:rsidRDefault="00EA2603" w:rsidP="00DA1C34">
      <w:pPr>
        <w:pStyle w:val="AppendixHead3"/>
        <w:numPr>
          <w:ilvl w:val="3"/>
          <w:numId w:val="6"/>
        </w:numPr>
        <w:tabs>
          <w:tab w:val="left" w:pos="1080"/>
        </w:tabs>
        <w:ind w:left="1080"/>
      </w:pPr>
      <w:r w:rsidRPr="001016A4">
        <w:t>Contributor Baseline Considerations</w:t>
      </w:r>
    </w:p>
    <w:p w14:paraId="69A50C79" w14:textId="77777777" w:rsidR="00EA2603" w:rsidRPr="009C3EAD" w:rsidRDefault="00EA2603" w:rsidP="00EA2603">
      <w:pPr>
        <w:spacing w:before="120"/>
        <w:rPr>
          <w:b/>
        </w:rPr>
      </w:pPr>
      <w:r w:rsidRPr="009C3EAD">
        <w:rPr>
          <w:b/>
        </w:rPr>
        <w:t>Interruptible Load</w:t>
      </w:r>
    </w:p>
    <w:p w14:paraId="7BDC5B64" w14:textId="77777777" w:rsidR="00EA2603" w:rsidRPr="009C3EAD" w:rsidRDefault="00EA2603" w:rsidP="00EA2603">
      <w:pPr>
        <w:spacing w:after="120"/>
        <w:rPr>
          <w:color w:val="000000"/>
        </w:rPr>
      </w:pPr>
      <w:r w:rsidRPr="009C3EAD">
        <w:rPr>
          <w:color w:val="000000"/>
        </w:rPr>
        <w:t>The CBDR Baseline for direct participant Interruptible Load will be calculated as set out in 1.6.24.</w:t>
      </w:r>
      <w:r>
        <w:rPr>
          <w:color w:val="000000"/>
        </w:rPr>
        <w:t>4</w:t>
      </w:r>
      <w:r w:rsidRPr="009C3EAD">
        <w:rPr>
          <w:color w:val="000000"/>
        </w:rPr>
        <w:t>.2.  The CBDR Baseline for aggregator Interruptible Load will be calculated as set out in 1.6.24.</w:t>
      </w:r>
      <w:r>
        <w:rPr>
          <w:color w:val="000000"/>
        </w:rPr>
        <w:t>4</w:t>
      </w:r>
      <w:r w:rsidRPr="009C3EAD">
        <w:rPr>
          <w:color w:val="000000"/>
        </w:rPr>
        <w:t xml:space="preserve">.2 </w:t>
      </w:r>
    </w:p>
    <w:p w14:paraId="4FAAF893" w14:textId="77777777" w:rsidR="00EA2603" w:rsidRPr="009C3EAD" w:rsidRDefault="00EA2603" w:rsidP="00EA2603">
      <w:pPr>
        <w:rPr>
          <w:b/>
        </w:rPr>
      </w:pPr>
      <w:r w:rsidRPr="009C3EAD">
        <w:rPr>
          <w:b/>
        </w:rPr>
        <w:t>Behind the Meter Generators</w:t>
      </w:r>
    </w:p>
    <w:p w14:paraId="6D0EF2F2" w14:textId="77777777" w:rsidR="00EA2603" w:rsidRPr="009C3EAD" w:rsidRDefault="00EA2603" w:rsidP="00EA2603">
      <w:pPr>
        <w:rPr>
          <w:color w:val="000000"/>
          <w:szCs w:val="22"/>
        </w:rPr>
      </w:pPr>
      <w:r w:rsidRPr="009C3EAD">
        <w:rPr>
          <w:color w:val="000000"/>
          <w:szCs w:val="22"/>
        </w:rPr>
        <w:t>The CBDR Baseline for DR Accounts with contributor(s) that are Behind the Meter Generator(s) has the following considerations:</w:t>
      </w:r>
    </w:p>
    <w:p w14:paraId="718B1C0E" w14:textId="77777777" w:rsidR="00EA2603" w:rsidRPr="009C3EAD" w:rsidRDefault="00EA2603" w:rsidP="00EA2603">
      <w:pPr>
        <w:pStyle w:val="ListParagraph"/>
        <w:numPr>
          <w:ilvl w:val="0"/>
          <w:numId w:val="98"/>
        </w:numPr>
        <w:spacing w:after="120"/>
        <w:contextualSpacing w:val="0"/>
      </w:pPr>
      <w:r w:rsidRPr="000A7F12">
        <w:rPr>
          <w:szCs w:val="22"/>
        </w:rPr>
        <w:t xml:space="preserve">where a Project consists entirely of Non-Submetered Generators, the calculation is as set out in 1.6.24.4.2; </w:t>
      </w:r>
    </w:p>
    <w:p w14:paraId="00C045E4" w14:textId="77777777" w:rsidR="00EA2603" w:rsidRPr="009C3EAD" w:rsidRDefault="00EA2603" w:rsidP="00EA2603">
      <w:pPr>
        <w:pStyle w:val="ListParagraph"/>
        <w:numPr>
          <w:ilvl w:val="0"/>
          <w:numId w:val="98"/>
        </w:numPr>
        <w:spacing w:after="120"/>
        <w:contextualSpacing w:val="0"/>
      </w:pPr>
      <w:r w:rsidRPr="000A7F12">
        <w:rPr>
          <w:szCs w:val="22"/>
        </w:rPr>
        <w:t>where a Project consists entirely of Sub-Metered Generators, the calculation is as set out in 1.6.24.4.2 except that the average calculations for the standard baseline and the in-day adjustment will use the ‘lowest’ fifteen (15) values instead of the ‘highest’ fifteen (15) values; or</w:t>
      </w:r>
    </w:p>
    <w:p w14:paraId="6B45F898" w14:textId="77777777" w:rsidR="00EA2603" w:rsidRPr="00966B12" w:rsidRDefault="00EA2603" w:rsidP="00EA2603">
      <w:pPr>
        <w:pStyle w:val="ListParagraph"/>
        <w:numPr>
          <w:ilvl w:val="0"/>
          <w:numId w:val="98"/>
        </w:numPr>
        <w:spacing w:after="120"/>
        <w:contextualSpacing w:val="0"/>
      </w:pPr>
      <w:r w:rsidRPr="00966B12">
        <w:rPr>
          <w:szCs w:val="22"/>
        </w:rPr>
        <w:t>where a DR Account consists of multiple installations comprised of a mixture of Interruptible Loads, Non-Submetered Generators, and/or Sub-Metered Generators, the calculation shall use the sum of the meters involved.</w:t>
      </w:r>
    </w:p>
    <w:p w14:paraId="765EC4F8" w14:textId="77777777" w:rsidR="00EA2603" w:rsidRPr="009C3EAD" w:rsidRDefault="00EA2603" w:rsidP="00F71000">
      <w:pPr>
        <w:pStyle w:val="AppendixHead3"/>
      </w:pPr>
      <w:r w:rsidRPr="009C3EAD">
        <w:t>Settlement of Availability and Utilization Payments</w:t>
      </w:r>
    </w:p>
    <w:p w14:paraId="2CB75D19" w14:textId="77777777" w:rsidR="00EA2603" w:rsidRPr="009C3EAD" w:rsidRDefault="00EA2603" w:rsidP="00EA2603">
      <w:pPr>
        <w:pStyle w:val="BodyText"/>
        <w:rPr>
          <w:szCs w:val="22"/>
        </w:rPr>
      </w:pPr>
      <w:r w:rsidRPr="009C3EAD">
        <w:rPr>
          <w:szCs w:val="22"/>
        </w:rPr>
        <w:t xml:space="preserve">DRMPs are paid a monthly Availability Payment for being available to reduce Load during the Hours of Availability and a Utilization Payment for actual Load DR </w:t>
      </w:r>
      <w:r w:rsidRPr="009C3EAD">
        <w:rPr>
          <w:iCs/>
          <w:szCs w:val="22"/>
        </w:rPr>
        <w:t xml:space="preserve">Curtailment </w:t>
      </w:r>
      <w:r w:rsidRPr="009C3EAD">
        <w:rPr>
          <w:szCs w:val="22"/>
        </w:rPr>
        <w:t>when directed by the IESO. Also, DRMPs will be entitled to receive an Availability Over-Delivery Payment for each hour that the DRMP is available to either reduce more than the registered demand reduction or reduce Load for a longer period than registered, in response to an Open Standby Notification.</w:t>
      </w:r>
    </w:p>
    <w:p w14:paraId="117B5D6E" w14:textId="77777777" w:rsidR="00EA2603" w:rsidRPr="009C3EAD" w:rsidRDefault="00EA2603" w:rsidP="00EA2603">
      <w:pPr>
        <w:pStyle w:val="BodyText"/>
        <w:rPr>
          <w:szCs w:val="22"/>
        </w:rPr>
      </w:pPr>
      <w:r w:rsidRPr="009C3EAD">
        <w:rPr>
          <w:szCs w:val="22"/>
        </w:rPr>
        <w:t xml:space="preserve">For settlement purposes, all </w:t>
      </w:r>
      <w:r>
        <w:rPr>
          <w:szCs w:val="22"/>
        </w:rPr>
        <w:t>Contract S</w:t>
      </w:r>
      <w:r w:rsidRPr="009C3EAD">
        <w:rPr>
          <w:szCs w:val="22"/>
        </w:rPr>
        <w:t xml:space="preserve">chedules will be aggregated and payment will be made at the DR Account level.  Where rates are different for the applicable </w:t>
      </w:r>
      <w:r>
        <w:rPr>
          <w:szCs w:val="22"/>
        </w:rPr>
        <w:t>Contract Schedules</w:t>
      </w:r>
      <w:r w:rsidRPr="009C3EAD">
        <w:rPr>
          <w:szCs w:val="22"/>
        </w:rPr>
        <w:t xml:space="preserve"> within the DR Account, an amount will be calculated based on the weighted average of each rate as weighted by the Monthly Contracted MWs for each </w:t>
      </w:r>
      <w:r>
        <w:rPr>
          <w:szCs w:val="22"/>
        </w:rPr>
        <w:t>Contract Schedule</w:t>
      </w:r>
      <w:r w:rsidRPr="009C3EAD">
        <w:rPr>
          <w:szCs w:val="22"/>
        </w:rPr>
        <w:t>.</w:t>
      </w:r>
    </w:p>
    <w:p w14:paraId="44BBF42A" w14:textId="77777777" w:rsidR="00EA2603" w:rsidRPr="001016A4" w:rsidRDefault="00EA2603" w:rsidP="00DA1C34">
      <w:pPr>
        <w:pStyle w:val="AppendixHead3"/>
        <w:keepNext/>
        <w:numPr>
          <w:ilvl w:val="3"/>
          <w:numId w:val="6"/>
        </w:numPr>
        <w:ind w:left="1080"/>
      </w:pPr>
      <w:r w:rsidRPr="001016A4">
        <w:t>Availability Payment</w:t>
      </w:r>
    </w:p>
    <w:p w14:paraId="7992D9BA" w14:textId="77777777" w:rsidR="00EA2603" w:rsidRPr="009C3EAD" w:rsidRDefault="00EA2603" w:rsidP="00EA2603">
      <w:pPr>
        <w:spacing w:after="120"/>
        <w:rPr>
          <w:color w:val="000000"/>
          <w:szCs w:val="22"/>
        </w:rPr>
      </w:pPr>
      <w:r w:rsidRPr="009C3EAD">
        <w:rPr>
          <w:color w:val="000000"/>
          <w:szCs w:val="22"/>
        </w:rPr>
        <w:t>Each month, DRMP will receive an Availability Payment for each DR Account based on the Hours of Availability, Monthly Contracted MW and a weighted average of all the availability rates or adjusted availability rates (which is adjusted for premium zones and discount zones).</w:t>
      </w:r>
    </w:p>
    <w:p w14:paraId="11B7B90C" w14:textId="77777777" w:rsidR="00EA2603" w:rsidRPr="009C3EAD" w:rsidRDefault="00EA2603" w:rsidP="00EA2603">
      <w:pPr>
        <w:rPr>
          <w:color w:val="000000"/>
          <w:szCs w:val="22"/>
        </w:rPr>
      </w:pPr>
      <w:r w:rsidRPr="009C3EAD">
        <w:rPr>
          <w:color w:val="000000"/>
          <w:szCs w:val="22"/>
        </w:rPr>
        <w:t>The Availability Payment for a DR Account for a given month is calculated as follows:</w:t>
      </w:r>
    </w:p>
    <w:p w14:paraId="5042BA3B" w14:textId="77777777" w:rsidR="00EA2603" w:rsidRPr="009C3EAD" w:rsidRDefault="00EA2603" w:rsidP="00EA2603">
      <w:pPr>
        <w:rPr>
          <w:szCs w:val="22"/>
        </w:rPr>
      </w:pPr>
      <m:oMathPara>
        <m:oMath>
          <m:r>
            <m:rPr>
              <m:sty m:val="b"/>
            </m:rPr>
            <w:rPr>
              <w:rFonts w:ascii="Cambria Math" w:hAnsi="Cambria Math"/>
              <w:szCs w:val="22"/>
            </w:rPr>
            <m:t>Availability Payment</m:t>
          </m:r>
          <m:r>
            <w:rPr>
              <w:rFonts w:ascii="Cambria Math" w:hAnsi="Cambria Math"/>
              <w:szCs w:val="22"/>
            </w:rPr>
            <m:t>=</m:t>
          </m:r>
          <m:sSub>
            <m:sSubPr>
              <m:ctrlPr>
                <w:rPr>
                  <w:rFonts w:ascii="Cambria Math" w:hAnsi="Cambria Math"/>
                  <w:szCs w:val="22"/>
                </w:rPr>
              </m:ctrlPr>
            </m:sSubPr>
            <m:e>
              <m:r>
                <m:rPr>
                  <m:sty m:val="p"/>
                </m:rPr>
                <w:rPr>
                  <w:rFonts w:ascii="Cambria Math" w:hAnsi="Cambria Math"/>
                  <w:szCs w:val="22"/>
                </w:rPr>
                <m:t>HA</m:t>
              </m:r>
            </m:e>
            <m:sub>
              <m:r>
                <m:rPr>
                  <m:sty m:val="p"/>
                </m:rPr>
                <w:rPr>
                  <w:rFonts w:ascii="Cambria Math" w:hAnsi="Cambria Math"/>
                  <w:szCs w:val="22"/>
                </w:rPr>
                <m:t>H</m:t>
              </m:r>
            </m:sub>
          </m:sSub>
          <m:r>
            <m:rPr>
              <m:sty m:val="p"/>
            </m:rPr>
            <w:rPr>
              <w:rFonts w:ascii="Cambria Math" w:hAnsi="Cambria Math"/>
              <w:szCs w:val="22"/>
            </w:rPr>
            <m:t xml:space="preserve"> x </m:t>
          </m:r>
          <m:sSub>
            <m:sSubPr>
              <m:ctrlPr>
                <w:rPr>
                  <w:rFonts w:ascii="Cambria Math" w:hAnsi="Cambria Math"/>
                  <w:szCs w:val="22"/>
                </w:rPr>
              </m:ctrlPr>
            </m:sSubPr>
            <m:e>
              <m:r>
                <m:rPr>
                  <m:sty m:val="p"/>
                </m:rPr>
                <w:rPr>
                  <w:rFonts w:ascii="Cambria Math" w:hAnsi="Cambria Math"/>
                  <w:szCs w:val="22"/>
                </w:rPr>
                <m:t>MCMW</m:t>
              </m:r>
            </m:e>
            <m:sub>
              <m:r>
                <m:rPr>
                  <m:sty m:val="p"/>
                </m:rPr>
                <w:rPr>
                  <w:rFonts w:ascii="Cambria Math" w:hAnsi="Cambria Math"/>
                  <w:szCs w:val="22"/>
                </w:rPr>
                <m:t>h</m:t>
              </m:r>
            </m:sub>
          </m:sSub>
          <m:r>
            <m:rPr>
              <m:sty m:val="p"/>
            </m:rPr>
            <w:rPr>
              <w:rFonts w:ascii="Cambria Math" w:hAnsi="Cambria Math"/>
              <w:szCs w:val="22"/>
            </w:rPr>
            <m:t xml:space="preserve"> x AAR</m:t>
          </m:r>
        </m:oMath>
      </m:oMathPara>
    </w:p>
    <w:p w14:paraId="2AEF3E1B" w14:textId="77777777" w:rsidR="00EA2603" w:rsidRPr="003853C6" w:rsidRDefault="00EA2603" w:rsidP="00EA2603">
      <w:pPr>
        <w:ind w:left="720"/>
        <w:rPr>
          <w:b/>
          <w:szCs w:val="22"/>
        </w:rPr>
      </w:pPr>
      <w:r w:rsidRPr="009C3EAD">
        <w:rPr>
          <w:b/>
          <w:szCs w:val="22"/>
        </w:rPr>
        <w:t>Where:</w:t>
      </w:r>
    </w:p>
    <w:p w14:paraId="372E4F07" w14:textId="77777777" w:rsidR="00EA2603" w:rsidRPr="009C3EAD" w:rsidRDefault="00EA2603" w:rsidP="00EA2603">
      <w:pPr>
        <w:pStyle w:val="ListParagraph"/>
        <w:numPr>
          <w:ilvl w:val="0"/>
          <w:numId w:val="100"/>
        </w:numPr>
        <w:spacing w:after="200" w:line="276" w:lineRule="auto"/>
        <w:rPr>
          <w:szCs w:val="22"/>
        </w:rPr>
      </w:pPr>
      <w:r w:rsidRPr="00DC1730">
        <w:rPr>
          <w:szCs w:val="22"/>
        </w:rPr>
        <w:t>‘</w:t>
      </w:r>
      <w:r w:rsidRPr="009C3EAD">
        <w:rPr>
          <w:b/>
          <w:szCs w:val="22"/>
        </w:rPr>
        <w:t>HA</w:t>
      </w:r>
      <w:r w:rsidRPr="009C3EAD">
        <w:rPr>
          <w:szCs w:val="22"/>
        </w:rPr>
        <w:t>’ (Hours of Availability) means those hours within which a DRMP shall maintain a Contracted Dispatch Period to be available for potential DR Curtailment of that DRMP’s Monthly Contracted MW.</w:t>
      </w:r>
    </w:p>
    <w:p w14:paraId="069A8262" w14:textId="77777777" w:rsidR="00EA2603" w:rsidRPr="009C3EAD" w:rsidRDefault="00EA2603" w:rsidP="00EA2603">
      <w:pPr>
        <w:pStyle w:val="ListParagraph"/>
        <w:numPr>
          <w:ilvl w:val="0"/>
          <w:numId w:val="100"/>
        </w:numPr>
        <w:spacing w:after="200" w:line="276" w:lineRule="auto"/>
        <w:rPr>
          <w:szCs w:val="22"/>
        </w:rPr>
      </w:pPr>
      <w:r w:rsidRPr="009C3EAD">
        <w:rPr>
          <w:szCs w:val="22"/>
        </w:rPr>
        <w:t>‘</w:t>
      </w:r>
      <w:r w:rsidRPr="009C3EAD">
        <w:rPr>
          <w:b/>
          <w:szCs w:val="22"/>
        </w:rPr>
        <w:t>MCMW</w:t>
      </w:r>
      <w:r w:rsidRPr="009C3EAD">
        <w:rPr>
          <w:szCs w:val="22"/>
        </w:rPr>
        <w:t xml:space="preserve">’ (Monthly Contracted MW) means the MW of demand reduction capacity for a specific program month as identified in one or more </w:t>
      </w:r>
      <w:r>
        <w:rPr>
          <w:szCs w:val="22"/>
        </w:rPr>
        <w:t>Contract</w:t>
      </w:r>
      <w:r w:rsidRPr="009C3EAD">
        <w:rPr>
          <w:szCs w:val="22"/>
        </w:rPr>
        <w:t xml:space="preserve"> </w:t>
      </w:r>
      <w:r>
        <w:rPr>
          <w:szCs w:val="22"/>
        </w:rPr>
        <w:t>S</w:t>
      </w:r>
      <w:r w:rsidRPr="009C3EAD">
        <w:rPr>
          <w:szCs w:val="22"/>
        </w:rPr>
        <w:t>chedule(s).</w:t>
      </w:r>
    </w:p>
    <w:p w14:paraId="70889DF9" w14:textId="77777777" w:rsidR="00EA2603" w:rsidRPr="009C3EAD" w:rsidRDefault="00EA2603" w:rsidP="00EA2603">
      <w:pPr>
        <w:pStyle w:val="ListParagraph"/>
        <w:numPr>
          <w:ilvl w:val="0"/>
          <w:numId w:val="100"/>
        </w:numPr>
        <w:spacing w:after="200" w:line="276" w:lineRule="auto"/>
        <w:rPr>
          <w:szCs w:val="22"/>
        </w:rPr>
      </w:pPr>
      <w:r w:rsidRPr="009C3EAD">
        <w:rPr>
          <w:szCs w:val="22"/>
        </w:rPr>
        <w:t>‘</w:t>
      </w:r>
      <w:r w:rsidRPr="009C3EAD">
        <w:rPr>
          <w:b/>
          <w:szCs w:val="22"/>
        </w:rPr>
        <w:t>AAR</w:t>
      </w:r>
      <w:r w:rsidRPr="009C3EAD">
        <w:rPr>
          <w:szCs w:val="22"/>
        </w:rPr>
        <w:t>’ (Adjusted Availability Rate), means an amount equal to the Availability Rate, expressed in /MWh, as increased by the Availability Premium or as decreased by the Availability Discount, as the case may be.</w:t>
      </w:r>
    </w:p>
    <w:p w14:paraId="44215863" w14:textId="77777777" w:rsidR="00EA2603" w:rsidRPr="009C3EAD" w:rsidRDefault="00EA2603" w:rsidP="00EA2603">
      <w:pPr>
        <w:pStyle w:val="ListParagraph"/>
        <w:numPr>
          <w:ilvl w:val="0"/>
          <w:numId w:val="100"/>
        </w:numPr>
        <w:spacing w:after="200" w:line="276" w:lineRule="auto"/>
        <w:rPr>
          <w:szCs w:val="22"/>
        </w:rPr>
      </w:pPr>
      <w:r w:rsidRPr="009C3EAD">
        <w:rPr>
          <w:szCs w:val="22"/>
        </w:rPr>
        <w:t>‘</w:t>
      </w:r>
      <w:r w:rsidRPr="009C3EAD">
        <w:rPr>
          <w:b/>
          <w:szCs w:val="22"/>
        </w:rPr>
        <w:t>H</w:t>
      </w:r>
      <w:r w:rsidRPr="009C3EAD">
        <w:rPr>
          <w:szCs w:val="22"/>
        </w:rPr>
        <w:t>’ is the total hours a DRMP is available in a month.</w:t>
      </w:r>
    </w:p>
    <w:p w14:paraId="4E489C6A" w14:textId="77777777" w:rsidR="00EA2603" w:rsidRPr="009C3EAD" w:rsidRDefault="00EA2603" w:rsidP="00EA2603">
      <w:pPr>
        <w:spacing w:after="200" w:line="276" w:lineRule="auto"/>
        <w:rPr>
          <w:rFonts w:eastAsiaTheme="minorHAnsi"/>
          <w:color w:val="000000"/>
          <w:szCs w:val="22"/>
        </w:rPr>
      </w:pPr>
      <w:r w:rsidRPr="009C3EAD">
        <w:rPr>
          <w:color w:val="000000"/>
          <w:szCs w:val="22"/>
        </w:rPr>
        <w:t xml:space="preserve">We use </w:t>
      </w:r>
      <w:r w:rsidRPr="009C3EAD">
        <w:rPr>
          <w:i/>
          <w:iCs/>
          <w:color w:val="000000"/>
          <w:szCs w:val="22"/>
        </w:rPr>
        <w:t xml:space="preserve">charge type </w:t>
      </w:r>
      <w:r w:rsidRPr="009C3EAD">
        <w:rPr>
          <w:color w:val="000000"/>
          <w:szCs w:val="22"/>
        </w:rPr>
        <w:t>1300 “Capacity Based Demand Response Program Availability Payment Settlement Amount”</w:t>
      </w:r>
      <w:r w:rsidRPr="009C3EAD">
        <w:rPr>
          <w:rFonts w:eastAsiaTheme="minorHAnsi"/>
          <w:color w:val="000000"/>
          <w:szCs w:val="22"/>
        </w:rPr>
        <w:t>.</w:t>
      </w:r>
    </w:p>
    <w:p w14:paraId="52A56F2A" w14:textId="77777777" w:rsidR="00EA2603" w:rsidRPr="001016A4" w:rsidRDefault="00EA2603" w:rsidP="003D477D">
      <w:pPr>
        <w:pStyle w:val="AppendixHead3"/>
        <w:numPr>
          <w:ilvl w:val="3"/>
          <w:numId w:val="6"/>
        </w:numPr>
        <w:ind w:left="990"/>
      </w:pPr>
      <w:r w:rsidRPr="001016A4">
        <w:t>Availability Over-Delivery Payment</w:t>
      </w:r>
    </w:p>
    <w:p w14:paraId="2FA6843D" w14:textId="77777777" w:rsidR="00EA2603" w:rsidRPr="009C3EAD" w:rsidRDefault="00EA2603" w:rsidP="00EA2603">
      <w:pPr>
        <w:spacing w:before="120" w:after="120"/>
        <w:rPr>
          <w:color w:val="000000"/>
          <w:szCs w:val="22"/>
        </w:rPr>
      </w:pPr>
      <w:r w:rsidRPr="009C3EAD">
        <w:rPr>
          <w:color w:val="000000"/>
          <w:szCs w:val="22"/>
        </w:rPr>
        <w:t>Over-delivery for an Open Standby Notification will result in an Availability Over-Delivery Payment for each hour that exceeded the Monthly Contracted MW or Contracted Dispatch Period.</w:t>
      </w:r>
    </w:p>
    <w:p w14:paraId="222BD3CE" w14:textId="77777777" w:rsidR="00EA2603" w:rsidRPr="009C3EAD" w:rsidRDefault="00EA2603" w:rsidP="00EA2603">
      <w:pPr>
        <w:rPr>
          <w:color w:val="000000"/>
          <w:szCs w:val="22"/>
        </w:rPr>
      </w:pPr>
      <w:r w:rsidRPr="009C3EAD">
        <w:rPr>
          <w:color w:val="000000"/>
          <w:szCs w:val="22"/>
        </w:rPr>
        <w:t>In each hour, the Confirmed MWs are limited to the lesser of the Monthly Contracted MW plus 15 MW or 130% of the Monthly Contracted MW.</w:t>
      </w:r>
    </w:p>
    <w:p w14:paraId="06694FCB" w14:textId="77777777" w:rsidR="00EA2603" w:rsidRPr="009C3EAD" w:rsidRDefault="00EA2603" w:rsidP="00EA2603">
      <w:pPr>
        <w:rPr>
          <w:color w:val="000000"/>
          <w:szCs w:val="22"/>
        </w:rPr>
      </w:pPr>
      <w:r w:rsidRPr="009C3EAD">
        <w:rPr>
          <w:color w:val="000000"/>
          <w:szCs w:val="22"/>
        </w:rPr>
        <w:t>The Availability Over-Delivery Payment for a DR Account for a given month is calculated as follows:</w:t>
      </w:r>
    </w:p>
    <w:p w14:paraId="1126DCF1" w14:textId="77777777" w:rsidR="00EA2603" w:rsidRPr="009C3EAD" w:rsidRDefault="00EA2603" w:rsidP="00EA2603">
      <w:pPr>
        <w:rPr>
          <w:color w:val="000000"/>
          <w:szCs w:val="22"/>
          <w:vertAlign w:val="subscript"/>
        </w:rPr>
      </w:pPr>
      <w:r w:rsidRPr="009C3EAD">
        <w:rPr>
          <w:b/>
          <w:bCs/>
          <w:color w:val="000000"/>
          <w:szCs w:val="22"/>
        </w:rPr>
        <w:t>Availability Over-Delivery Payment</w:t>
      </w:r>
      <w:r w:rsidRPr="009C3EAD">
        <w:rPr>
          <w:color w:val="000000"/>
          <w:szCs w:val="22"/>
        </w:rPr>
        <w:t xml:space="preserve"> = ∑</w:t>
      </w:r>
      <w:r w:rsidRPr="009C3EAD">
        <w:rPr>
          <w:color w:val="000000"/>
          <w:szCs w:val="22"/>
          <w:vertAlign w:val="subscript"/>
        </w:rPr>
        <w:t>H</w:t>
      </w:r>
      <w:r w:rsidRPr="009C3EAD">
        <w:rPr>
          <w:color w:val="000000"/>
          <w:szCs w:val="22"/>
        </w:rPr>
        <w:t xml:space="preserve"> (CMW</w:t>
      </w:r>
      <w:r w:rsidRPr="009C3EAD">
        <w:rPr>
          <w:color w:val="000000"/>
          <w:szCs w:val="22"/>
          <w:vertAlign w:val="subscript"/>
        </w:rPr>
        <w:t>h</w:t>
      </w:r>
      <w:r w:rsidRPr="009C3EAD">
        <w:rPr>
          <w:color w:val="000000"/>
          <w:szCs w:val="22"/>
        </w:rPr>
        <w:t xml:space="preserve"> – MCMW</w:t>
      </w:r>
      <w:r w:rsidRPr="009C3EAD">
        <w:rPr>
          <w:color w:val="000000"/>
          <w:szCs w:val="22"/>
          <w:vertAlign w:val="subscript"/>
        </w:rPr>
        <w:t>h</w:t>
      </w:r>
      <w:r w:rsidRPr="009C3EAD">
        <w:rPr>
          <w:color w:val="000000"/>
          <w:szCs w:val="22"/>
        </w:rPr>
        <w:t>) × AODR</w:t>
      </w:r>
      <w:r w:rsidRPr="009C3EAD">
        <w:rPr>
          <w:color w:val="000000"/>
          <w:szCs w:val="22"/>
          <w:vertAlign w:val="subscript"/>
        </w:rPr>
        <w:t>h</w:t>
      </w:r>
    </w:p>
    <w:p w14:paraId="1AF6B3E3" w14:textId="77777777" w:rsidR="00EA2603" w:rsidRPr="009C3EAD" w:rsidRDefault="00EA2603" w:rsidP="00EA2603">
      <w:pPr>
        <w:ind w:left="720"/>
        <w:rPr>
          <w:b/>
        </w:rPr>
      </w:pPr>
      <w:r w:rsidRPr="009C3EAD">
        <w:rPr>
          <w:b/>
        </w:rPr>
        <w:t>Where:</w:t>
      </w:r>
    </w:p>
    <w:p w14:paraId="055FD6FF" w14:textId="77777777" w:rsidR="00EA2603" w:rsidRPr="009C3EAD" w:rsidRDefault="00EA2603" w:rsidP="00EA2603">
      <w:pPr>
        <w:pStyle w:val="ListParagraph"/>
        <w:numPr>
          <w:ilvl w:val="0"/>
          <w:numId w:val="100"/>
        </w:numPr>
        <w:spacing w:after="200" w:line="276" w:lineRule="auto"/>
        <w:rPr>
          <w:szCs w:val="22"/>
        </w:rPr>
      </w:pPr>
      <w:r w:rsidRPr="009C3EAD">
        <w:rPr>
          <w:szCs w:val="22"/>
        </w:rPr>
        <w:t>‘</w:t>
      </w:r>
      <w:r w:rsidRPr="009C3EAD">
        <w:rPr>
          <w:b/>
          <w:szCs w:val="22"/>
        </w:rPr>
        <w:t>CMW</w:t>
      </w:r>
      <w:r w:rsidRPr="009C3EAD">
        <w:rPr>
          <w:szCs w:val="22"/>
        </w:rPr>
        <w:t xml:space="preserve">’ (Confirmed MW), means the number of MW available for DR Curtailment by the DRMP. </w:t>
      </w:r>
    </w:p>
    <w:p w14:paraId="48C7ABB5" w14:textId="77777777" w:rsidR="00EA2603" w:rsidRPr="009C3EAD" w:rsidRDefault="00EA2603" w:rsidP="00EA2603">
      <w:pPr>
        <w:pStyle w:val="ListParagraph"/>
        <w:numPr>
          <w:ilvl w:val="0"/>
          <w:numId w:val="100"/>
        </w:numPr>
        <w:spacing w:after="200" w:line="276" w:lineRule="auto"/>
        <w:rPr>
          <w:szCs w:val="22"/>
        </w:rPr>
      </w:pPr>
      <w:r w:rsidRPr="009C3EAD">
        <w:rPr>
          <w:szCs w:val="22"/>
        </w:rPr>
        <w:t>‘</w:t>
      </w:r>
      <w:r w:rsidRPr="009C3EAD">
        <w:rPr>
          <w:b/>
          <w:szCs w:val="22"/>
        </w:rPr>
        <w:t>MCMW</w:t>
      </w:r>
      <w:r w:rsidRPr="009C3EAD">
        <w:rPr>
          <w:szCs w:val="22"/>
        </w:rPr>
        <w:t>’ (Monthly Contracted MW) as defined above.</w:t>
      </w:r>
    </w:p>
    <w:p w14:paraId="2F132C00" w14:textId="77777777" w:rsidR="00EA2603" w:rsidRPr="009C3EAD" w:rsidRDefault="00EA2603" w:rsidP="00EA2603">
      <w:pPr>
        <w:pStyle w:val="ListParagraph"/>
        <w:numPr>
          <w:ilvl w:val="0"/>
          <w:numId w:val="100"/>
        </w:numPr>
        <w:spacing w:after="200" w:line="276" w:lineRule="auto"/>
        <w:rPr>
          <w:szCs w:val="22"/>
        </w:rPr>
      </w:pPr>
      <w:r w:rsidRPr="009C3EAD">
        <w:rPr>
          <w:szCs w:val="22"/>
        </w:rPr>
        <w:t>‘</w:t>
      </w:r>
      <w:r w:rsidRPr="009C3EAD">
        <w:rPr>
          <w:b/>
          <w:szCs w:val="22"/>
        </w:rPr>
        <w:t>AODR</w:t>
      </w:r>
      <w:r w:rsidRPr="009C3EAD">
        <w:rPr>
          <w:szCs w:val="22"/>
        </w:rPr>
        <w:t>’ (availability over-delivery rate), means the over delivery rate.</w:t>
      </w:r>
    </w:p>
    <w:p w14:paraId="0D8BCF66" w14:textId="77777777" w:rsidR="00EA2603" w:rsidRPr="009C3EAD" w:rsidRDefault="00EA2603" w:rsidP="00EA2603">
      <w:pPr>
        <w:pStyle w:val="ListParagraph"/>
        <w:numPr>
          <w:ilvl w:val="0"/>
          <w:numId w:val="100"/>
        </w:numPr>
        <w:spacing w:after="200" w:line="276" w:lineRule="auto"/>
        <w:rPr>
          <w:szCs w:val="22"/>
        </w:rPr>
      </w:pPr>
      <w:r w:rsidRPr="009C3EAD">
        <w:rPr>
          <w:szCs w:val="22"/>
        </w:rPr>
        <w:t>‘</w:t>
      </w:r>
      <w:r w:rsidRPr="009C3EAD">
        <w:rPr>
          <w:b/>
          <w:szCs w:val="22"/>
        </w:rPr>
        <w:t>H</w:t>
      </w:r>
      <w:r w:rsidRPr="009C3EAD">
        <w:rPr>
          <w:szCs w:val="22"/>
        </w:rPr>
        <w:t>’ is the set of all hours ‘h’ in the month where the ‘CMW’ exceeded the ‘MCMW’.</w:t>
      </w:r>
    </w:p>
    <w:p w14:paraId="47A035E6" w14:textId="77777777" w:rsidR="00EA2603" w:rsidRPr="009C3EAD" w:rsidRDefault="00EA2603" w:rsidP="00EA2603">
      <w:pPr>
        <w:spacing w:after="200" w:line="276" w:lineRule="auto"/>
        <w:rPr>
          <w:color w:val="000000"/>
          <w:szCs w:val="22"/>
        </w:rPr>
      </w:pPr>
      <w:r w:rsidRPr="009C3EAD">
        <w:rPr>
          <w:color w:val="000000"/>
          <w:szCs w:val="22"/>
        </w:rPr>
        <w:t xml:space="preserve">We use </w:t>
      </w:r>
      <w:r w:rsidRPr="009C3EAD">
        <w:rPr>
          <w:i/>
          <w:color w:val="000000"/>
          <w:szCs w:val="22"/>
        </w:rPr>
        <w:t>charge type</w:t>
      </w:r>
      <w:r w:rsidRPr="009C3EAD">
        <w:rPr>
          <w:color w:val="000000"/>
          <w:szCs w:val="22"/>
        </w:rPr>
        <w:t xml:space="preserve"> 1301 “Capacity Based Demand Response Program</w:t>
      </w:r>
      <w:r w:rsidRPr="009C3EAD" w:rsidDel="00947D4C">
        <w:rPr>
          <w:color w:val="000000"/>
          <w:szCs w:val="22"/>
        </w:rPr>
        <w:t xml:space="preserve"> </w:t>
      </w:r>
      <w:r w:rsidRPr="009C3EAD">
        <w:rPr>
          <w:color w:val="000000"/>
          <w:szCs w:val="22"/>
        </w:rPr>
        <w:t>Availability Over-Delivery Settlement Amt”.</w:t>
      </w:r>
    </w:p>
    <w:p w14:paraId="68409B15" w14:textId="77777777" w:rsidR="00EA2603" w:rsidRPr="001016A4" w:rsidRDefault="00EA2603" w:rsidP="003D477D">
      <w:pPr>
        <w:pStyle w:val="AppendixHead3"/>
        <w:numPr>
          <w:ilvl w:val="3"/>
          <w:numId w:val="6"/>
        </w:numPr>
        <w:ind w:left="1080"/>
      </w:pPr>
      <w:r w:rsidRPr="001016A4">
        <w:t>Utilization Payment</w:t>
      </w:r>
    </w:p>
    <w:p w14:paraId="118A6F5D" w14:textId="77777777" w:rsidR="00EA2603" w:rsidRPr="009C3EAD" w:rsidRDefault="00EA2603" w:rsidP="00EA2603">
      <w:pPr>
        <w:spacing w:before="120" w:after="120"/>
        <w:rPr>
          <w:color w:val="000000"/>
          <w:szCs w:val="22"/>
        </w:rPr>
      </w:pPr>
      <w:r w:rsidRPr="009C3EAD">
        <w:rPr>
          <w:color w:val="000000"/>
          <w:szCs w:val="22"/>
        </w:rPr>
        <w:t>DRMP</w:t>
      </w:r>
      <w:r>
        <w:rPr>
          <w:color w:val="000000"/>
          <w:szCs w:val="22"/>
        </w:rPr>
        <w:t>s</w:t>
      </w:r>
      <w:r w:rsidRPr="009C3EAD">
        <w:rPr>
          <w:color w:val="000000"/>
          <w:szCs w:val="22"/>
        </w:rPr>
        <w:t xml:space="preserve"> will be paid for the amount of Load reduction the DRMP actually provided for a DR Activation for each DR Account based on the Actual Activated MWh and the utilization rate.</w:t>
      </w:r>
    </w:p>
    <w:p w14:paraId="06DF0A7F" w14:textId="77777777" w:rsidR="00EA2603" w:rsidRPr="009C3EAD" w:rsidRDefault="00EA2603" w:rsidP="00EA2603">
      <w:pPr>
        <w:rPr>
          <w:color w:val="000000"/>
          <w:szCs w:val="22"/>
        </w:rPr>
      </w:pPr>
      <w:r w:rsidRPr="009C3EAD">
        <w:rPr>
          <w:color w:val="000000"/>
          <w:szCs w:val="22"/>
        </w:rPr>
        <w:t xml:space="preserve">The Actual Activated MWhs are the metered reduction for the Activation Period. The Actual Activated MWh amount can be a positive or negative number. </w:t>
      </w:r>
    </w:p>
    <w:p w14:paraId="35A25718" w14:textId="77777777" w:rsidR="00EA2603" w:rsidRPr="009C3EAD" w:rsidRDefault="00EA2603" w:rsidP="00EA2603">
      <w:pPr>
        <w:rPr>
          <w:color w:val="000000"/>
          <w:szCs w:val="22"/>
        </w:rPr>
      </w:pPr>
      <w:r w:rsidRPr="00966B12">
        <w:rPr>
          <w:color w:val="000000"/>
          <w:szCs w:val="22"/>
        </w:rPr>
        <w:t xml:space="preserve">For Load reduction payments, the total reduction cannot exceed the product of the </w:t>
      </w:r>
      <w:r w:rsidRPr="00781DF0">
        <w:rPr>
          <w:color w:val="000000"/>
          <w:szCs w:val="22"/>
        </w:rPr>
        <w:t>Activiation</w:t>
      </w:r>
      <w:r w:rsidRPr="00966B12">
        <w:rPr>
          <w:color w:val="000000"/>
          <w:szCs w:val="22"/>
        </w:rPr>
        <w:t xml:space="preserve"> MW and the Activation Period, plus the lesser of an additional 15 MW</w:t>
      </w:r>
      <w:r w:rsidRPr="009C3EAD">
        <w:rPr>
          <w:color w:val="000000"/>
          <w:szCs w:val="22"/>
        </w:rPr>
        <w:t xml:space="preserve"> per hour of the Activation Period or 15% of the Activation MW per hour of the Activation Period.  Utilization Payments will not be paid during periods of Planned Non-Performance Events even if the IESO issued an Activation Notice.</w:t>
      </w:r>
    </w:p>
    <w:p w14:paraId="2FF40CF6" w14:textId="77777777" w:rsidR="00EA2603" w:rsidRPr="009C3EAD" w:rsidRDefault="00EA2603" w:rsidP="00EA2603">
      <w:pPr>
        <w:pStyle w:val="OHHpara"/>
        <w:spacing w:line="240" w:lineRule="auto"/>
        <w:rPr>
          <w:rFonts w:ascii="Times New Roman" w:hAnsi="Times New Roman"/>
          <w:color w:val="000000"/>
          <w:sz w:val="22"/>
          <w:szCs w:val="22"/>
        </w:rPr>
      </w:pPr>
      <w:r w:rsidRPr="009C3EAD">
        <w:rPr>
          <w:rFonts w:ascii="Times New Roman" w:hAnsi="Times New Roman"/>
          <w:color w:val="000000"/>
          <w:sz w:val="22"/>
          <w:szCs w:val="22"/>
        </w:rPr>
        <w:t xml:space="preserve">The Utilization Payment for a DR Account for a given month is calculated as follows: </w:t>
      </w:r>
    </w:p>
    <w:p w14:paraId="20F37607" w14:textId="127F6A9B" w:rsidR="00EA2603" w:rsidRPr="009C3EAD" w:rsidRDefault="00AF31CD" w:rsidP="00EA2603">
      <w:pPr>
        <w:ind w:left="720"/>
        <w:rPr>
          <w:rFonts w:eastAsiaTheme="minorHAnsi"/>
          <w:b/>
          <w:bCs/>
          <w:color w:val="000000"/>
          <w:szCs w:val="22"/>
        </w:rPr>
      </w:pPr>
      <w:r>
        <w:rPr>
          <w:noProof/>
          <w:lang w:val="en-CA"/>
        </w:rPr>
        <w:drawing>
          <wp:inline distT="0" distB="0" distL="0" distR="0" wp14:anchorId="3D29739B" wp14:editId="306C4F8D">
            <wp:extent cx="5715000" cy="431165"/>
            <wp:effectExtent l="0" t="0" r="0" b="6985"/>
            <wp:docPr id="16" name="Picture 16" descr="Equation for Utilization Pay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715000" cy="431165"/>
                    </a:xfrm>
                    <a:prstGeom prst="rect">
                      <a:avLst/>
                    </a:prstGeom>
                  </pic:spPr>
                </pic:pic>
              </a:graphicData>
            </a:graphic>
          </wp:inline>
        </w:drawing>
      </w:r>
      <w:r w:rsidR="00EA2603" w:rsidRPr="009C3EAD">
        <w:rPr>
          <w:rFonts w:eastAsiaTheme="minorHAnsi"/>
          <w:b/>
          <w:bCs/>
          <w:color w:val="000000"/>
          <w:szCs w:val="22"/>
        </w:rPr>
        <w:t>Where:</w:t>
      </w:r>
    </w:p>
    <w:p w14:paraId="3703B5C6" w14:textId="77777777" w:rsidR="00EA2603" w:rsidRPr="009C3EAD" w:rsidRDefault="00EA2603" w:rsidP="00EA2603">
      <w:pPr>
        <w:pStyle w:val="ListParagraph"/>
        <w:numPr>
          <w:ilvl w:val="0"/>
          <w:numId w:val="100"/>
        </w:numPr>
        <w:spacing w:after="200" w:line="276" w:lineRule="auto"/>
        <w:rPr>
          <w:szCs w:val="22"/>
        </w:rPr>
      </w:pPr>
      <w:r w:rsidRPr="009C3EAD">
        <w:rPr>
          <w:szCs w:val="22"/>
        </w:rPr>
        <w:t>‘</w:t>
      </w:r>
      <w:r w:rsidRPr="009C3EAD">
        <w:rPr>
          <w:b/>
          <w:szCs w:val="22"/>
        </w:rPr>
        <w:t>AAM</w:t>
      </w:r>
      <w:r w:rsidRPr="009C3EAD">
        <w:rPr>
          <w:szCs w:val="22"/>
        </w:rPr>
        <w:t>’ (Actual Activated MWh), means the number of MWh Curtailed by a DRMP when requested by the IESO, as measured through the use of electricity meter(s). DR Curtailment shall not exceed the product of the Activation MW and the Activation Period, plus the lesser of an additional 15% of the Activation MW per hour of the Activation Period or 15 MW per hour of the Activation Period.</w:t>
      </w:r>
    </w:p>
    <w:p w14:paraId="24612E7E" w14:textId="77777777" w:rsidR="00EA2603" w:rsidRPr="009C3EAD" w:rsidRDefault="00EA2603" w:rsidP="00EA2603">
      <w:pPr>
        <w:pStyle w:val="ListParagraph"/>
        <w:numPr>
          <w:ilvl w:val="0"/>
          <w:numId w:val="100"/>
        </w:numPr>
        <w:spacing w:after="200" w:line="276" w:lineRule="auto"/>
        <w:rPr>
          <w:szCs w:val="22"/>
        </w:rPr>
      </w:pPr>
      <w:r w:rsidRPr="009C3EAD">
        <w:rPr>
          <w:szCs w:val="22"/>
        </w:rPr>
        <w:t>‘</w:t>
      </w:r>
      <w:r w:rsidRPr="009C3EAD">
        <w:rPr>
          <w:b/>
          <w:szCs w:val="22"/>
        </w:rPr>
        <w:t>UR</w:t>
      </w:r>
      <w:r w:rsidRPr="009C3EAD">
        <w:rPr>
          <w:szCs w:val="22"/>
        </w:rPr>
        <w:t>’ (utilization rate), means the rates, expressed in $/MWh.</w:t>
      </w:r>
    </w:p>
    <w:p w14:paraId="3F416F24" w14:textId="77777777" w:rsidR="00EA2603" w:rsidRPr="009C3EAD" w:rsidRDefault="00EA2603" w:rsidP="00EA2603">
      <w:pPr>
        <w:pStyle w:val="ListParagraph"/>
        <w:numPr>
          <w:ilvl w:val="0"/>
          <w:numId w:val="100"/>
        </w:numPr>
        <w:spacing w:after="200" w:line="276" w:lineRule="auto"/>
        <w:rPr>
          <w:szCs w:val="22"/>
        </w:rPr>
      </w:pPr>
      <w:r w:rsidRPr="009C3EAD">
        <w:rPr>
          <w:szCs w:val="22"/>
        </w:rPr>
        <w:t>‘</w:t>
      </w:r>
      <w:r w:rsidRPr="009C3EAD">
        <w:rPr>
          <w:b/>
          <w:szCs w:val="22"/>
        </w:rPr>
        <w:t>NG</w:t>
      </w:r>
      <w:r w:rsidRPr="009C3EAD">
        <w:rPr>
          <w:szCs w:val="22"/>
        </w:rPr>
        <w:t>’ (net generation), means the MWh of net electricity generated by any contributor that is a Behind the Meter Generator.</w:t>
      </w:r>
    </w:p>
    <w:p w14:paraId="4C5189F9" w14:textId="77777777" w:rsidR="00EA2603" w:rsidRPr="009C3EAD" w:rsidRDefault="00EA2603" w:rsidP="00EA2603">
      <w:pPr>
        <w:pStyle w:val="ListParagraph"/>
        <w:numPr>
          <w:ilvl w:val="0"/>
          <w:numId w:val="100"/>
        </w:numPr>
        <w:spacing w:after="200" w:line="276" w:lineRule="auto"/>
        <w:rPr>
          <w:b/>
          <w:szCs w:val="22"/>
        </w:rPr>
      </w:pPr>
      <w:r w:rsidRPr="009C3EAD">
        <w:rPr>
          <w:szCs w:val="22"/>
        </w:rPr>
        <w:t>‘</w:t>
      </w:r>
      <w:r w:rsidRPr="009C3EAD">
        <w:rPr>
          <w:b/>
          <w:szCs w:val="22"/>
        </w:rPr>
        <w:t>HOEP</w:t>
      </w:r>
      <w:r w:rsidRPr="009C3EAD">
        <w:rPr>
          <w:szCs w:val="22"/>
        </w:rPr>
        <w:t>’ (</w:t>
      </w:r>
      <w:r w:rsidRPr="009C3EAD">
        <w:rPr>
          <w:i/>
          <w:szCs w:val="22"/>
        </w:rPr>
        <w:t>Hourly Ontario Energy Price</w:t>
      </w:r>
      <w:r w:rsidRPr="009C3EAD">
        <w:rPr>
          <w:szCs w:val="22"/>
        </w:rPr>
        <w:t>) as defined in the Market Rules.</w:t>
      </w:r>
    </w:p>
    <w:p w14:paraId="6F2703C0" w14:textId="77777777" w:rsidR="00EA2603" w:rsidRPr="009C3EAD" w:rsidRDefault="00EA2603" w:rsidP="00EA2603">
      <w:pPr>
        <w:pStyle w:val="ListParagraph"/>
        <w:numPr>
          <w:ilvl w:val="0"/>
          <w:numId w:val="100"/>
        </w:numPr>
        <w:spacing w:after="200" w:line="276" w:lineRule="auto"/>
        <w:rPr>
          <w:b/>
          <w:szCs w:val="22"/>
        </w:rPr>
      </w:pPr>
      <w:r w:rsidRPr="009C3EAD">
        <w:rPr>
          <w:szCs w:val="22"/>
        </w:rPr>
        <w:t>‘</w:t>
      </w:r>
      <w:r w:rsidRPr="009C3EAD">
        <w:rPr>
          <w:b/>
          <w:szCs w:val="22"/>
        </w:rPr>
        <w:t>H</w:t>
      </w:r>
      <w:r w:rsidRPr="009C3EAD">
        <w:rPr>
          <w:szCs w:val="22"/>
        </w:rPr>
        <w:t>’ is the total hours ‘h’ a DRMP is Activated in a month.</w:t>
      </w:r>
    </w:p>
    <w:p w14:paraId="46C7C4FA" w14:textId="77777777" w:rsidR="00EA2603" w:rsidRPr="009C3EAD" w:rsidRDefault="00EA2603" w:rsidP="00EA2603">
      <w:pPr>
        <w:spacing w:after="200" w:line="276" w:lineRule="auto"/>
        <w:rPr>
          <w:b/>
          <w:bCs/>
          <w:color w:val="000000"/>
          <w:szCs w:val="22"/>
        </w:rPr>
      </w:pPr>
      <w:r w:rsidRPr="009C3EAD">
        <w:rPr>
          <w:color w:val="000000"/>
          <w:szCs w:val="22"/>
        </w:rPr>
        <w:t xml:space="preserve">We use </w:t>
      </w:r>
      <w:r w:rsidRPr="009C3EAD">
        <w:rPr>
          <w:i/>
          <w:iCs/>
          <w:color w:val="000000"/>
          <w:szCs w:val="22"/>
        </w:rPr>
        <w:t xml:space="preserve">charge type </w:t>
      </w:r>
      <w:r w:rsidRPr="009C3EAD">
        <w:rPr>
          <w:color w:val="000000"/>
          <w:szCs w:val="22"/>
        </w:rPr>
        <w:t>1303 “Capacity Based Demand Response Program</w:t>
      </w:r>
      <w:r w:rsidRPr="009C3EAD" w:rsidDel="00947D4C">
        <w:rPr>
          <w:color w:val="000000"/>
          <w:szCs w:val="22"/>
        </w:rPr>
        <w:t xml:space="preserve"> </w:t>
      </w:r>
      <w:r w:rsidRPr="009C3EAD">
        <w:rPr>
          <w:color w:val="000000"/>
          <w:szCs w:val="22"/>
        </w:rPr>
        <w:t>Utilization Payment Settlement Amount”</w:t>
      </w:r>
      <w:r w:rsidRPr="009C3EAD">
        <w:rPr>
          <w:b/>
          <w:bCs/>
          <w:color w:val="000000"/>
          <w:szCs w:val="22"/>
        </w:rPr>
        <w:t>.</w:t>
      </w:r>
    </w:p>
    <w:p w14:paraId="78DC77C5" w14:textId="77777777" w:rsidR="00EA2603" w:rsidRPr="009C3EAD" w:rsidRDefault="00EA2603" w:rsidP="00F71000">
      <w:pPr>
        <w:pStyle w:val="AppendixHead3"/>
      </w:pPr>
      <w:r w:rsidRPr="009C3EAD">
        <w:t>Settlement of Performance Set-Offs</w:t>
      </w:r>
    </w:p>
    <w:p w14:paraId="3CEBAF50" w14:textId="77777777" w:rsidR="00EA2603" w:rsidRPr="009C3EAD" w:rsidRDefault="00EA2603" w:rsidP="00EA2603">
      <w:pPr>
        <w:pStyle w:val="BodyText"/>
      </w:pPr>
      <w:r w:rsidRPr="009C3EAD">
        <w:t>DRMPs are relied upon by the IESO when assessing adequacy, forecasting demand, and managing system performance. DRMPs are required to maintain a reliability rate of at least 85% for each and every Interval of an Activation Hour for each DR Account, and fulfill other requirements set out below, in order to avoid the imposition of performance set-offs.</w:t>
      </w:r>
    </w:p>
    <w:p w14:paraId="38B15586" w14:textId="77777777" w:rsidR="00EA2603" w:rsidRPr="009C3EAD" w:rsidRDefault="00EA2603" w:rsidP="00EA2603">
      <w:pPr>
        <w:pStyle w:val="BodyText"/>
      </w:pPr>
      <w:r w:rsidRPr="009C3EAD">
        <w:t>The reliability rate with respect to such Interval “</w:t>
      </w:r>
      <w:r w:rsidRPr="009C3EAD">
        <w:rPr>
          <w:i/>
          <w:iCs/>
        </w:rPr>
        <w:t>i</w:t>
      </w:r>
      <w:r w:rsidRPr="009C3EAD">
        <w:t>” shall be calculated as follows:</w:t>
      </w:r>
    </w:p>
    <w:p w14:paraId="062AB7C5" w14:textId="77777777" w:rsidR="00EA2603" w:rsidRPr="009C3EAD" w:rsidRDefault="005C5CD4" w:rsidP="00EA2603">
      <w:pPr>
        <w:jc w:val="center"/>
        <w:rPr>
          <w:b/>
        </w:rPr>
      </w:pPr>
      <m:oMath>
        <m:sSub>
          <m:sSubPr>
            <m:ctrlPr>
              <w:rPr>
                <w:rFonts w:ascii="Cambria Math" w:hAnsi="Cambria Math"/>
                <w:b/>
                <w:i/>
              </w:rPr>
            </m:ctrlPr>
          </m:sSubPr>
          <m:e>
            <m:r>
              <m:rPr>
                <m:sty m:val="bi"/>
              </m:rPr>
              <w:rPr>
                <w:rFonts w:ascii="Cambria Math" w:hAnsi="Cambria Math"/>
              </w:rPr>
              <m:t>Reliability Rate</m:t>
            </m:r>
          </m:e>
          <m:sub>
            <m:r>
              <m:rPr>
                <m:sty m:val="bi"/>
              </m:rPr>
              <w:rPr>
                <w:rFonts w:ascii="Cambria Math" w:hAnsi="Cambria Math"/>
              </w:rPr>
              <m:t>i</m:t>
            </m:r>
          </m:sub>
        </m:sSub>
        <m:r>
          <m:rPr>
            <m:sty m:val="bi"/>
          </m:rPr>
          <w:rPr>
            <w:rFonts w:ascii="Cambria Math" w:hAnsi="Cambria Math"/>
          </w:rPr>
          <m:t>=</m:t>
        </m:r>
        <m:f>
          <m:fPr>
            <m:ctrlPr>
              <w:rPr>
                <w:rFonts w:ascii="Cambria Math" w:hAnsi="Cambria Math"/>
                <w:b/>
                <w:i/>
              </w:rPr>
            </m:ctrlPr>
          </m:fPr>
          <m:num>
            <m:r>
              <m:rPr>
                <m:sty m:val="bi"/>
              </m:rPr>
              <w:rPr>
                <w:rFonts w:ascii="Cambria Math" w:hAnsi="Cambria Math"/>
              </w:rPr>
              <m:t>Actual Activated MWh per Interval</m:t>
            </m:r>
          </m:num>
          <m:den>
            <m:r>
              <m:rPr>
                <m:sty m:val="bi"/>
              </m:rPr>
              <w:rPr>
                <w:rFonts w:ascii="Cambria Math" w:hAnsi="Cambria Math"/>
              </w:rPr>
              <m:t xml:space="preserve">Activation MW x </m:t>
            </m:r>
            <m:f>
              <m:fPr>
                <m:ctrlPr>
                  <w:rPr>
                    <w:rFonts w:ascii="Cambria Math" w:hAnsi="Cambria Math"/>
                    <w:b/>
                    <w:i/>
                  </w:rPr>
                </m:ctrlPr>
              </m:fPr>
              <m:num>
                <m:r>
                  <m:rPr>
                    <m:sty m:val="bi"/>
                  </m:rPr>
                  <w:rPr>
                    <w:rFonts w:ascii="Cambria Math" w:hAnsi="Cambria Math"/>
                  </w:rPr>
                  <m:t>1</m:t>
                </m:r>
              </m:num>
              <m:den>
                <m:r>
                  <m:rPr>
                    <m:sty m:val="bi"/>
                  </m:rPr>
                  <w:rPr>
                    <w:rFonts w:ascii="Cambria Math" w:hAnsi="Cambria Math"/>
                  </w:rPr>
                  <m:t>12</m:t>
                </m:r>
              </m:den>
            </m:f>
            <m:r>
              <m:rPr>
                <m:sty m:val="bi"/>
              </m:rPr>
              <w:rPr>
                <w:rFonts w:ascii="Cambria Math" w:hAnsi="Cambria Math"/>
              </w:rPr>
              <m:t xml:space="preserve"> of an hour</m:t>
            </m:r>
          </m:den>
        </m:f>
      </m:oMath>
      <w:r w:rsidR="00EA2603" w:rsidRPr="009C3EAD">
        <w:rPr>
          <w:rFonts w:eastAsiaTheme="minorEastAsia"/>
          <w:b/>
        </w:rPr>
        <w:t xml:space="preserve"> x 100</w:t>
      </w:r>
    </w:p>
    <w:p w14:paraId="2FD8BBFC" w14:textId="77777777" w:rsidR="00EA2603" w:rsidRPr="009C3EAD" w:rsidRDefault="00EA2603" w:rsidP="00EA2603">
      <w:pPr>
        <w:pStyle w:val="BodyText"/>
      </w:pPr>
      <w:r w:rsidRPr="009C3EAD">
        <w:rPr>
          <w:iCs/>
          <w:color w:val="000000"/>
          <w:szCs w:val="22"/>
        </w:rPr>
        <w:t>The resulting reliability rate for an Interval shall not exceed 100%.</w:t>
      </w:r>
    </w:p>
    <w:p w14:paraId="28B08DF6" w14:textId="77777777" w:rsidR="00EA2603" w:rsidRPr="009C3EAD" w:rsidRDefault="00EA2603" w:rsidP="00EA2603">
      <w:pPr>
        <w:pStyle w:val="BodyText"/>
        <w:rPr>
          <w:iCs/>
          <w:color w:val="000000"/>
          <w:szCs w:val="22"/>
        </w:rPr>
      </w:pPr>
      <w:r w:rsidRPr="009C3EAD">
        <w:rPr>
          <w:iCs/>
          <w:color w:val="000000"/>
          <w:szCs w:val="22"/>
        </w:rPr>
        <w:t xml:space="preserve">Where there is more than one </w:t>
      </w:r>
      <w:r>
        <w:rPr>
          <w:iCs/>
          <w:color w:val="000000"/>
          <w:szCs w:val="22"/>
        </w:rPr>
        <w:t>Contract</w:t>
      </w:r>
      <w:r w:rsidRPr="009C3EAD">
        <w:rPr>
          <w:iCs/>
          <w:color w:val="000000"/>
          <w:szCs w:val="22"/>
        </w:rPr>
        <w:t xml:space="preserve"> </w:t>
      </w:r>
      <w:r>
        <w:rPr>
          <w:iCs/>
          <w:color w:val="000000"/>
          <w:szCs w:val="22"/>
        </w:rPr>
        <w:t>S</w:t>
      </w:r>
      <w:r w:rsidRPr="009C3EAD">
        <w:rPr>
          <w:iCs/>
          <w:color w:val="000000"/>
          <w:szCs w:val="22"/>
        </w:rPr>
        <w:t xml:space="preserve">chedule in a given DR Account, the reliability rate will be calculated on the aggregated Actual Activated MWh and Activation MWs of all the </w:t>
      </w:r>
      <w:r>
        <w:rPr>
          <w:iCs/>
          <w:color w:val="000000"/>
          <w:szCs w:val="22"/>
        </w:rPr>
        <w:t>Contract S</w:t>
      </w:r>
      <w:r w:rsidRPr="009C3EAD">
        <w:rPr>
          <w:iCs/>
          <w:color w:val="000000"/>
          <w:szCs w:val="22"/>
        </w:rPr>
        <w:t>chedules in that DR Account.</w:t>
      </w:r>
    </w:p>
    <w:p w14:paraId="1842E0EC" w14:textId="77777777" w:rsidR="00EA2603" w:rsidRPr="001016A4" w:rsidRDefault="00EA2603" w:rsidP="003D477D">
      <w:pPr>
        <w:pStyle w:val="AppendixHead3"/>
        <w:numPr>
          <w:ilvl w:val="3"/>
          <w:numId w:val="6"/>
        </w:numPr>
        <w:ind w:left="1080"/>
      </w:pPr>
      <w:r w:rsidRPr="001016A4">
        <w:t>Performance Set-Off Factors</w:t>
      </w:r>
    </w:p>
    <w:p w14:paraId="58BB8D4F" w14:textId="77777777" w:rsidR="00EA2603" w:rsidRPr="009C3EAD" w:rsidRDefault="00EA2603" w:rsidP="00EA2603">
      <w:pPr>
        <w:pStyle w:val="BodyText"/>
        <w:rPr>
          <w:szCs w:val="22"/>
        </w:rPr>
      </w:pPr>
      <w:r w:rsidRPr="009C3EAD">
        <w:rPr>
          <w:szCs w:val="22"/>
        </w:rPr>
        <w:t>The table below sets out the performance set-off factors to be applied to availability set-off and utilization set-off calculations where performance set-off factor is used.</w:t>
      </w:r>
    </w:p>
    <w:p w14:paraId="2E28E5CB" w14:textId="6C17A30A" w:rsidR="00EA2603" w:rsidRPr="009C3EAD" w:rsidRDefault="00EA2603" w:rsidP="00AC52B7">
      <w:pPr>
        <w:pStyle w:val="TableCaption"/>
        <w:keepNext/>
        <w:pageBreakBefore/>
      </w:pPr>
      <w:bookmarkStart w:id="1638" w:name="_Toc35796445"/>
      <w:bookmarkStart w:id="1639" w:name="_Toc79657852"/>
      <w:r w:rsidRPr="009C3EAD">
        <w:t xml:space="preserve">Table </w:t>
      </w:r>
      <w:r w:rsidR="005D1E49">
        <w:t>E</w:t>
      </w:r>
      <w:r w:rsidR="00E27134" w:rsidRPr="009C3EAD">
        <w:t>–</w:t>
      </w:r>
      <w:r w:rsidR="005D1E49">
        <w:t>2</w:t>
      </w:r>
      <w:r w:rsidRPr="009C3EAD">
        <w:t>:  Performance Set-Off Factors</w:t>
      </w:r>
      <w:bookmarkEnd w:id="1638"/>
      <w:bookmarkEnd w:id="1639"/>
    </w:p>
    <w:tbl>
      <w:tblPr>
        <w:tblStyle w:val="TableGrid"/>
        <w:tblW w:w="9576" w:type="dxa"/>
        <w:tblLayout w:type="fixed"/>
        <w:tblLook w:val="04A0" w:firstRow="1" w:lastRow="0" w:firstColumn="1" w:lastColumn="0" w:noHBand="0" w:noVBand="1"/>
        <w:tblDescription w:val="Table of Performance Set-Off Factors"/>
      </w:tblPr>
      <w:tblGrid>
        <w:gridCol w:w="1638"/>
        <w:gridCol w:w="7938"/>
      </w:tblGrid>
      <w:tr w:rsidR="00EA2603" w:rsidRPr="00DC1730" w14:paraId="0343F13C" w14:textId="77777777" w:rsidTr="001E65B5">
        <w:trPr>
          <w:tblHeader/>
        </w:trPr>
        <w:tc>
          <w:tcPr>
            <w:tcW w:w="1638" w:type="dxa"/>
            <w:shd w:val="clear" w:color="auto" w:fill="D9D9D9" w:themeFill="background1" w:themeFillShade="D9"/>
          </w:tcPr>
          <w:p w14:paraId="72046B45" w14:textId="77777777" w:rsidR="00EA2603" w:rsidRPr="009C3EAD" w:rsidRDefault="00EA2603" w:rsidP="00A57654">
            <w:pPr>
              <w:jc w:val="center"/>
              <w:rPr>
                <w:rFonts w:eastAsiaTheme="majorEastAsia"/>
                <w:b/>
                <w:bCs/>
                <w:szCs w:val="22"/>
              </w:rPr>
            </w:pPr>
            <w:r w:rsidRPr="009C3EAD">
              <w:rPr>
                <w:rFonts w:eastAsiaTheme="majorEastAsia"/>
                <w:b/>
                <w:bCs/>
                <w:szCs w:val="22"/>
              </w:rPr>
              <w:t>Performance Set-Off Factor</w:t>
            </w:r>
          </w:p>
        </w:tc>
        <w:tc>
          <w:tcPr>
            <w:tcW w:w="7938" w:type="dxa"/>
            <w:shd w:val="clear" w:color="auto" w:fill="D9D9D9" w:themeFill="background1" w:themeFillShade="D9"/>
          </w:tcPr>
          <w:p w14:paraId="2E941DB2" w14:textId="77777777" w:rsidR="00EA2603" w:rsidRPr="00DC1730" w:rsidRDefault="00EA2603" w:rsidP="00A57654">
            <w:pPr>
              <w:jc w:val="center"/>
              <w:rPr>
                <w:rFonts w:eastAsiaTheme="majorEastAsia"/>
                <w:b/>
                <w:bCs/>
                <w:szCs w:val="22"/>
              </w:rPr>
            </w:pPr>
            <w:r w:rsidRPr="009C3EAD">
              <w:rPr>
                <w:rFonts w:eastAsiaTheme="majorEastAsia"/>
                <w:b/>
                <w:bCs/>
                <w:szCs w:val="22"/>
              </w:rPr>
              <w:t>Circumstances in which the Performance Set-Off Factor is to be applied</w:t>
            </w:r>
          </w:p>
        </w:tc>
      </w:tr>
      <w:tr w:rsidR="00EA2603" w:rsidRPr="009C3EAD" w14:paraId="36DD3E04" w14:textId="77777777" w:rsidTr="001E65B5">
        <w:tc>
          <w:tcPr>
            <w:tcW w:w="1638" w:type="dxa"/>
            <w:vAlign w:val="center"/>
          </w:tcPr>
          <w:p w14:paraId="608A4DC8" w14:textId="77777777" w:rsidR="00EA2603" w:rsidRPr="009C3EAD" w:rsidRDefault="00EA2603" w:rsidP="00B94DE0">
            <w:pPr>
              <w:jc w:val="center"/>
              <w:rPr>
                <w:rFonts w:eastAsiaTheme="majorEastAsia"/>
                <w:bCs/>
                <w:szCs w:val="22"/>
              </w:rPr>
            </w:pPr>
            <w:r w:rsidRPr="009C3EAD">
              <w:rPr>
                <w:rFonts w:eastAsiaTheme="majorEastAsia"/>
                <w:bCs/>
                <w:szCs w:val="22"/>
              </w:rPr>
              <w:t>2.0</w:t>
            </w:r>
          </w:p>
        </w:tc>
        <w:tc>
          <w:tcPr>
            <w:tcW w:w="7938" w:type="dxa"/>
          </w:tcPr>
          <w:p w14:paraId="34D6DA56" w14:textId="77777777" w:rsidR="00EA2603" w:rsidRPr="009C3EAD" w:rsidRDefault="00EA2603" w:rsidP="00B94DE0">
            <w:pPr>
              <w:pStyle w:val="ListParagraph"/>
              <w:numPr>
                <w:ilvl w:val="0"/>
                <w:numId w:val="104"/>
              </w:numPr>
              <w:rPr>
                <w:rFonts w:eastAsiaTheme="majorEastAsia"/>
                <w:bCs/>
                <w:szCs w:val="22"/>
              </w:rPr>
            </w:pPr>
            <w:r w:rsidRPr="009C3EAD">
              <w:rPr>
                <w:rFonts w:eastAsiaTheme="majorEastAsia"/>
                <w:bCs/>
                <w:szCs w:val="22"/>
              </w:rPr>
              <w:t>The reliability rate in any one or more Intervals is less than 85%; or</w:t>
            </w:r>
          </w:p>
          <w:p w14:paraId="3182D635" w14:textId="77777777" w:rsidR="00EA2603" w:rsidRPr="009C3EAD" w:rsidRDefault="00EA2603" w:rsidP="00B94DE0">
            <w:pPr>
              <w:pStyle w:val="ListParagraph"/>
              <w:rPr>
                <w:rFonts w:eastAsiaTheme="majorEastAsia"/>
                <w:bCs/>
                <w:szCs w:val="22"/>
              </w:rPr>
            </w:pPr>
          </w:p>
          <w:p w14:paraId="0360753E" w14:textId="77777777" w:rsidR="00EA2603" w:rsidRPr="009C3EAD" w:rsidRDefault="00EA2603" w:rsidP="00B94DE0">
            <w:pPr>
              <w:pStyle w:val="ListParagraph"/>
              <w:numPr>
                <w:ilvl w:val="0"/>
                <w:numId w:val="104"/>
              </w:numPr>
              <w:rPr>
                <w:rFonts w:eastAsiaTheme="majorEastAsia"/>
                <w:bCs/>
                <w:szCs w:val="22"/>
              </w:rPr>
            </w:pPr>
            <w:r w:rsidRPr="009C3EAD">
              <w:rPr>
                <w:rFonts w:eastAsiaTheme="majorEastAsia"/>
                <w:bCs/>
                <w:szCs w:val="22"/>
              </w:rPr>
              <w:t>If a Confirmation is required, the IESO has not received such Confirmation three or more hours prior to the commencement of the Activation Period to which the Standby Notification relates. This shall not apply to a Confirmation for more than the Monthly Contracted MW in response to an Open Standby Notification; or</w:t>
            </w:r>
          </w:p>
          <w:p w14:paraId="267E71AA" w14:textId="77777777" w:rsidR="00EA2603" w:rsidRPr="009C3EAD" w:rsidRDefault="00EA2603" w:rsidP="00B94DE0">
            <w:pPr>
              <w:pStyle w:val="ListParagraph"/>
              <w:rPr>
                <w:rFonts w:eastAsiaTheme="majorEastAsia"/>
                <w:bCs/>
                <w:szCs w:val="22"/>
              </w:rPr>
            </w:pPr>
          </w:p>
          <w:p w14:paraId="5BDB4BB1" w14:textId="77777777" w:rsidR="00EA2603" w:rsidRPr="009C3EAD" w:rsidRDefault="00EA2603" w:rsidP="00B94DE0">
            <w:pPr>
              <w:pStyle w:val="ListParagraph"/>
              <w:numPr>
                <w:ilvl w:val="0"/>
                <w:numId w:val="104"/>
              </w:numPr>
              <w:rPr>
                <w:rFonts w:eastAsiaTheme="majorEastAsia"/>
                <w:bCs/>
                <w:szCs w:val="22"/>
              </w:rPr>
            </w:pPr>
            <w:r w:rsidRPr="009C3EAD">
              <w:rPr>
                <w:rFonts w:eastAsiaTheme="majorEastAsia"/>
                <w:bCs/>
                <w:szCs w:val="22"/>
              </w:rPr>
              <w:t>The DRMP has advised the IESO, less than three hours prior to the commencement of the Activation Period to which the Standby Notification relates, that the DRMP if not fully available for Curtailment; or</w:t>
            </w:r>
          </w:p>
          <w:p w14:paraId="06F3A357" w14:textId="77777777" w:rsidR="00EA2603" w:rsidRPr="009C3EAD" w:rsidRDefault="00EA2603" w:rsidP="00B94DE0">
            <w:pPr>
              <w:pStyle w:val="ListParagraph"/>
              <w:rPr>
                <w:rFonts w:eastAsiaTheme="majorEastAsia"/>
                <w:bCs/>
                <w:szCs w:val="22"/>
              </w:rPr>
            </w:pPr>
          </w:p>
          <w:p w14:paraId="4BCDF282" w14:textId="77777777" w:rsidR="00EA2603" w:rsidRPr="009C3EAD" w:rsidRDefault="00EA2603" w:rsidP="00B94DE0">
            <w:pPr>
              <w:pStyle w:val="ListParagraph"/>
              <w:numPr>
                <w:ilvl w:val="0"/>
                <w:numId w:val="104"/>
              </w:numPr>
              <w:rPr>
                <w:rFonts w:eastAsiaTheme="majorEastAsia"/>
                <w:bCs/>
                <w:szCs w:val="22"/>
              </w:rPr>
            </w:pPr>
            <w:r w:rsidRPr="009C3EAD">
              <w:rPr>
                <w:rFonts w:eastAsiaTheme="majorEastAsia"/>
                <w:bCs/>
                <w:szCs w:val="22"/>
              </w:rPr>
              <w:t>The IESO has determined that the DRMP was not fully available for Curtailment in relation to the Activation Period to which the Standby Notification relates.</w:t>
            </w:r>
          </w:p>
        </w:tc>
      </w:tr>
      <w:tr w:rsidR="00EA2603" w:rsidRPr="009C3EAD" w14:paraId="5B762B0D" w14:textId="77777777" w:rsidTr="001E65B5">
        <w:tc>
          <w:tcPr>
            <w:tcW w:w="1638" w:type="dxa"/>
            <w:vAlign w:val="center"/>
          </w:tcPr>
          <w:p w14:paraId="60A102A8" w14:textId="77777777" w:rsidR="00EA2603" w:rsidRPr="009C3EAD" w:rsidRDefault="00EA2603" w:rsidP="00B94DE0">
            <w:pPr>
              <w:jc w:val="center"/>
              <w:rPr>
                <w:rFonts w:eastAsiaTheme="majorEastAsia"/>
                <w:bCs/>
                <w:szCs w:val="22"/>
              </w:rPr>
            </w:pPr>
            <w:r w:rsidRPr="009C3EAD">
              <w:rPr>
                <w:rFonts w:eastAsiaTheme="majorEastAsia"/>
                <w:bCs/>
                <w:szCs w:val="22"/>
              </w:rPr>
              <w:t>1.50</w:t>
            </w:r>
          </w:p>
        </w:tc>
        <w:tc>
          <w:tcPr>
            <w:tcW w:w="7938" w:type="dxa"/>
          </w:tcPr>
          <w:p w14:paraId="1BEFD3C1" w14:textId="77777777" w:rsidR="00EA2603" w:rsidRPr="009C3EAD" w:rsidRDefault="00EA2603" w:rsidP="00B94DE0">
            <w:pPr>
              <w:pStyle w:val="ListParagraph"/>
              <w:numPr>
                <w:ilvl w:val="0"/>
                <w:numId w:val="105"/>
              </w:numPr>
              <w:rPr>
                <w:rFonts w:eastAsiaTheme="majorEastAsia"/>
                <w:bCs/>
                <w:szCs w:val="22"/>
              </w:rPr>
            </w:pPr>
            <w:r w:rsidRPr="009C3EAD">
              <w:rPr>
                <w:rFonts w:eastAsiaTheme="majorEastAsia"/>
                <w:bCs/>
                <w:szCs w:val="22"/>
              </w:rPr>
              <w:t xml:space="preserve">If a Confirmation is required, the IESO has received such Confirmation more than 30 minutes late, but more than three hours prior to the commencement of the Activation Period to which the Standby Notification relates, </w:t>
            </w:r>
            <w:r w:rsidRPr="009C3EAD">
              <w:rPr>
                <w:rFonts w:eastAsiaTheme="majorEastAsia"/>
                <w:bCs/>
                <w:szCs w:val="22"/>
                <w:u w:val="single"/>
              </w:rPr>
              <w:t>and</w:t>
            </w:r>
            <w:r w:rsidRPr="009C3EAD">
              <w:rPr>
                <w:rFonts w:eastAsiaTheme="majorEastAsia"/>
                <w:bCs/>
                <w:szCs w:val="22"/>
              </w:rPr>
              <w:t xml:space="preserve"> the Confirmed MW for any one or more Confirmed Hours within the Contracted Dispatch Period is less than 95% of the Monthly Contracted MW. This shall not apply to a Confirmation for more than the Monthly Contracted MW in response to an Open Standby Notification; or</w:t>
            </w:r>
          </w:p>
          <w:p w14:paraId="5A9B5C18" w14:textId="77777777" w:rsidR="00EA2603" w:rsidRPr="009C3EAD" w:rsidRDefault="00EA2603" w:rsidP="00B94DE0">
            <w:pPr>
              <w:pStyle w:val="ListParagraph"/>
              <w:rPr>
                <w:rFonts w:eastAsiaTheme="majorEastAsia"/>
                <w:bCs/>
                <w:szCs w:val="22"/>
              </w:rPr>
            </w:pPr>
          </w:p>
          <w:p w14:paraId="1528DB6A" w14:textId="77777777" w:rsidR="00EA2603" w:rsidRPr="009C3EAD" w:rsidRDefault="00EA2603" w:rsidP="00B94DE0">
            <w:pPr>
              <w:pStyle w:val="ListParagraph"/>
              <w:numPr>
                <w:ilvl w:val="0"/>
                <w:numId w:val="105"/>
              </w:numPr>
              <w:rPr>
                <w:rFonts w:eastAsiaTheme="majorEastAsia"/>
                <w:bCs/>
                <w:szCs w:val="22"/>
              </w:rPr>
            </w:pPr>
            <w:r w:rsidRPr="009C3EAD">
              <w:rPr>
                <w:rFonts w:eastAsiaTheme="majorEastAsia"/>
                <w:bCs/>
                <w:szCs w:val="22"/>
              </w:rPr>
              <w:t>The DRMP has advised the IESO, three or more hours prior to the commencement of the Activation Period to which the Standby Notification relates, that the DRMP is not fully available for Curtailment.</w:t>
            </w:r>
          </w:p>
        </w:tc>
      </w:tr>
      <w:tr w:rsidR="00EA2603" w:rsidRPr="009C3EAD" w14:paraId="54886DB9" w14:textId="77777777" w:rsidTr="001E65B5">
        <w:tc>
          <w:tcPr>
            <w:tcW w:w="1638" w:type="dxa"/>
            <w:vAlign w:val="center"/>
          </w:tcPr>
          <w:p w14:paraId="5F5E7EBE" w14:textId="77777777" w:rsidR="00EA2603" w:rsidRPr="009C3EAD" w:rsidRDefault="00EA2603" w:rsidP="00B94DE0">
            <w:pPr>
              <w:jc w:val="center"/>
              <w:rPr>
                <w:rFonts w:eastAsiaTheme="majorEastAsia"/>
                <w:bCs/>
                <w:szCs w:val="22"/>
              </w:rPr>
            </w:pPr>
            <w:r w:rsidRPr="009C3EAD">
              <w:rPr>
                <w:rFonts w:eastAsiaTheme="majorEastAsia"/>
                <w:bCs/>
                <w:szCs w:val="22"/>
              </w:rPr>
              <w:t>1.25</w:t>
            </w:r>
          </w:p>
        </w:tc>
        <w:tc>
          <w:tcPr>
            <w:tcW w:w="7938" w:type="dxa"/>
          </w:tcPr>
          <w:p w14:paraId="473123E0" w14:textId="77777777" w:rsidR="00EA2603" w:rsidRPr="009C3EAD" w:rsidRDefault="00EA2603" w:rsidP="00B94DE0">
            <w:pPr>
              <w:pStyle w:val="ListParagraph"/>
              <w:numPr>
                <w:ilvl w:val="0"/>
                <w:numId w:val="106"/>
              </w:numPr>
              <w:rPr>
                <w:rFonts w:eastAsiaTheme="majorEastAsia"/>
                <w:bCs/>
                <w:szCs w:val="22"/>
              </w:rPr>
            </w:pPr>
            <w:r w:rsidRPr="009C3EAD">
              <w:rPr>
                <w:rFonts w:eastAsiaTheme="majorEastAsia"/>
                <w:bCs/>
                <w:szCs w:val="22"/>
              </w:rPr>
              <w:t>If a Confirmation is required, the IESO has received such Confirmation 30 minutes late or less. This shall not apply to a Confirmation for more than the Monthly Contracted MW in response to an Open Standby Notification; or</w:t>
            </w:r>
          </w:p>
          <w:p w14:paraId="433A34F2" w14:textId="77777777" w:rsidR="00EA2603" w:rsidRPr="009C3EAD" w:rsidRDefault="00EA2603" w:rsidP="00B94DE0">
            <w:pPr>
              <w:pStyle w:val="ListParagraph"/>
              <w:rPr>
                <w:rFonts w:eastAsiaTheme="majorEastAsia"/>
                <w:bCs/>
                <w:szCs w:val="22"/>
              </w:rPr>
            </w:pPr>
          </w:p>
          <w:p w14:paraId="2B0E0953" w14:textId="77777777" w:rsidR="00EA2603" w:rsidRPr="009C3EAD" w:rsidRDefault="00EA2603" w:rsidP="00B94DE0">
            <w:pPr>
              <w:pStyle w:val="ListParagraph"/>
              <w:numPr>
                <w:ilvl w:val="0"/>
                <w:numId w:val="106"/>
              </w:numPr>
              <w:rPr>
                <w:rFonts w:eastAsiaTheme="majorEastAsia"/>
                <w:bCs/>
                <w:szCs w:val="22"/>
              </w:rPr>
            </w:pPr>
            <w:r w:rsidRPr="009C3EAD">
              <w:rPr>
                <w:rFonts w:eastAsiaTheme="majorEastAsia"/>
                <w:bCs/>
                <w:szCs w:val="22"/>
              </w:rPr>
              <w:t>If a Confirmation is required, the Confirmed MW for any one or more Confirmed Hours within the Contracted Dispatch Period is less than 95% of the Monthly Contracted MW.</w:t>
            </w:r>
          </w:p>
        </w:tc>
      </w:tr>
    </w:tbl>
    <w:p w14:paraId="10E6315F" w14:textId="77777777" w:rsidR="00EA2603" w:rsidRPr="00E57538" w:rsidRDefault="00EA2603" w:rsidP="00EA2603">
      <w:pPr>
        <w:pStyle w:val="BodyText"/>
        <w:spacing w:before="0" w:after="0"/>
      </w:pPr>
    </w:p>
    <w:p w14:paraId="6A00B0D9" w14:textId="77777777" w:rsidR="00EA2603" w:rsidRPr="001016A4" w:rsidRDefault="00EA2603" w:rsidP="003D477D">
      <w:pPr>
        <w:pStyle w:val="AppendixHead3"/>
        <w:numPr>
          <w:ilvl w:val="3"/>
          <w:numId w:val="6"/>
        </w:numPr>
        <w:ind w:left="1080"/>
      </w:pPr>
      <w:r w:rsidRPr="001016A4">
        <w:t>Availability Set-Off</w:t>
      </w:r>
    </w:p>
    <w:p w14:paraId="378D5C89" w14:textId="77777777" w:rsidR="00EA2603" w:rsidRPr="009C3EAD" w:rsidRDefault="00EA2603" w:rsidP="00EA2603">
      <w:pPr>
        <w:spacing w:after="0"/>
        <w:rPr>
          <w:szCs w:val="22"/>
        </w:rPr>
      </w:pPr>
      <w:r w:rsidRPr="009C3EAD">
        <w:rPr>
          <w:szCs w:val="22"/>
        </w:rPr>
        <w:t>The availability set-off applied to a DR Account will be the greatest of (i) the availability set-off (reliability), (ii) availability set-off (timely Confirmation), and (iii) availability set-off (low Confirmation) for each DR Activation event (as calculated below). In the event that the availability set-off exceeds the Availability Payment, then the excess is considered owed by the DRMP to the IESO.</w:t>
      </w:r>
    </w:p>
    <w:p w14:paraId="4523B63B" w14:textId="77777777" w:rsidR="00EA2603" w:rsidRPr="009C3EAD" w:rsidRDefault="00EA2603" w:rsidP="00AC52B7">
      <w:pPr>
        <w:keepNext/>
        <w:spacing w:before="120"/>
        <w:rPr>
          <w:b/>
        </w:rPr>
      </w:pPr>
      <w:r w:rsidRPr="009C3EAD">
        <w:rPr>
          <w:b/>
        </w:rPr>
        <w:t>Availability Set-Off (Reliability)</w:t>
      </w:r>
    </w:p>
    <w:p w14:paraId="0612D3B2" w14:textId="77777777" w:rsidR="00EA2603" w:rsidRPr="00DC1730" w:rsidRDefault="00EA2603" w:rsidP="00EA2603">
      <w:pPr>
        <w:spacing w:after="120"/>
        <w:rPr>
          <w:szCs w:val="22"/>
        </w:rPr>
      </w:pPr>
      <w:r w:rsidRPr="009C3EAD">
        <w:rPr>
          <w:szCs w:val="22"/>
        </w:rPr>
        <w:t>Where the reliability rate for a given DR Account is less than 85% during any Interval of an Activation Hour, or where the DR Account is not fully available for Curtailment</w:t>
      </w:r>
      <w:r w:rsidRPr="009C3EAD">
        <w:rPr>
          <w:rStyle w:val="FootnoteReference"/>
          <w:szCs w:val="22"/>
        </w:rPr>
        <w:footnoteReference w:id="62"/>
      </w:r>
      <w:r w:rsidRPr="009C3EAD">
        <w:rPr>
          <w:szCs w:val="22"/>
        </w:rPr>
        <w:t>, an availability set-off (reliability) for each such Activation Hour in the Activation Period shall be calculated as follows:</w:t>
      </w:r>
    </w:p>
    <w:p w14:paraId="1B501A79" w14:textId="77777777" w:rsidR="00EA2603" w:rsidRPr="009C3EAD" w:rsidRDefault="00EA2603" w:rsidP="00EA2603">
      <w:pPr>
        <w:rPr>
          <w:szCs w:val="22"/>
          <w:vertAlign w:val="subscript"/>
        </w:rPr>
      </w:pPr>
      <w:r w:rsidRPr="009C3EAD">
        <w:rPr>
          <w:b/>
          <w:szCs w:val="22"/>
        </w:rPr>
        <w:t>Availability Set-Off (Reliability)</w:t>
      </w:r>
      <w:r w:rsidRPr="009C3EAD">
        <w:rPr>
          <w:szCs w:val="22"/>
        </w:rPr>
        <w:t xml:space="preserve"> = ∑</w:t>
      </w:r>
      <w:r w:rsidRPr="009C3EAD">
        <w:rPr>
          <w:szCs w:val="22"/>
          <w:vertAlign w:val="subscript"/>
        </w:rPr>
        <w:t xml:space="preserve">H  </w:t>
      </w:r>
      <w:r w:rsidRPr="009C3EAD">
        <w:rPr>
          <w:szCs w:val="22"/>
        </w:rPr>
        <w:t>PSO</w:t>
      </w:r>
      <w:r w:rsidRPr="009C3EAD">
        <w:rPr>
          <w:szCs w:val="22"/>
          <w:vertAlign w:val="subscript"/>
        </w:rPr>
        <w:t>h</w:t>
      </w:r>
      <w:r w:rsidRPr="009C3EAD">
        <w:rPr>
          <w:szCs w:val="22"/>
        </w:rPr>
        <w:t xml:space="preserve"> x AAR x MCMW</w:t>
      </w:r>
      <w:r w:rsidRPr="009C3EAD">
        <w:rPr>
          <w:szCs w:val="22"/>
          <w:vertAlign w:val="subscript"/>
        </w:rPr>
        <w:t>h</w:t>
      </w:r>
    </w:p>
    <w:p w14:paraId="6B146062" w14:textId="77777777" w:rsidR="00EA2603" w:rsidRPr="009C3EAD" w:rsidRDefault="00EA2603" w:rsidP="00EA2603">
      <w:pPr>
        <w:spacing w:after="0"/>
        <w:ind w:left="720"/>
        <w:rPr>
          <w:b/>
          <w:szCs w:val="22"/>
        </w:rPr>
      </w:pPr>
      <w:r w:rsidRPr="009C3EAD">
        <w:rPr>
          <w:b/>
          <w:szCs w:val="22"/>
        </w:rPr>
        <w:t>Where:</w:t>
      </w:r>
    </w:p>
    <w:p w14:paraId="07C273EF" w14:textId="5BE330B8" w:rsidR="00EA2603" w:rsidRPr="009C3EAD" w:rsidRDefault="00EA2603" w:rsidP="00EA2603">
      <w:pPr>
        <w:pStyle w:val="ListParagraph"/>
        <w:numPr>
          <w:ilvl w:val="0"/>
          <w:numId w:val="100"/>
        </w:numPr>
        <w:spacing w:after="200" w:line="276" w:lineRule="auto"/>
        <w:rPr>
          <w:szCs w:val="22"/>
        </w:rPr>
      </w:pPr>
      <w:r w:rsidRPr="009C3EAD">
        <w:rPr>
          <w:szCs w:val="22"/>
        </w:rPr>
        <w:t>For each Interval, the reliability rate at a DR Account is defined as the actual reduction divided by the requested reduction; however</w:t>
      </w:r>
      <w:r w:rsidR="00FC4E2B">
        <w:rPr>
          <w:szCs w:val="22"/>
        </w:rPr>
        <w:t>,</w:t>
      </w:r>
      <w:r w:rsidRPr="009C3EAD">
        <w:rPr>
          <w:szCs w:val="22"/>
        </w:rPr>
        <w:t xml:space="preserve"> the reliability rate cannot exceed 100%.</w:t>
      </w:r>
    </w:p>
    <w:p w14:paraId="49E653B1" w14:textId="77777777" w:rsidR="00EA2603" w:rsidRPr="009C3EAD" w:rsidRDefault="00EA2603" w:rsidP="00EA2603">
      <w:pPr>
        <w:pStyle w:val="ListParagraph"/>
        <w:numPr>
          <w:ilvl w:val="0"/>
          <w:numId w:val="100"/>
        </w:numPr>
        <w:spacing w:after="200" w:line="276" w:lineRule="auto"/>
        <w:rPr>
          <w:szCs w:val="22"/>
        </w:rPr>
      </w:pPr>
      <w:r w:rsidRPr="009C3EAD">
        <w:rPr>
          <w:szCs w:val="22"/>
        </w:rPr>
        <w:t>‘</w:t>
      </w:r>
      <w:r w:rsidRPr="009C3EAD">
        <w:rPr>
          <w:b/>
          <w:szCs w:val="22"/>
        </w:rPr>
        <w:t>PSO</w:t>
      </w:r>
      <w:r w:rsidRPr="009C3EAD">
        <w:rPr>
          <w:szCs w:val="22"/>
        </w:rPr>
        <w:t>’ (performance set-off factor) refers to the set of factors defined in section 1.6.24.</w:t>
      </w:r>
      <w:r>
        <w:rPr>
          <w:szCs w:val="22"/>
        </w:rPr>
        <w:t>6</w:t>
      </w:r>
      <w:r w:rsidRPr="009C3EAD">
        <w:rPr>
          <w:szCs w:val="22"/>
        </w:rPr>
        <w:t>.1.</w:t>
      </w:r>
    </w:p>
    <w:p w14:paraId="24258C29" w14:textId="77777777" w:rsidR="00EA2603" w:rsidRPr="009C3EAD" w:rsidRDefault="00EA2603" w:rsidP="00EA2603">
      <w:pPr>
        <w:pStyle w:val="ListParagraph"/>
        <w:numPr>
          <w:ilvl w:val="0"/>
          <w:numId w:val="100"/>
        </w:numPr>
        <w:spacing w:after="200" w:line="276" w:lineRule="auto"/>
        <w:rPr>
          <w:szCs w:val="22"/>
        </w:rPr>
      </w:pPr>
      <w:r w:rsidRPr="009C3EAD">
        <w:rPr>
          <w:szCs w:val="22"/>
        </w:rPr>
        <w:t>‘</w:t>
      </w:r>
      <w:r w:rsidRPr="009C3EAD">
        <w:rPr>
          <w:b/>
          <w:szCs w:val="22"/>
        </w:rPr>
        <w:t>AAR</w:t>
      </w:r>
      <w:r w:rsidRPr="009C3EAD">
        <w:rPr>
          <w:szCs w:val="22"/>
        </w:rPr>
        <w:t>’ (adjusted availability rate) as defined above.</w:t>
      </w:r>
    </w:p>
    <w:p w14:paraId="4F7ED916" w14:textId="77777777" w:rsidR="00EA2603" w:rsidRPr="009C3EAD" w:rsidRDefault="00EA2603" w:rsidP="00EA2603">
      <w:pPr>
        <w:pStyle w:val="ListParagraph"/>
        <w:numPr>
          <w:ilvl w:val="0"/>
          <w:numId w:val="100"/>
        </w:numPr>
        <w:spacing w:after="200" w:line="276" w:lineRule="auto"/>
        <w:rPr>
          <w:szCs w:val="22"/>
        </w:rPr>
      </w:pPr>
      <w:r w:rsidRPr="009C3EAD">
        <w:rPr>
          <w:szCs w:val="22"/>
        </w:rPr>
        <w:t>‘</w:t>
      </w:r>
      <w:r w:rsidRPr="009C3EAD">
        <w:rPr>
          <w:b/>
          <w:szCs w:val="22"/>
        </w:rPr>
        <w:t>MCMW</w:t>
      </w:r>
      <w:r w:rsidRPr="009C3EAD">
        <w:rPr>
          <w:szCs w:val="22"/>
        </w:rPr>
        <w:t>’ (Monthly Contracted MW) as defined above.</w:t>
      </w:r>
    </w:p>
    <w:p w14:paraId="505AF2D0" w14:textId="77777777" w:rsidR="00EA2603" w:rsidRPr="009C3EAD" w:rsidRDefault="00EA2603" w:rsidP="00EA2603">
      <w:pPr>
        <w:pStyle w:val="ListParagraph"/>
        <w:numPr>
          <w:ilvl w:val="0"/>
          <w:numId w:val="100"/>
        </w:numPr>
        <w:spacing w:after="120" w:line="276" w:lineRule="auto"/>
        <w:contextualSpacing w:val="0"/>
        <w:rPr>
          <w:szCs w:val="22"/>
        </w:rPr>
      </w:pPr>
      <w:r w:rsidRPr="009C3EAD">
        <w:rPr>
          <w:szCs w:val="22"/>
        </w:rPr>
        <w:t>‘</w:t>
      </w:r>
      <w:r w:rsidRPr="009C3EAD">
        <w:rPr>
          <w:b/>
          <w:szCs w:val="22"/>
        </w:rPr>
        <w:t>H</w:t>
      </w:r>
      <w:r w:rsidRPr="009C3EAD">
        <w:rPr>
          <w:szCs w:val="22"/>
        </w:rPr>
        <w:t>’ is the set of all Activation Hours ‘h’ for the Activation Period.</w:t>
      </w:r>
    </w:p>
    <w:p w14:paraId="4C21FCE3" w14:textId="77777777" w:rsidR="00EA2603" w:rsidRPr="009C3EAD" w:rsidRDefault="00EA2603" w:rsidP="00EA2603">
      <w:pPr>
        <w:rPr>
          <w:b/>
        </w:rPr>
      </w:pPr>
      <w:r w:rsidRPr="009C3EAD">
        <w:rPr>
          <w:b/>
        </w:rPr>
        <w:t>Availability Set-Off (Timely Confirmation)</w:t>
      </w:r>
    </w:p>
    <w:p w14:paraId="4EEF7CD0" w14:textId="77777777" w:rsidR="00EA2603" w:rsidRPr="009C3EAD" w:rsidRDefault="00EA2603" w:rsidP="00EA2603">
      <w:pPr>
        <w:spacing w:after="120"/>
        <w:rPr>
          <w:szCs w:val="22"/>
        </w:rPr>
      </w:pPr>
      <w:r w:rsidRPr="009C3EAD">
        <w:rPr>
          <w:szCs w:val="22"/>
        </w:rPr>
        <w:t>If the DRMP, regardless of Activation, fails to deliver or delivers late, one or more required Confirmations, then an availability set-off (timely Confirmation) shall be calculated as the sum of the availability set-off (timely Confirmation) for all hours of that Contracted Dispatch Period as follows:</w:t>
      </w:r>
    </w:p>
    <w:p w14:paraId="54940410" w14:textId="77777777" w:rsidR="00EA2603" w:rsidRPr="009C3EAD" w:rsidRDefault="00EA2603" w:rsidP="00EA2603">
      <w:pPr>
        <w:rPr>
          <w:szCs w:val="22"/>
        </w:rPr>
      </w:pPr>
      <w:r w:rsidRPr="009C3EAD">
        <w:rPr>
          <w:b/>
          <w:szCs w:val="22"/>
        </w:rPr>
        <w:t xml:space="preserve">Availability Set-Off (Timely Confirmation) = </w:t>
      </w:r>
      <w:r w:rsidRPr="009C3EAD">
        <w:rPr>
          <w:szCs w:val="22"/>
        </w:rPr>
        <w:t>PSO x AAR x MCMW</w:t>
      </w:r>
      <w:r w:rsidRPr="009C3EAD">
        <w:rPr>
          <w:szCs w:val="22"/>
          <w:vertAlign w:val="subscript"/>
        </w:rPr>
        <w:t>h</w:t>
      </w:r>
      <w:r w:rsidRPr="009C3EAD">
        <w:rPr>
          <w:szCs w:val="22"/>
        </w:rPr>
        <w:t xml:space="preserve"> x CDP</w:t>
      </w:r>
    </w:p>
    <w:p w14:paraId="4D6CC51C" w14:textId="77777777" w:rsidR="00EA2603" w:rsidRPr="009C3EAD" w:rsidRDefault="00EA2603" w:rsidP="00EA2603">
      <w:pPr>
        <w:spacing w:after="0"/>
        <w:ind w:left="720"/>
        <w:rPr>
          <w:b/>
          <w:szCs w:val="22"/>
        </w:rPr>
      </w:pPr>
      <w:r w:rsidRPr="009C3EAD">
        <w:rPr>
          <w:b/>
          <w:szCs w:val="22"/>
        </w:rPr>
        <w:t>Where:</w:t>
      </w:r>
    </w:p>
    <w:p w14:paraId="60D2A135" w14:textId="77777777" w:rsidR="00EA2603" w:rsidRPr="009C3EAD" w:rsidRDefault="00EA2603" w:rsidP="00EA2603">
      <w:pPr>
        <w:pStyle w:val="ListParagraph"/>
        <w:numPr>
          <w:ilvl w:val="0"/>
          <w:numId w:val="100"/>
        </w:numPr>
        <w:spacing w:after="200" w:line="276" w:lineRule="auto"/>
        <w:rPr>
          <w:szCs w:val="22"/>
        </w:rPr>
      </w:pPr>
      <w:r w:rsidRPr="009C3EAD">
        <w:rPr>
          <w:szCs w:val="22"/>
        </w:rPr>
        <w:t>‘</w:t>
      </w:r>
      <w:r w:rsidRPr="009C3EAD">
        <w:rPr>
          <w:b/>
          <w:szCs w:val="22"/>
        </w:rPr>
        <w:t xml:space="preserve">CDP’ </w:t>
      </w:r>
      <w:r w:rsidRPr="009C3EAD">
        <w:rPr>
          <w:szCs w:val="22"/>
        </w:rPr>
        <w:t>(Contracted Dispatch Period) means the four consecutive hours. Each Activation Period shall occur within the Hours of Availability, and shall occur within and no more than once in accordance with the Daily Schedule.</w:t>
      </w:r>
    </w:p>
    <w:p w14:paraId="0B7F4686" w14:textId="77777777" w:rsidR="00EA2603" w:rsidRPr="009C3EAD" w:rsidRDefault="00EA2603" w:rsidP="00EA2603">
      <w:pPr>
        <w:pStyle w:val="ListParagraph"/>
        <w:numPr>
          <w:ilvl w:val="0"/>
          <w:numId w:val="100"/>
        </w:numPr>
        <w:spacing w:after="200" w:line="276" w:lineRule="auto"/>
        <w:rPr>
          <w:szCs w:val="22"/>
        </w:rPr>
      </w:pPr>
      <w:r w:rsidRPr="009C3EAD">
        <w:rPr>
          <w:szCs w:val="22"/>
        </w:rPr>
        <w:t>‘</w:t>
      </w:r>
      <w:r w:rsidRPr="009C3EAD">
        <w:rPr>
          <w:b/>
          <w:szCs w:val="22"/>
        </w:rPr>
        <w:t>PSO</w:t>
      </w:r>
      <w:r w:rsidRPr="009C3EAD">
        <w:rPr>
          <w:szCs w:val="22"/>
        </w:rPr>
        <w:t>’ as defined above.</w:t>
      </w:r>
    </w:p>
    <w:p w14:paraId="2CC1351C" w14:textId="77777777" w:rsidR="00EA2603" w:rsidRPr="009C3EAD" w:rsidRDefault="00EA2603" w:rsidP="00EA2603">
      <w:pPr>
        <w:pStyle w:val="ListParagraph"/>
        <w:numPr>
          <w:ilvl w:val="0"/>
          <w:numId w:val="100"/>
        </w:numPr>
        <w:spacing w:after="200" w:line="276" w:lineRule="auto"/>
        <w:rPr>
          <w:szCs w:val="22"/>
        </w:rPr>
      </w:pPr>
      <w:r w:rsidRPr="009C3EAD">
        <w:rPr>
          <w:szCs w:val="22"/>
        </w:rPr>
        <w:t>‘</w:t>
      </w:r>
      <w:r w:rsidRPr="009C3EAD">
        <w:rPr>
          <w:b/>
          <w:szCs w:val="22"/>
        </w:rPr>
        <w:t>AAR</w:t>
      </w:r>
      <w:r w:rsidRPr="009C3EAD">
        <w:rPr>
          <w:szCs w:val="22"/>
        </w:rPr>
        <w:t>’ as defined above.</w:t>
      </w:r>
    </w:p>
    <w:p w14:paraId="0B1F3004" w14:textId="77777777" w:rsidR="00EA2603" w:rsidRPr="009C3EAD" w:rsidRDefault="00EA2603" w:rsidP="00EA2603">
      <w:pPr>
        <w:pStyle w:val="ListParagraph"/>
        <w:numPr>
          <w:ilvl w:val="0"/>
          <w:numId w:val="100"/>
        </w:numPr>
        <w:spacing w:after="120" w:line="276" w:lineRule="auto"/>
        <w:contextualSpacing w:val="0"/>
        <w:rPr>
          <w:szCs w:val="22"/>
        </w:rPr>
      </w:pPr>
      <w:r w:rsidRPr="009C3EAD">
        <w:rPr>
          <w:szCs w:val="22"/>
        </w:rPr>
        <w:t>‘</w:t>
      </w:r>
      <w:r w:rsidRPr="009C3EAD">
        <w:rPr>
          <w:b/>
          <w:szCs w:val="22"/>
        </w:rPr>
        <w:t>MCMW</w:t>
      </w:r>
      <w:r w:rsidRPr="009C3EAD">
        <w:rPr>
          <w:szCs w:val="22"/>
        </w:rPr>
        <w:t>’ as defined above.</w:t>
      </w:r>
    </w:p>
    <w:p w14:paraId="4681CFD0" w14:textId="77777777" w:rsidR="00EA2603" w:rsidRPr="009C3EAD" w:rsidRDefault="00EA2603" w:rsidP="00EA2603">
      <w:pPr>
        <w:rPr>
          <w:b/>
        </w:rPr>
      </w:pPr>
      <w:r w:rsidRPr="009C3EAD">
        <w:rPr>
          <w:b/>
        </w:rPr>
        <w:t>Availability Set-Off (Low Confirmation)</w:t>
      </w:r>
    </w:p>
    <w:p w14:paraId="7D0E278A" w14:textId="77777777" w:rsidR="00EA2603" w:rsidRPr="009C3EAD" w:rsidRDefault="00EA2603" w:rsidP="00EA2603">
      <w:pPr>
        <w:spacing w:after="120"/>
        <w:rPr>
          <w:szCs w:val="22"/>
        </w:rPr>
      </w:pPr>
      <w:r w:rsidRPr="009C3EAD">
        <w:rPr>
          <w:szCs w:val="22"/>
        </w:rPr>
        <w:t>Availability set-off (low Confirmation) applies when the Confirmed MW are less than 95% of the Monthly Contracted MW for a Confirmed Hour of the Contracted Dispatch Period.  The calculation is as follows:</w:t>
      </w:r>
    </w:p>
    <w:p w14:paraId="230FD631" w14:textId="77777777" w:rsidR="00EA2603" w:rsidRPr="009C3EAD" w:rsidRDefault="00EA2603" w:rsidP="00EA2603">
      <w:pPr>
        <w:rPr>
          <w:szCs w:val="22"/>
        </w:rPr>
      </w:pPr>
      <w:r w:rsidRPr="009C3EAD">
        <w:rPr>
          <w:b/>
          <w:szCs w:val="22"/>
        </w:rPr>
        <w:t>Availability Set-Off (Low Confirmation)</w:t>
      </w:r>
      <w:r w:rsidRPr="009C3EAD">
        <w:rPr>
          <w:szCs w:val="22"/>
        </w:rPr>
        <w:t xml:space="preserve"> = ∑</w:t>
      </w:r>
      <w:r w:rsidRPr="009C3EAD">
        <w:rPr>
          <w:szCs w:val="22"/>
          <w:vertAlign w:val="subscript"/>
        </w:rPr>
        <w:t xml:space="preserve">H </w:t>
      </w:r>
      <w:r w:rsidRPr="009C3EAD">
        <w:rPr>
          <w:szCs w:val="22"/>
        </w:rPr>
        <w:t>(PSO</w:t>
      </w:r>
      <w:r w:rsidRPr="009C3EAD">
        <w:rPr>
          <w:szCs w:val="22"/>
          <w:vertAlign w:val="subscript"/>
        </w:rPr>
        <w:t>h</w:t>
      </w:r>
      <w:r w:rsidRPr="009C3EAD">
        <w:rPr>
          <w:szCs w:val="22"/>
        </w:rPr>
        <w:t xml:space="preserve"> x AAR x (MCMW</w:t>
      </w:r>
      <w:r w:rsidRPr="009C3EAD">
        <w:rPr>
          <w:szCs w:val="22"/>
          <w:vertAlign w:val="subscript"/>
        </w:rPr>
        <w:t xml:space="preserve">h </w:t>
      </w:r>
      <w:r w:rsidRPr="009C3EAD">
        <w:rPr>
          <w:szCs w:val="22"/>
        </w:rPr>
        <w:t>– CMW))</w:t>
      </w:r>
    </w:p>
    <w:p w14:paraId="3198CF6C" w14:textId="77777777" w:rsidR="00EA2603" w:rsidRPr="009C3EAD" w:rsidRDefault="00EA2603" w:rsidP="00EA2603">
      <w:pPr>
        <w:spacing w:after="0"/>
        <w:ind w:left="720"/>
        <w:rPr>
          <w:b/>
          <w:szCs w:val="22"/>
        </w:rPr>
      </w:pPr>
      <w:r w:rsidRPr="009C3EAD">
        <w:rPr>
          <w:b/>
          <w:szCs w:val="22"/>
        </w:rPr>
        <w:t>Where:</w:t>
      </w:r>
    </w:p>
    <w:p w14:paraId="4E5A2FDC" w14:textId="77777777" w:rsidR="00EA2603" w:rsidRPr="009C3EAD" w:rsidRDefault="00EA2603" w:rsidP="00EA2603">
      <w:pPr>
        <w:pStyle w:val="ListParagraph"/>
        <w:numPr>
          <w:ilvl w:val="0"/>
          <w:numId w:val="101"/>
        </w:numPr>
        <w:spacing w:after="200" w:line="276" w:lineRule="auto"/>
        <w:rPr>
          <w:szCs w:val="22"/>
        </w:rPr>
      </w:pPr>
      <w:r w:rsidRPr="009C3EAD">
        <w:rPr>
          <w:szCs w:val="22"/>
        </w:rPr>
        <w:t>‘</w:t>
      </w:r>
      <w:r w:rsidRPr="009C3EAD">
        <w:rPr>
          <w:b/>
          <w:szCs w:val="22"/>
        </w:rPr>
        <w:t>PSO</w:t>
      </w:r>
      <w:r w:rsidRPr="009C3EAD">
        <w:rPr>
          <w:szCs w:val="22"/>
        </w:rPr>
        <w:t>’ as defined above.</w:t>
      </w:r>
    </w:p>
    <w:p w14:paraId="74EAEBA7" w14:textId="77777777" w:rsidR="00EA2603" w:rsidRPr="009C3EAD" w:rsidRDefault="00EA2603" w:rsidP="00EA2603">
      <w:pPr>
        <w:pStyle w:val="ListParagraph"/>
        <w:numPr>
          <w:ilvl w:val="0"/>
          <w:numId w:val="101"/>
        </w:numPr>
        <w:spacing w:after="200" w:line="276" w:lineRule="auto"/>
        <w:rPr>
          <w:szCs w:val="22"/>
        </w:rPr>
      </w:pPr>
      <w:r w:rsidRPr="009C3EAD">
        <w:rPr>
          <w:szCs w:val="22"/>
        </w:rPr>
        <w:t>‘</w:t>
      </w:r>
      <w:r w:rsidRPr="009C3EAD">
        <w:rPr>
          <w:b/>
          <w:szCs w:val="22"/>
        </w:rPr>
        <w:t>AAR</w:t>
      </w:r>
      <w:r w:rsidRPr="009C3EAD">
        <w:rPr>
          <w:szCs w:val="22"/>
        </w:rPr>
        <w:t>’ as defined above.</w:t>
      </w:r>
    </w:p>
    <w:p w14:paraId="735F529C" w14:textId="77777777" w:rsidR="00EA2603" w:rsidRPr="009C3EAD" w:rsidRDefault="00EA2603" w:rsidP="00EA2603">
      <w:pPr>
        <w:pStyle w:val="ListParagraph"/>
        <w:numPr>
          <w:ilvl w:val="0"/>
          <w:numId w:val="101"/>
        </w:numPr>
        <w:spacing w:after="200" w:line="276" w:lineRule="auto"/>
        <w:rPr>
          <w:szCs w:val="22"/>
        </w:rPr>
      </w:pPr>
      <w:r w:rsidRPr="009C3EAD">
        <w:rPr>
          <w:szCs w:val="22"/>
        </w:rPr>
        <w:t>‘</w:t>
      </w:r>
      <w:r w:rsidRPr="009C3EAD">
        <w:rPr>
          <w:b/>
          <w:szCs w:val="22"/>
        </w:rPr>
        <w:t>MCMW</w:t>
      </w:r>
      <w:r w:rsidRPr="009C3EAD">
        <w:rPr>
          <w:szCs w:val="22"/>
        </w:rPr>
        <w:t>’ as defined above.</w:t>
      </w:r>
    </w:p>
    <w:p w14:paraId="2AF12F12" w14:textId="77777777" w:rsidR="00EA2603" w:rsidRPr="009C3EAD" w:rsidRDefault="00EA2603" w:rsidP="00EA2603">
      <w:pPr>
        <w:pStyle w:val="ListParagraph"/>
        <w:numPr>
          <w:ilvl w:val="0"/>
          <w:numId w:val="101"/>
        </w:numPr>
        <w:spacing w:after="200" w:line="276" w:lineRule="auto"/>
        <w:rPr>
          <w:szCs w:val="22"/>
        </w:rPr>
      </w:pPr>
      <w:r w:rsidRPr="009C3EAD">
        <w:rPr>
          <w:szCs w:val="22"/>
        </w:rPr>
        <w:t>‘</w:t>
      </w:r>
      <w:r w:rsidRPr="009C3EAD">
        <w:rPr>
          <w:b/>
          <w:szCs w:val="22"/>
        </w:rPr>
        <w:t>CMW</w:t>
      </w:r>
      <w:r w:rsidRPr="009C3EAD">
        <w:rPr>
          <w:szCs w:val="22"/>
        </w:rPr>
        <w:t xml:space="preserve">’ (Confirmed MW) means the number of MW available for DR Curtailment by the DRMP. </w:t>
      </w:r>
    </w:p>
    <w:p w14:paraId="01A79DE2" w14:textId="77777777" w:rsidR="00EA2603" w:rsidRPr="009C3EAD" w:rsidRDefault="00EA2603" w:rsidP="00EA2603">
      <w:pPr>
        <w:pStyle w:val="ListParagraph"/>
        <w:numPr>
          <w:ilvl w:val="0"/>
          <w:numId w:val="101"/>
        </w:numPr>
        <w:spacing w:after="120"/>
        <w:rPr>
          <w:szCs w:val="22"/>
        </w:rPr>
      </w:pPr>
      <w:r w:rsidRPr="009C3EAD">
        <w:rPr>
          <w:szCs w:val="22"/>
        </w:rPr>
        <w:t>‘</w:t>
      </w:r>
      <w:r w:rsidRPr="009C3EAD">
        <w:rPr>
          <w:b/>
          <w:szCs w:val="22"/>
        </w:rPr>
        <w:t>H</w:t>
      </w:r>
      <w:r w:rsidRPr="009C3EAD">
        <w:rPr>
          <w:szCs w:val="22"/>
        </w:rPr>
        <w:t>’ is the set of all Confirmed Hours when the Confirmed MWs are less than 95% of the Monthly Contracted MW for the Contracted Dispatch Period.</w:t>
      </w:r>
    </w:p>
    <w:p w14:paraId="1660A080" w14:textId="77777777" w:rsidR="00EA2603" w:rsidRPr="009C3EAD" w:rsidRDefault="00EA2603" w:rsidP="00EA2603">
      <w:pPr>
        <w:spacing w:after="120"/>
        <w:rPr>
          <w:szCs w:val="22"/>
        </w:rPr>
      </w:pPr>
      <w:r w:rsidRPr="009C3EAD">
        <w:rPr>
          <w:szCs w:val="22"/>
        </w:rPr>
        <w:t xml:space="preserve">We use </w:t>
      </w:r>
      <w:r w:rsidRPr="009C3EAD">
        <w:rPr>
          <w:i/>
          <w:szCs w:val="22"/>
        </w:rPr>
        <w:t>charge type</w:t>
      </w:r>
      <w:r w:rsidRPr="009C3EAD">
        <w:rPr>
          <w:szCs w:val="22"/>
        </w:rPr>
        <w:t xml:space="preserve"> 1302 “</w:t>
      </w:r>
      <w:r w:rsidRPr="009C3EAD">
        <w:rPr>
          <w:color w:val="000000"/>
          <w:szCs w:val="22"/>
        </w:rPr>
        <w:t>Capacity Based Demand Response Program</w:t>
      </w:r>
      <w:r w:rsidRPr="009C3EAD">
        <w:rPr>
          <w:szCs w:val="22"/>
        </w:rPr>
        <w:t xml:space="preserve"> Availability Set-Off Settlement Amount”.</w:t>
      </w:r>
    </w:p>
    <w:p w14:paraId="13FA073A" w14:textId="77777777" w:rsidR="00EA2603" w:rsidRPr="001016A4" w:rsidRDefault="00EA2603" w:rsidP="003D477D">
      <w:pPr>
        <w:pStyle w:val="AppendixHead3"/>
        <w:numPr>
          <w:ilvl w:val="3"/>
          <w:numId w:val="6"/>
        </w:numPr>
        <w:ind w:left="1080"/>
      </w:pPr>
      <w:r w:rsidRPr="001016A4">
        <w:t>Utilization Set-Off</w:t>
      </w:r>
    </w:p>
    <w:p w14:paraId="79F3E7F0" w14:textId="77777777" w:rsidR="00EA2603" w:rsidRPr="009C3EAD" w:rsidRDefault="00EA2603" w:rsidP="00EA2603">
      <w:pPr>
        <w:pStyle w:val="BodyText"/>
        <w:rPr>
          <w:szCs w:val="24"/>
        </w:rPr>
      </w:pPr>
      <w:r w:rsidRPr="009C3EAD">
        <w:rPr>
          <w:szCs w:val="24"/>
        </w:rPr>
        <w:t>Similar to the availability set-off, the utilization set-off will be the greatest of (i) the utilization set-off (reliability), (ii) utilization set-off (timely Confirmation) and (iii) utilization set-off (low Confirmation) for each DR Activation event (as calculated below).  In the event that the utilization set-off exceeds the Utilization Payment, then the excess is considered owed by the DRMP to the IESO.</w:t>
      </w:r>
    </w:p>
    <w:p w14:paraId="1D15DCA9" w14:textId="77777777" w:rsidR="00EA2603" w:rsidRPr="009C3EAD" w:rsidRDefault="00EA2603" w:rsidP="00EA2603">
      <w:pPr>
        <w:rPr>
          <w:b/>
        </w:rPr>
      </w:pPr>
      <w:r w:rsidRPr="009C3EAD">
        <w:rPr>
          <w:b/>
        </w:rPr>
        <w:t>Utilization Set-Off (Reliability)</w:t>
      </w:r>
    </w:p>
    <w:p w14:paraId="6ABF0201" w14:textId="77777777" w:rsidR="00EA2603" w:rsidRPr="009C3EAD" w:rsidRDefault="00EA2603" w:rsidP="00EA2603">
      <w:pPr>
        <w:rPr>
          <w:szCs w:val="22"/>
        </w:rPr>
      </w:pPr>
      <w:r w:rsidRPr="009C3EAD">
        <w:rPr>
          <w:szCs w:val="22"/>
        </w:rPr>
        <w:t>The utilization set-off (reliability) applies when the reliability rate for a given DR Account is less than 85% during any Interval of an Activation Hour.  The calculation is as follows:</w:t>
      </w:r>
    </w:p>
    <w:p w14:paraId="3CBCCC8F" w14:textId="77777777" w:rsidR="00EA2603" w:rsidRPr="009C3EAD" w:rsidRDefault="00EA2603" w:rsidP="00EA2603">
      <w:pPr>
        <w:rPr>
          <w:rFonts w:eastAsiaTheme="minorEastAsia"/>
          <w:szCs w:val="22"/>
        </w:rPr>
      </w:pPr>
      <w:r w:rsidRPr="009C3EAD">
        <w:rPr>
          <w:b/>
          <w:szCs w:val="22"/>
        </w:rPr>
        <w:t>Utilization Set-Off (Reliability)</w:t>
      </w:r>
      <w:r w:rsidRPr="009C3EAD">
        <w:rPr>
          <w:szCs w:val="22"/>
        </w:rPr>
        <w:t xml:space="preserve"> = </w:t>
      </w:r>
      <m:oMath>
        <m:nary>
          <m:naryPr>
            <m:chr m:val="∑"/>
            <m:limLoc m:val="subSup"/>
            <m:supHide m:val="1"/>
            <m:ctrlPr>
              <w:rPr>
                <w:rFonts w:ascii="Cambria Math" w:hAnsi="Cambria Math"/>
                <w:szCs w:val="22"/>
              </w:rPr>
            </m:ctrlPr>
          </m:naryPr>
          <m:sub>
            <m:r>
              <m:rPr>
                <m:sty m:val="p"/>
              </m:rPr>
              <w:rPr>
                <w:rFonts w:ascii="Cambria Math" w:hAnsi="Cambria Math"/>
                <w:szCs w:val="22"/>
              </w:rPr>
              <m:t>H</m:t>
            </m:r>
          </m:sub>
          <m:sup/>
          <m:e>
            <m:sSub>
              <m:sSubPr>
                <m:ctrlPr>
                  <w:rPr>
                    <w:rFonts w:ascii="Cambria Math" w:hAnsi="Cambria Math"/>
                    <w:szCs w:val="22"/>
                  </w:rPr>
                </m:ctrlPr>
              </m:sSubPr>
              <m:e>
                <m:r>
                  <m:rPr>
                    <m:sty m:val="p"/>
                  </m:rPr>
                  <w:rPr>
                    <w:rFonts w:ascii="Cambria Math" w:hAnsi="Cambria Math"/>
                    <w:szCs w:val="22"/>
                  </w:rPr>
                  <m:t>PSO</m:t>
                </m:r>
              </m:e>
              <m:sub>
                <m:r>
                  <m:rPr>
                    <m:sty m:val="p"/>
                  </m:rPr>
                  <w:rPr>
                    <w:rFonts w:ascii="Cambria Math" w:hAnsi="Cambria Math"/>
                    <w:szCs w:val="22"/>
                  </w:rPr>
                  <m:t>H</m:t>
                </m:r>
              </m:sub>
            </m:sSub>
            <m:r>
              <m:rPr>
                <m:sty m:val="p"/>
              </m:rPr>
              <w:rPr>
                <w:rFonts w:ascii="Cambria Math" w:hAnsi="Cambria Math"/>
                <w:szCs w:val="22"/>
              </w:rPr>
              <m:t xml:space="preserve"> x UR x </m:t>
            </m:r>
            <m:sSub>
              <m:sSubPr>
                <m:ctrlPr>
                  <w:rPr>
                    <w:rFonts w:ascii="Cambria Math" w:hAnsi="Cambria Math"/>
                    <w:szCs w:val="22"/>
                  </w:rPr>
                </m:ctrlPr>
              </m:sSubPr>
              <m:e>
                <m:r>
                  <m:rPr>
                    <m:sty m:val="p"/>
                  </m:rPr>
                  <w:rPr>
                    <w:rFonts w:ascii="Cambria Math" w:hAnsi="Cambria Math"/>
                    <w:szCs w:val="22"/>
                  </w:rPr>
                  <m:t>MCMW</m:t>
                </m:r>
              </m:e>
              <m:sub>
                <m:r>
                  <m:rPr>
                    <m:sty m:val="p"/>
                  </m:rPr>
                  <w:rPr>
                    <w:rFonts w:ascii="Cambria Math" w:hAnsi="Cambria Math"/>
                    <w:szCs w:val="22"/>
                  </w:rPr>
                  <m:t>H</m:t>
                </m:r>
              </m:sub>
            </m:sSub>
          </m:e>
        </m:nary>
      </m:oMath>
    </w:p>
    <w:p w14:paraId="32006EE1" w14:textId="77777777" w:rsidR="00EA2603" w:rsidRPr="009C3EAD" w:rsidRDefault="00EA2603" w:rsidP="00EA2603">
      <w:pPr>
        <w:spacing w:after="0"/>
        <w:ind w:left="720"/>
        <w:rPr>
          <w:rFonts w:eastAsiaTheme="minorEastAsia"/>
          <w:b/>
          <w:szCs w:val="22"/>
        </w:rPr>
      </w:pPr>
      <w:r w:rsidRPr="009C3EAD">
        <w:rPr>
          <w:rFonts w:eastAsiaTheme="minorEastAsia"/>
          <w:b/>
          <w:szCs w:val="22"/>
        </w:rPr>
        <w:t>Where:</w:t>
      </w:r>
    </w:p>
    <w:p w14:paraId="55AA7AEA" w14:textId="60A4F375" w:rsidR="00EA2603" w:rsidRPr="009C3EAD" w:rsidRDefault="00EA2603" w:rsidP="00EA2603">
      <w:pPr>
        <w:pStyle w:val="ListParagraph"/>
        <w:numPr>
          <w:ilvl w:val="0"/>
          <w:numId w:val="102"/>
        </w:numPr>
        <w:spacing w:after="200" w:line="276" w:lineRule="auto"/>
        <w:rPr>
          <w:szCs w:val="22"/>
        </w:rPr>
      </w:pPr>
      <w:r w:rsidRPr="009C3EAD">
        <w:rPr>
          <w:szCs w:val="22"/>
        </w:rPr>
        <w:t>For each Interval, the reliability rate at a DR Account is defined as the actual reduction divided by the requested reduction; however</w:t>
      </w:r>
      <w:r w:rsidR="00FC4E2B">
        <w:rPr>
          <w:szCs w:val="22"/>
        </w:rPr>
        <w:t>,</w:t>
      </w:r>
      <w:r w:rsidRPr="009C3EAD">
        <w:rPr>
          <w:szCs w:val="22"/>
        </w:rPr>
        <w:t xml:space="preserve"> the reliability rate cannot exceed 100%.</w:t>
      </w:r>
    </w:p>
    <w:p w14:paraId="083A404C" w14:textId="77777777" w:rsidR="00EA2603" w:rsidRPr="009C3EAD" w:rsidRDefault="00EA2603" w:rsidP="00EA2603">
      <w:pPr>
        <w:pStyle w:val="ListParagraph"/>
        <w:numPr>
          <w:ilvl w:val="0"/>
          <w:numId w:val="102"/>
        </w:numPr>
        <w:spacing w:after="200" w:line="276" w:lineRule="auto"/>
        <w:rPr>
          <w:szCs w:val="22"/>
        </w:rPr>
      </w:pPr>
      <w:r w:rsidRPr="009C3EAD">
        <w:rPr>
          <w:szCs w:val="22"/>
        </w:rPr>
        <w:t>‘</w:t>
      </w:r>
      <w:r w:rsidRPr="009C3EAD">
        <w:rPr>
          <w:b/>
          <w:szCs w:val="22"/>
        </w:rPr>
        <w:t>PSO</w:t>
      </w:r>
      <w:r w:rsidRPr="009C3EAD">
        <w:rPr>
          <w:szCs w:val="22"/>
        </w:rPr>
        <w:t>’ (performance set-off factor) refers to the set of factors defined in section 1.6.24.</w:t>
      </w:r>
      <w:r>
        <w:rPr>
          <w:szCs w:val="22"/>
        </w:rPr>
        <w:t>6</w:t>
      </w:r>
      <w:r w:rsidRPr="009C3EAD">
        <w:rPr>
          <w:szCs w:val="22"/>
        </w:rPr>
        <w:t>.1.</w:t>
      </w:r>
    </w:p>
    <w:p w14:paraId="3DC15C8E" w14:textId="77777777" w:rsidR="00EA2603" w:rsidRPr="009C3EAD" w:rsidRDefault="00EA2603" w:rsidP="00EA2603">
      <w:pPr>
        <w:pStyle w:val="ListParagraph"/>
        <w:numPr>
          <w:ilvl w:val="0"/>
          <w:numId w:val="102"/>
        </w:numPr>
        <w:spacing w:after="200" w:line="276" w:lineRule="auto"/>
        <w:rPr>
          <w:szCs w:val="22"/>
        </w:rPr>
      </w:pPr>
      <w:r w:rsidRPr="009C3EAD">
        <w:rPr>
          <w:szCs w:val="22"/>
        </w:rPr>
        <w:t>‘</w:t>
      </w:r>
      <w:r w:rsidRPr="009C3EAD">
        <w:rPr>
          <w:b/>
          <w:szCs w:val="22"/>
        </w:rPr>
        <w:t>UR</w:t>
      </w:r>
      <w:r w:rsidRPr="009C3EAD">
        <w:rPr>
          <w:szCs w:val="22"/>
        </w:rPr>
        <w:t>’ (utilization rate) as defined above.</w:t>
      </w:r>
    </w:p>
    <w:p w14:paraId="3E088F39" w14:textId="77777777" w:rsidR="00EA2603" w:rsidRPr="009C3EAD" w:rsidRDefault="00EA2603" w:rsidP="00EA2603">
      <w:pPr>
        <w:pStyle w:val="ListParagraph"/>
        <w:numPr>
          <w:ilvl w:val="0"/>
          <w:numId w:val="102"/>
        </w:numPr>
        <w:spacing w:after="200" w:line="276" w:lineRule="auto"/>
        <w:rPr>
          <w:szCs w:val="22"/>
        </w:rPr>
      </w:pPr>
      <w:r w:rsidRPr="009C3EAD">
        <w:rPr>
          <w:szCs w:val="22"/>
        </w:rPr>
        <w:t>‘</w:t>
      </w:r>
      <w:r w:rsidRPr="009C3EAD">
        <w:rPr>
          <w:b/>
          <w:szCs w:val="22"/>
        </w:rPr>
        <w:t>MCMW</w:t>
      </w:r>
      <w:r w:rsidRPr="009C3EAD">
        <w:rPr>
          <w:szCs w:val="22"/>
        </w:rPr>
        <w:t>’ (Monthly Contracted MW) as defined above.</w:t>
      </w:r>
    </w:p>
    <w:p w14:paraId="696B5D2A" w14:textId="77777777" w:rsidR="00EA2603" w:rsidRPr="009C3EAD" w:rsidRDefault="00EA2603" w:rsidP="00EA2603">
      <w:pPr>
        <w:pStyle w:val="ListParagraph"/>
        <w:numPr>
          <w:ilvl w:val="0"/>
          <w:numId w:val="102"/>
        </w:numPr>
        <w:spacing w:after="200" w:line="276" w:lineRule="auto"/>
        <w:rPr>
          <w:szCs w:val="22"/>
        </w:rPr>
      </w:pPr>
      <w:r w:rsidRPr="009C3EAD">
        <w:rPr>
          <w:szCs w:val="22"/>
        </w:rPr>
        <w:t>‘</w:t>
      </w:r>
      <w:r w:rsidRPr="009C3EAD">
        <w:rPr>
          <w:b/>
          <w:szCs w:val="22"/>
        </w:rPr>
        <w:t>H</w:t>
      </w:r>
      <w:r w:rsidRPr="009C3EAD">
        <w:rPr>
          <w:szCs w:val="22"/>
        </w:rPr>
        <w:t>’ is the set of all Activation Hours ‘h’ for the Activation Period.</w:t>
      </w:r>
    </w:p>
    <w:p w14:paraId="56E1FDD5" w14:textId="77777777" w:rsidR="00EA2603" w:rsidRPr="009C3EAD" w:rsidRDefault="00EA2603" w:rsidP="00EA2603">
      <w:pPr>
        <w:rPr>
          <w:b/>
        </w:rPr>
      </w:pPr>
      <w:r w:rsidRPr="009C3EAD">
        <w:rPr>
          <w:b/>
        </w:rPr>
        <w:t>Utilization Set-Off (Timely Confirmation)</w:t>
      </w:r>
    </w:p>
    <w:p w14:paraId="36D3AB99" w14:textId="77777777" w:rsidR="00EA2603" w:rsidRPr="009C3EAD" w:rsidRDefault="00EA2603" w:rsidP="00EA2603">
      <w:pPr>
        <w:rPr>
          <w:szCs w:val="22"/>
        </w:rPr>
      </w:pPr>
      <w:r w:rsidRPr="009C3EAD">
        <w:rPr>
          <w:szCs w:val="22"/>
        </w:rPr>
        <w:t>If the DRMP, regardless of Activation, fails to deliver or delivers late, a Confirmation that is required by the IESO, a utilization set-off will be calculated for each hour of the Contracted Dispatch Period as follows:</w:t>
      </w:r>
    </w:p>
    <w:p w14:paraId="716AD08A" w14:textId="77777777" w:rsidR="00EA2603" w:rsidRPr="009C3EAD" w:rsidRDefault="00EA2603" w:rsidP="00EA2603">
      <w:pPr>
        <w:rPr>
          <w:szCs w:val="22"/>
        </w:rPr>
      </w:pPr>
      <w:r w:rsidRPr="009C3EAD">
        <w:rPr>
          <w:b/>
          <w:szCs w:val="22"/>
        </w:rPr>
        <w:t xml:space="preserve">Utilization Set-Off (Timely Confirmation) = </w:t>
      </w:r>
      <m:oMath>
        <m:r>
          <m:rPr>
            <m:sty m:val="p"/>
          </m:rPr>
          <w:rPr>
            <w:rFonts w:ascii="Cambria Math" w:hAnsi="Cambria Math"/>
            <w:szCs w:val="22"/>
          </w:rPr>
          <m:t xml:space="preserve">PSO x UR x </m:t>
        </m:r>
        <m:sSub>
          <m:sSubPr>
            <m:ctrlPr>
              <w:rPr>
                <w:rFonts w:ascii="Cambria Math" w:hAnsi="Cambria Math"/>
                <w:szCs w:val="22"/>
              </w:rPr>
            </m:ctrlPr>
          </m:sSubPr>
          <m:e>
            <m:r>
              <m:rPr>
                <m:sty m:val="p"/>
              </m:rPr>
              <w:rPr>
                <w:rFonts w:ascii="Cambria Math" w:hAnsi="Cambria Math"/>
                <w:szCs w:val="22"/>
              </w:rPr>
              <m:t>MCMW</m:t>
            </m:r>
          </m:e>
          <m:sub>
            <m:r>
              <m:rPr>
                <m:sty m:val="p"/>
              </m:rPr>
              <w:rPr>
                <w:rFonts w:ascii="Cambria Math" w:hAnsi="Cambria Math"/>
                <w:szCs w:val="22"/>
              </w:rPr>
              <m:t xml:space="preserve">h </m:t>
            </m:r>
          </m:sub>
        </m:sSub>
        <m:r>
          <m:rPr>
            <m:sty m:val="p"/>
          </m:rPr>
          <w:rPr>
            <w:rFonts w:ascii="Cambria Math" w:hAnsi="Cambria Math"/>
            <w:szCs w:val="22"/>
          </w:rPr>
          <m:t>x CDP</m:t>
        </m:r>
      </m:oMath>
    </w:p>
    <w:p w14:paraId="29CF34AC" w14:textId="77777777" w:rsidR="00EA2603" w:rsidRPr="009C3EAD" w:rsidRDefault="00EA2603" w:rsidP="00EA2603">
      <w:pPr>
        <w:spacing w:after="0"/>
        <w:ind w:firstLine="720"/>
        <w:rPr>
          <w:b/>
        </w:rPr>
      </w:pPr>
      <w:r w:rsidRPr="009C3EAD">
        <w:rPr>
          <w:b/>
        </w:rPr>
        <w:t>Where:</w:t>
      </w:r>
    </w:p>
    <w:p w14:paraId="0D246BC0" w14:textId="77777777" w:rsidR="00EA2603" w:rsidRPr="009C3EAD" w:rsidRDefault="00EA2603" w:rsidP="00EA2603">
      <w:pPr>
        <w:pStyle w:val="ListParagraph"/>
        <w:numPr>
          <w:ilvl w:val="0"/>
          <w:numId w:val="102"/>
        </w:numPr>
        <w:spacing w:after="200" w:line="276" w:lineRule="auto"/>
        <w:rPr>
          <w:szCs w:val="22"/>
        </w:rPr>
      </w:pPr>
      <w:r w:rsidRPr="009C3EAD">
        <w:rPr>
          <w:szCs w:val="22"/>
        </w:rPr>
        <w:t>‘</w:t>
      </w:r>
      <w:r w:rsidRPr="009C3EAD">
        <w:rPr>
          <w:b/>
          <w:szCs w:val="22"/>
        </w:rPr>
        <w:t>CDP</w:t>
      </w:r>
      <w:r w:rsidRPr="009C3EAD">
        <w:rPr>
          <w:szCs w:val="22"/>
        </w:rPr>
        <w:t>’ as defined above.</w:t>
      </w:r>
    </w:p>
    <w:p w14:paraId="4946603E" w14:textId="77777777" w:rsidR="00EA2603" w:rsidRPr="009C3EAD" w:rsidRDefault="00EA2603" w:rsidP="00EA2603">
      <w:pPr>
        <w:pStyle w:val="ListParagraph"/>
        <w:numPr>
          <w:ilvl w:val="0"/>
          <w:numId w:val="102"/>
        </w:numPr>
        <w:spacing w:after="200" w:line="276" w:lineRule="auto"/>
        <w:rPr>
          <w:szCs w:val="22"/>
        </w:rPr>
      </w:pPr>
      <w:r w:rsidRPr="009C3EAD">
        <w:rPr>
          <w:szCs w:val="22"/>
        </w:rPr>
        <w:t>‘</w:t>
      </w:r>
      <w:r w:rsidRPr="009C3EAD">
        <w:rPr>
          <w:b/>
          <w:szCs w:val="22"/>
        </w:rPr>
        <w:t>PSO</w:t>
      </w:r>
      <w:r w:rsidRPr="009C3EAD">
        <w:rPr>
          <w:szCs w:val="22"/>
        </w:rPr>
        <w:t>’ as defined above.</w:t>
      </w:r>
    </w:p>
    <w:p w14:paraId="2BE70CE8" w14:textId="77777777" w:rsidR="00EA2603" w:rsidRPr="009C3EAD" w:rsidRDefault="00EA2603" w:rsidP="00EA2603">
      <w:pPr>
        <w:pStyle w:val="ListParagraph"/>
        <w:numPr>
          <w:ilvl w:val="0"/>
          <w:numId w:val="102"/>
        </w:numPr>
        <w:spacing w:after="200" w:line="276" w:lineRule="auto"/>
        <w:rPr>
          <w:szCs w:val="22"/>
        </w:rPr>
      </w:pPr>
      <w:r w:rsidRPr="009C3EAD">
        <w:rPr>
          <w:szCs w:val="22"/>
        </w:rPr>
        <w:t>‘</w:t>
      </w:r>
      <w:r w:rsidRPr="009C3EAD">
        <w:rPr>
          <w:b/>
          <w:szCs w:val="22"/>
        </w:rPr>
        <w:t>UR</w:t>
      </w:r>
      <w:r w:rsidRPr="009C3EAD">
        <w:rPr>
          <w:szCs w:val="22"/>
        </w:rPr>
        <w:t>’ as defined above.</w:t>
      </w:r>
    </w:p>
    <w:p w14:paraId="59E6E6B6" w14:textId="77777777" w:rsidR="00EA2603" w:rsidRPr="009C3EAD" w:rsidRDefault="00EA2603" w:rsidP="00EA2603">
      <w:pPr>
        <w:pStyle w:val="ListParagraph"/>
        <w:numPr>
          <w:ilvl w:val="0"/>
          <w:numId w:val="102"/>
        </w:numPr>
        <w:spacing w:after="200" w:line="276" w:lineRule="auto"/>
        <w:rPr>
          <w:szCs w:val="22"/>
        </w:rPr>
      </w:pPr>
      <w:r w:rsidRPr="009C3EAD">
        <w:rPr>
          <w:szCs w:val="22"/>
        </w:rPr>
        <w:t>‘</w:t>
      </w:r>
      <w:r w:rsidRPr="009C3EAD">
        <w:rPr>
          <w:b/>
          <w:szCs w:val="22"/>
        </w:rPr>
        <w:t>MCMW</w:t>
      </w:r>
      <w:r w:rsidRPr="009C3EAD">
        <w:rPr>
          <w:szCs w:val="22"/>
        </w:rPr>
        <w:t>’ as defined above.</w:t>
      </w:r>
    </w:p>
    <w:p w14:paraId="0A2DCA6F" w14:textId="77777777" w:rsidR="00EA2603" w:rsidRPr="009C3EAD" w:rsidRDefault="00EA2603" w:rsidP="00EA2603">
      <w:pPr>
        <w:rPr>
          <w:b/>
        </w:rPr>
      </w:pPr>
      <w:r w:rsidRPr="009C3EAD">
        <w:rPr>
          <w:b/>
        </w:rPr>
        <w:t>Utilization Set-Off (Low Confirmation)</w:t>
      </w:r>
    </w:p>
    <w:p w14:paraId="19BBB089" w14:textId="77777777" w:rsidR="00EA2603" w:rsidRPr="009C3EAD" w:rsidRDefault="00EA2603" w:rsidP="00EA2603">
      <w:pPr>
        <w:rPr>
          <w:szCs w:val="22"/>
        </w:rPr>
      </w:pPr>
      <w:r w:rsidRPr="009C3EAD">
        <w:rPr>
          <w:szCs w:val="22"/>
        </w:rPr>
        <w:t>Utilization set-off (low Confirmation) applies when the Confirmed MW are less than 95% of the Monthly Contracted MW for a Confirmed Hour of the Contracted Dispatch Period. The calculation is as follows:</w:t>
      </w:r>
    </w:p>
    <w:p w14:paraId="507031B0" w14:textId="77777777" w:rsidR="00EA2603" w:rsidRPr="009C3EAD" w:rsidRDefault="00EA2603" w:rsidP="00EA2603">
      <w:pPr>
        <w:rPr>
          <w:b/>
          <w:szCs w:val="22"/>
        </w:rPr>
      </w:pPr>
      <w:r w:rsidRPr="009C3EAD">
        <w:rPr>
          <w:b/>
          <w:szCs w:val="22"/>
        </w:rPr>
        <w:t xml:space="preserve">Utilization Set-Off (Low Confirmation) = </w:t>
      </w:r>
      <m:oMath>
        <m:nary>
          <m:naryPr>
            <m:chr m:val="∑"/>
            <m:limLoc m:val="subSup"/>
            <m:supHide m:val="1"/>
            <m:ctrlPr>
              <w:rPr>
                <w:rFonts w:ascii="Cambria Math" w:hAnsi="Cambria Math"/>
                <w:b/>
                <w:szCs w:val="22"/>
              </w:rPr>
            </m:ctrlPr>
          </m:naryPr>
          <m:sub>
            <m:r>
              <m:rPr>
                <m:sty m:val="p"/>
              </m:rPr>
              <w:rPr>
                <w:rFonts w:ascii="Cambria Math" w:hAnsi="Cambria Math"/>
                <w:szCs w:val="22"/>
              </w:rPr>
              <m:t>H</m:t>
            </m:r>
          </m:sub>
          <m:sup/>
          <m:e>
            <m:r>
              <m:rPr>
                <m:sty m:val="p"/>
              </m:rPr>
              <w:rPr>
                <w:rFonts w:ascii="Cambria Math" w:hAnsi="Cambria Math"/>
                <w:szCs w:val="22"/>
              </w:rPr>
              <m:t>(PSO x UR x (</m:t>
            </m:r>
            <m:sSub>
              <m:sSubPr>
                <m:ctrlPr>
                  <w:rPr>
                    <w:rFonts w:ascii="Cambria Math" w:hAnsi="Cambria Math"/>
                    <w:b/>
                    <w:szCs w:val="22"/>
                  </w:rPr>
                </m:ctrlPr>
              </m:sSubPr>
              <m:e>
                <m:r>
                  <m:rPr>
                    <m:sty m:val="p"/>
                  </m:rPr>
                  <w:rPr>
                    <w:rFonts w:ascii="Cambria Math" w:hAnsi="Cambria Math"/>
                    <w:szCs w:val="22"/>
                  </w:rPr>
                  <m:t>MCMW</m:t>
                </m:r>
              </m:e>
              <m:sub>
                <m:r>
                  <m:rPr>
                    <m:sty m:val="p"/>
                  </m:rPr>
                  <w:rPr>
                    <w:rFonts w:ascii="Cambria Math" w:hAnsi="Cambria Math"/>
                    <w:szCs w:val="22"/>
                  </w:rPr>
                  <m:t>H</m:t>
                </m:r>
              </m:sub>
            </m:sSub>
            <m:r>
              <m:rPr>
                <m:sty m:val="p"/>
              </m:rPr>
              <w:rPr>
                <w:rFonts w:ascii="Cambria Math" w:hAnsi="Cambria Math"/>
                <w:szCs w:val="22"/>
              </w:rPr>
              <m:t>-CMW)</m:t>
            </m:r>
          </m:e>
        </m:nary>
      </m:oMath>
    </w:p>
    <w:p w14:paraId="7B2F166F" w14:textId="77777777" w:rsidR="00EA2603" w:rsidRPr="009C3EAD" w:rsidRDefault="00EA2603" w:rsidP="00EA2603">
      <w:pPr>
        <w:spacing w:after="0"/>
        <w:ind w:firstLine="720"/>
        <w:rPr>
          <w:b/>
        </w:rPr>
      </w:pPr>
      <w:r w:rsidRPr="009C3EAD">
        <w:rPr>
          <w:b/>
        </w:rPr>
        <w:t>Where:</w:t>
      </w:r>
    </w:p>
    <w:p w14:paraId="587C96EF" w14:textId="77777777" w:rsidR="00EA2603" w:rsidRPr="009C3EAD" w:rsidRDefault="00EA2603" w:rsidP="00EA2603">
      <w:pPr>
        <w:pStyle w:val="ListParagraph"/>
        <w:numPr>
          <w:ilvl w:val="0"/>
          <w:numId w:val="102"/>
        </w:numPr>
        <w:spacing w:after="200" w:line="276" w:lineRule="auto"/>
        <w:rPr>
          <w:szCs w:val="22"/>
        </w:rPr>
      </w:pPr>
      <w:r w:rsidRPr="009C3EAD">
        <w:rPr>
          <w:szCs w:val="22"/>
        </w:rPr>
        <w:t>‘</w:t>
      </w:r>
      <w:r w:rsidRPr="009C3EAD">
        <w:rPr>
          <w:b/>
          <w:szCs w:val="22"/>
        </w:rPr>
        <w:t>PSO</w:t>
      </w:r>
      <w:r w:rsidRPr="009C3EAD">
        <w:rPr>
          <w:szCs w:val="22"/>
        </w:rPr>
        <w:t>’ (performance set-off) as defined above.</w:t>
      </w:r>
    </w:p>
    <w:p w14:paraId="3EB73D58" w14:textId="77777777" w:rsidR="00EA2603" w:rsidRPr="009C3EAD" w:rsidRDefault="00EA2603" w:rsidP="00EA2603">
      <w:pPr>
        <w:pStyle w:val="ListParagraph"/>
        <w:numPr>
          <w:ilvl w:val="0"/>
          <w:numId w:val="102"/>
        </w:numPr>
        <w:spacing w:after="200" w:line="276" w:lineRule="auto"/>
        <w:rPr>
          <w:szCs w:val="22"/>
        </w:rPr>
      </w:pPr>
      <w:r w:rsidRPr="009C3EAD">
        <w:rPr>
          <w:szCs w:val="22"/>
        </w:rPr>
        <w:t>‘</w:t>
      </w:r>
      <w:r w:rsidRPr="009C3EAD">
        <w:rPr>
          <w:b/>
          <w:szCs w:val="22"/>
        </w:rPr>
        <w:t>UR</w:t>
      </w:r>
      <w:r w:rsidRPr="009C3EAD">
        <w:rPr>
          <w:szCs w:val="22"/>
        </w:rPr>
        <w:t>’ (utilization rate) as defined above.</w:t>
      </w:r>
    </w:p>
    <w:p w14:paraId="16B92FBD" w14:textId="77777777" w:rsidR="00EA2603" w:rsidRPr="009C3EAD" w:rsidRDefault="00EA2603" w:rsidP="00EA2603">
      <w:pPr>
        <w:pStyle w:val="ListParagraph"/>
        <w:numPr>
          <w:ilvl w:val="0"/>
          <w:numId w:val="102"/>
        </w:numPr>
        <w:spacing w:after="200" w:line="276" w:lineRule="auto"/>
        <w:rPr>
          <w:szCs w:val="22"/>
        </w:rPr>
      </w:pPr>
      <w:r w:rsidRPr="009C3EAD">
        <w:rPr>
          <w:szCs w:val="22"/>
        </w:rPr>
        <w:t>‘</w:t>
      </w:r>
      <w:r w:rsidRPr="009C3EAD">
        <w:rPr>
          <w:b/>
          <w:szCs w:val="22"/>
        </w:rPr>
        <w:t>MCMW</w:t>
      </w:r>
      <w:r w:rsidRPr="009C3EAD">
        <w:rPr>
          <w:szCs w:val="22"/>
        </w:rPr>
        <w:t>’ (Monthly Contracted MW) as defined above.</w:t>
      </w:r>
    </w:p>
    <w:p w14:paraId="5969262C" w14:textId="77777777" w:rsidR="00EA2603" w:rsidRPr="009C3EAD" w:rsidRDefault="00EA2603" w:rsidP="00EA2603">
      <w:pPr>
        <w:pStyle w:val="ListParagraph"/>
        <w:numPr>
          <w:ilvl w:val="0"/>
          <w:numId w:val="102"/>
        </w:numPr>
        <w:spacing w:after="200" w:line="276" w:lineRule="auto"/>
        <w:rPr>
          <w:szCs w:val="22"/>
        </w:rPr>
      </w:pPr>
      <w:r w:rsidRPr="009C3EAD">
        <w:rPr>
          <w:szCs w:val="22"/>
        </w:rPr>
        <w:t>‘</w:t>
      </w:r>
      <w:r w:rsidRPr="009C3EAD">
        <w:rPr>
          <w:b/>
          <w:szCs w:val="22"/>
        </w:rPr>
        <w:t>CMW</w:t>
      </w:r>
      <w:r w:rsidRPr="009C3EAD">
        <w:rPr>
          <w:szCs w:val="22"/>
        </w:rPr>
        <w:t>’ (Confirmed MW) as defined above.</w:t>
      </w:r>
    </w:p>
    <w:p w14:paraId="31EA4EE3" w14:textId="77777777" w:rsidR="00EA2603" w:rsidRPr="009C3EAD" w:rsidRDefault="00EA2603" w:rsidP="00EA2603">
      <w:pPr>
        <w:pStyle w:val="ListParagraph"/>
        <w:numPr>
          <w:ilvl w:val="0"/>
          <w:numId w:val="102"/>
        </w:numPr>
        <w:spacing w:after="200" w:line="276" w:lineRule="auto"/>
        <w:rPr>
          <w:szCs w:val="22"/>
        </w:rPr>
      </w:pPr>
      <w:r w:rsidRPr="009C3EAD">
        <w:rPr>
          <w:szCs w:val="22"/>
        </w:rPr>
        <w:t>‘</w:t>
      </w:r>
      <w:r w:rsidRPr="009C3EAD">
        <w:rPr>
          <w:b/>
          <w:szCs w:val="22"/>
        </w:rPr>
        <w:t>H</w:t>
      </w:r>
      <w:r w:rsidRPr="009C3EAD">
        <w:rPr>
          <w:szCs w:val="22"/>
        </w:rPr>
        <w:t>’ is the set off all Confirmed Hours when the Confirmed MWs are less than 95% of the Monthly Contracted MW for the Contracted Dispatch Period.</w:t>
      </w:r>
    </w:p>
    <w:p w14:paraId="04E11955" w14:textId="77777777" w:rsidR="00EA2603" w:rsidRPr="00DC1730" w:rsidRDefault="00EA2603" w:rsidP="00EA2603">
      <w:pPr>
        <w:spacing w:after="200" w:line="276" w:lineRule="auto"/>
        <w:rPr>
          <w:szCs w:val="22"/>
        </w:rPr>
      </w:pPr>
      <w:r w:rsidRPr="009C3EAD">
        <w:rPr>
          <w:szCs w:val="22"/>
        </w:rPr>
        <w:t xml:space="preserve">We use </w:t>
      </w:r>
      <w:r w:rsidRPr="009C3EAD">
        <w:rPr>
          <w:i/>
          <w:szCs w:val="22"/>
        </w:rPr>
        <w:t xml:space="preserve">charge type </w:t>
      </w:r>
      <w:r w:rsidRPr="009C3EAD">
        <w:rPr>
          <w:szCs w:val="22"/>
        </w:rPr>
        <w:t>1304 “</w:t>
      </w:r>
      <w:r w:rsidRPr="009C3EAD">
        <w:rPr>
          <w:color w:val="000000"/>
          <w:szCs w:val="22"/>
        </w:rPr>
        <w:t>Capacity Based Demand Response Program</w:t>
      </w:r>
      <w:r w:rsidRPr="009C3EAD" w:rsidDel="00947D4C">
        <w:rPr>
          <w:szCs w:val="22"/>
        </w:rPr>
        <w:t xml:space="preserve"> </w:t>
      </w:r>
      <w:r w:rsidRPr="009C3EAD">
        <w:rPr>
          <w:szCs w:val="22"/>
        </w:rPr>
        <w:t>Utilization Set-Off Settlement Amount”.</w:t>
      </w:r>
    </w:p>
    <w:p w14:paraId="4A959491" w14:textId="77777777" w:rsidR="00EA2603" w:rsidRPr="001016A4" w:rsidRDefault="00EA2603" w:rsidP="003D477D">
      <w:pPr>
        <w:pStyle w:val="AppendixHead3"/>
        <w:numPr>
          <w:ilvl w:val="3"/>
          <w:numId w:val="6"/>
        </w:numPr>
        <w:ind w:left="1080"/>
      </w:pPr>
      <w:r w:rsidRPr="001016A4">
        <w:t>Planned Non-Performance Availability Set-Off</w:t>
      </w:r>
    </w:p>
    <w:p w14:paraId="67714B7A" w14:textId="77777777" w:rsidR="00EA2603" w:rsidRPr="009C3EAD" w:rsidRDefault="00EA2603" w:rsidP="00EA2603">
      <w:pPr>
        <w:pStyle w:val="BodyText"/>
        <w:rPr>
          <w:szCs w:val="22"/>
        </w:rPr>
      </w:pPr>
      <w:r w:rsidRPr="009C3EAD">
        <w:rPr>
          <w:szCs w:val="22"/>
        </w:rPr>
        <w:t>The planned non-performance availability set-off is another group of performance set-off. This set-off applies to any business day for which a Planned Non-Performance Event was considered or requested as part of either a single day Planned Non-Performance Event or as part of an Extended Period Planned Non-Performance Event.</w:t>
      </w:r>
    </w:p>
    <w:p w14:paraId="00696822" w14:textId="77777777" w:rsidR="00EA2603" w:rsidRPr="009C3EAD" w:rsidRDefault="00EA2603" w:rsidP="00EA2603">
      <w:pPr>
        <w:pStyle w:val="BodyText"/>
        <w:rPr>
          <w:szCs w:val="22"/>
        </w:rPr>
      </w:pPr>
      <w:r w:rsidRPr="009C3EAD">
        <w:rPr>
          <w:szCs w:val="22"/>
        </w:rPr>
        <w:t xml:space="preserve">There are two different formulas depending on whether the IESO sent any Activation Notices for the DR Account on the day in which such non-performance event was taken.  The monthly set-off calculation will be the sum of all planned non-performance availability set-offs </w:t>
      </w:r>
      <w:r w:rsidRPr="009C3EAD">
        <w:rPr>
          <w:b/>
          <w:szCs w:val="22"/>
        </w:rPr>
        <w:t>(PNPAS)</w:t>
      </w:r>
      <w:r w:rsidRPr="009C3EAD">
        <w:rPr>
          <w:szCs w:val="22"/>
        </w:rPr>
        <w:t xml:space="preserve"> as follows:</w:t>
      </w:r>
    </w:p>
    <w:p w14:paraId="66CC8789" w14:textId="77777777" w:rsidR="00EA2603" w:rsidRPr="009C3EAD" w:rsidRDefault="00EA2603" w:rsidP="00EA2603">
      <w:pPr>
        <w:pStyle w:val="BodyText"/>
        <w:spacing w:after="240"/>
        <w:rPr>
          <w:szCs w:val="22"/>
        </w:rPr>
      </w:pPr>
      <w:r w:rsidRPr="009C3EAD">
        <w:rPr>
          <w:b/>
          <w:szCs w:val="22"/>
        </w:rPr>
        <w:t>PNPAS</w:t>
      </w:r>
      <w:r w:rsidRPr="009C3EAD">
        <w:rPr>
          <w:b/>
          <w:szCs w:val="22"/>
          <w:vertAlign w:val="subscript"/>
        </w:rPr>
        <w:t>m</w:t>
      </w:r>
      <w:r w:rsidRPr="009C3EAD">
        <w:rPr>
          <w:szCs w:val="22"/>
        </w:rPr>
        <w:t xml:space="preserve"> = Non-Activation Day Non-Performance Availability Set-Off + Activation Day Non-Performance Availability Set-Off</w:t>
      </w:r>
    </w:p>
    <w:p w14:paraId="4F7892E6" w14:textId="77777777" w:rsidR="00EA2603" w:rsidRPr="009C3EAD" w:rsidRDefault="00EA2603" w:rsidP="00EA2603">
      <w:pPr>
        <w:rPr>
          <w:b/>
        </w:rPr>
      </w:pPr>
      <w:r w:rsidRPr="009C3EAD">
        <w:rPr>
          <w:b/>
        </w:rPr>
        <w:t>Non-Activation Day Non-Performance Availability Set-Off</w:t>
      </w:r>
    </w:p>
    <w:p w14:paraId="5FA85AA5" w14:textId="77777777" w:rsidR="00EA2603" w:rsidRPr="009C3EAD" w:rsidRDefault="00EA2603" w:rsidP="00EA2603">
      <w:pPr>
        <w:spacing w:after="120"/>
        <w:rPr>
          <w:color w:val="000000"/>
          <w:szCs w:val="22"/>
        </w:rPr>
      </w:pPr>
      <w:r w:rsidRPr="009C3EAD">
        <w:rPr>
          <w:color w:val="000000"/>
          <w:szCs w:val="22"/>
        </w:rPr>
        <w:t>For any Planned Non-Performance Events requested during which the IESO does not send any Activation Notices for a DR Account, then the non-Activation day non-performance availability set-off shall be calculated as follows:</w:t>
      </w:r>
    </w:p>
    <w:p w14:paraId="58AA44A8" w14:textId="77777777" w:rsidR="00EA2603" w:rsidRPr="009C3EAD" w:rsidRDefault="00EA2603" w:rsidP="00EA2603">
      <w:pPr>
        <w:rPr>
          <w:szCs w:val="22"/>
        </w:rPr>
      </w:pPr>
      <w:r w:rsidRPr="009C3EAD">
        <w:rPr>
          <w:b/>
          <w:szCs w:val="22"/>
        </w:rPr>
        <w:t>Non-Activation Day Non-Performance Availability Set-Off</w:t>
      </w:r>
      <w:r w:rsidRPr="009C3EAD">
        <w:rPr>
          <w:szCs w:val="22"/>
        </w:rPr>
        <w:t xml:space="preserve"> = (AAR x MCMW</w:t>
      </w:r>
      <w:r w:rsidRPr="009C3EAD">
        <w:rPr>
          <w:szCs w:val="22"/>
          <w:vertAlign w:val="subscript"/>
        </w:rPr>
        <w:t xml:space="preserve">h </w:t>
      </w:r>
      <w:r w:rsidRPr="009C3EAD">
        <w:rPr>
          <w:szCs w:val="22"/>
        </w:rPr>
        <w:t>x HANE</w:t>
      </w:r>
      <w:r w:rsidRPr="009C3EAD">
        <w:rPr>
          <w:szCs w:val="22"/>
          <w:vertAlign w:val="subscript"/>
        </w:rPr>
        <w:t>h</w:t>
      </w:r>
      <w:r w:rsidRPr="009C3EAD">
        <w:rPr>
          <w:szCs w:val="22"/>
        </w:rPr>
        <w:t>)</w:t>
      </w:r>
    </w:p>
    <w:p w14:paraId="1718BD45" w14:textId="77777777" w:rsidR="00EA2603" w:rsidRPr="009C3EAD" w:rsidRDefault="00EA2603" w:rsidP="00EA2603">
      <w:pPr>
        <w:spacing w:after="0"/>
        <w:ind w:left="1440"/>
        <w:rPr>
          <w:b/>
          <w:szCs w:val="22"/>
        </w:rPr>
      </w:pPr>
      <w:r w:rsidRPr="009C3EAD">
        <w:rPr>
          <w:b/>
          <w:szCs w:val="22"/>
        </w:rPr>
        <w:t>Where:</w:t>
      </w:r>
    </w:p>
    <w:p w14:paraId="2B21CA8C" w14:textId="77777777" w:rsidR="00EA2603" w:rsidRPr="009C3EAD" w:rsidRDefault="00EA2603" w:rsidP="00EA2603">
      <w:pPr>
        <w:pStyle w:val="ListParagraph"/>
        <w:numPr>
          <w:ilvl w:val="0"/>
          <w:numId w:val="103"/>
        </w:numPr>
        <w:spacing w:after="200" w:line="276" w:lineRule="auto"/>
        <w:ind w:left="2520"/>
        <w:rPr>
          <w:szCs w:val="22"/>
        </w:rPr>
      </w:pPr>
      <w:r w:rsidRPr="009C3EAD">
        <w:rPr>
          <w:szCs w:val="22"/>
        </w:rPr>
        <w:t>‘</w:t>
      </w:r>
      <w:r w:rsidRPr="009C3EAD">
        <w:rPr>
          <w:b/>
          <w:szCs w:val="22"/>
        </w:rPr>
        <w:t>AAR</w:t>
      </w:r>
      <w:r w:rsidRPr="009C3EAD">
        <w:rPr>
          <w:szCs w:val="22"/>
        </w:rPr>
        <w:t>’ as defined above.</w:t>
      </w:r>
    </w:p>
    <w:p w14:paraId="4A642577" w14:textId="77777777" w:rsidR="00EA2603" w:rsidRPr="009C3EAD" w:rsidRDefault="00EA2603" w:rsidP="00EA2603">
      <w:pPr>
        <w:pStyle w:val="ListParagraph"/>
        <w:numPr>
          <w:ilvl w:val="0"/>
          <w:numId w:val="103"/>
        </w:numPr>
        <w:spacing w:after="200" w:line="276" w:lineRule="auto"/>
        <w:ind w:left="2520"/>
        <w:rPr>
          <w:szCs w:val="22"/>
        </w:rPr>
      </w:pPr>
      <w:r w:rsidRPr="009C3EAD">
        <w:rPr>
          <w:szCs w:val="22"/>
        </w:rPr>
        <w:t>‘</w:t>
      </w:r>
      <w:r w:rsidRPr="009C3EAD">
        <w:rPr>
          <w:b/>
          <w:szCs w:val="22"/>
        </w:rPr>
        <w:t>MCMW</w:t>
      </w:r>
      <w:r w:rsidRPr="009C3EAD">
        <w:rPr>
          <w:szCs w:val="22"/>
        </w:rPr>
        <w:t>’ as defined above.</w:t>
      </w:r>
    </w:p>
    <w:p w14:paraId="7EFE2071" w14:textId="77777777" w:rsidR="00EA2603" w:rsidRPr="009C3EAD" w:rsidRDefault="00EA2603" w:rsidP="00EA2603">
      <w:pPr>
        <w:pStyle w:val="ListParagraph"/>
        <w:numPr>
          <w:ilvl w:val="0"/>
          <w:numId w:val="103"/>
        </w:numPr>
        <w:spacing w:after="200" w:line="276" w:lineRule="auto"/>
        <w:ind w:left="2520"/>
        <w:rPr>
          <w:szCs w:val="22"/>
        </w:rPr>
      </w:pPr>
      <w:r w:rsidRPr="009C3EAD">
        <w:rPr>
          <w:szCs w:val="22"/>
        </w:rPr>
        <w:t>‘</w:t>
      </w:r>
      <w:r w:rsidRPr="009C3EAD">
        <w:rPr>
          <w:b/>
          <w:szCs w:val="22"/>
        </w:rPr>
        <w:t>HANE</w:t>
      </w:r>
      <w:r w:rsidRPr="009C3EAD">
        <w:rPr>
          <w:szCs w:val="22"/>
        </w:rPr>
        <w:t>’ (Hours of Availability for a Planned Non-Performance Event), represents the sum of Hours of Availability for each day in the month for which a Planned Non-Performance Event is requested and for which an Activation Notice is not received by the DRMP.</w:t>
      </w:r>
    </w:p>
    <w:p w14:paraId="762F8390" w14:textId="77777777" w:rsidR="00EA2603" w:rsidRPr="009C3EAD" w:rsidRDefault="00EA2603" w:rsidP="00EA2603">
      <w:pPr>
        <w:rPr>
          <w:b/>
        </w:rPr>
      </w:pPr>
      <w:r w:rsidRPr="009C3EAD">
        <w:rPr>
          <w:b/>
        </w:rPr>
        <w:t>Activation Day Non-Performance Availability Set-Off</w:t>
      </w:r>
    </w:p>
    <w:p w14:paraId="17D7168A" w14:textId="77777777" w:rsidR="00EA2603" w:rsidRPr="009C3EAD" w:rsidRDefault="00EA2603" w:rsidP="00EA2603">
      <w:pPr>
        <w:rPr>
          <w:szCs w:val="22"/>
        </w:rPr>
      </w:pPr>
      <w:r w:rsidRPr="009C3EAD">
        <w:rPr>
          <w:szCs w:val="22"/>
        </w:rPr>
        <w:t>For any Planned Non-Performance Events requested during which the IESO sends an Activation Notice for a DR Account, then the Activation day non-performance availability set-off shall be calculated as follows:</w:t>
      </w:r>
    </w:p>
    <w:p w14:paraId="31885CEA" w14:textId="77777777" w:rsidR="00EA2603" w:rsidRPr="009C3EAD" w:rsidRDefault="00EA2603" w:rsidP="00EA2603">
      <w:pPr>
        <w:spacing w:before="240" w:after="120"/>
        <w:rPr>
          <w:szCs w:val="22"/>
        </w:rPr>
      </w:pPr>
      <w:r w:rsidRPr="009C3EAD">
        <w:rPr>
          <w:b/>
          <w:szCs w:val="22"/>
        </w:rPr>
        <w:t>Activation Day Non-Performance Availability Set-Off</w:t>
      </w:r>
      <w:r w:rsidRPr="009C3EAD">
        <w:rPr>
          <w:szCs w:val="22"/>
        </w:rPr>
        <w:t xml:space="preserve"> = (OH x AAR x MCMW</w:t>
      </w:r>
      <w:r w:rsidRPr="009C3EAD">
        <w:rPr>
          <w:szCs w:val="22"/>
          <w:vertAlign w:val="subscript"/>
        </w:rPr>
        <w:t>h</w:t>
      </w:r>
      <w:r w:rsidRPr="009C3EAD">
        <w:rPr>
          <w:szCs w:val="22"/>
        </w:rPr>
        <w:t xml:space="preserve"> x NEWF)</w:t>
      </w:r>
    </w:p>
    <w:p w14:paraId="57613A00" w14:textId="77777777" w:rsidR="00EA2603" w:rsidRPr="009C3EAD" w:rsidRDefault="00EA2603" w:rsidP="00EA2603">
      <w:pPr>
        <w:spacing w:after="0"/>
        <w:ind w:left="1440"/>
        <w:rPr>
          <w:b/>
          <w:szCs w:val="22"/>
        </w:rPr>
      </w:pPr>
      <w:r w:rsidRPr="009C3EAD">
        <w:rPr>
          <w:b/>
          <w:szCs w:val="22"/>
        </w:rPr>
        <w:t xml:space="preserve">Where: </w:t>
      </w:r>
    </w:p>
    <w:p w14:paraId="47FAE64B" w14:textId="77777777" w:rsidR="00EA2603" w:rsidRPr="009C3EAD" w:rsidRDefault="00EA2603" w:rsidP="00EA2603">
      <w:pPr>
        <w:pStyle w:val="ListParagraph"/>
        <w:numPr>
          <w:ilvl w:val="0"/>
          <w:numId w:val="102"/>
        </w:numPr>
        <w:spacing w:after="200" w:line="276" w:lineRule="auto"/>
        <w:ind w:left="2520"/>
        <w:rPr>
          <w:szCs w:val="22"/>
        </w:rPr>
      </w:pPr>
      <w:r w:rsidRPr="009C3EAD">
        <w:rPr>
          <w:szCs w:val="22"/>
        </w:rPr>
        <w:t>‘</w:t>
      </w:r>
      <w:r w:rsidRPr="009C3EAD">
        <w:rPr>
          <w:b/>
          <w:szCs w:val="22"/>
        </w:rPr>
        <w:t>OH</w:t>
      </w:r>
      <w:r w:rsidRPr="009C3EAD">
        <w:rPr>
          <w:szCs w:val="22"/>
        </w:rPr>
        <w:t>’ (opportunity hours), means (i) 64 for DR Account with Option A or (ii) 32 for DR Account with Option B.</w:t>
      </w:r>
    </w:p>
    <w:p w14:paraId="7F61B258" w14:textId="77777777" w:rsidR="00EA2603" w:rsidRPr="009C3EAD" w:rsidRDefault="00EA2603" w:rsidP="00EA2603">
      <w:pPr>
        <w:pStyle w:val="ListParagraph"/>
        <w:numPr>
          <w:ilvl w:val="0"/>
          <w:numId w:val="102"/>
        </w:numPr>
        <w:spacing w:after="200" w:line="276" w:lineRule="auto"/>
        <w:ind w:left="2520"/>
        <w:rPr>
          <w:szCs w:val="22"/>
        </w:rPr>
      </w:pPr>
      <w:r w:rsidRPr="009C3EAD">
        <w:rPr>
          <w:szCs w:val="22"/>
        </w:rPr>
        <w:t>‘</w:t>
      </w:r>
      <w:r w:rsidRPr="009C3EAD">
        <w:rPr>
          <w:b/>
          <w:szCs w:val="22"/>
        </w:rPr>
        <w:t>AAR</w:t>
      </w:r>
      <w:r w:rsidRPr="009C3EAD">
        <w:rPr>
          <w:szCs w:val="22"/>
        </w:rPr>
        <w:t>’ as defined above.</w:t>
      </w:r>
    </w:p>
    <w:p w14:paraId="6203D7C6" w14:textId="77777777" w:rsidR="00EA2603" w:rsidRPr="009C3EAD" w:rsidRDefault="00EA2603" w:rsidP="00EA2603">
      <w:pPr>
        <w:pStyle w:val="ListParagraph"/>
        <w:numPr>
          <w:ilvl w:val="0"/>
          <w:numId w:val="102"/>
        </w:numPr>
        <w:spacing w:after="200" w:line="276" w:lineRule="auto"/>
        <w:ind w:left="2520"/>
        <w:rPr>
          <w:szCs w:val="22"/>
        </w:rPr>
      </w:pPr>
      <w:r w:rsidRPr="009C3EAD">
        <w:rPr>
          <w:szCs w:val="22"/>
        </w:rPr>
        <w:t>‘</w:t>
      </w:r>
      <w:r w:rsidRPr="009C3EAD">
        <w:rPr>
          <w:b/>
          <w:szCs w:val="22"/>
        </w:rPr>
        <w:t>MCMW</w:t>
      </w:r>
      <w:r w:rsidRPr="009C3EAD">
        <w:rPr>
          <w:szCs w:val="22"/>
        </w:rPr>
        <w:t>’ as defined above.</w:t>
      </w:r>
    </w:p>
    <w:p w14:paraId="48799FDF" w14:textId="77777777" w:rsidR="00EA2603" w:rsidRPr="009C3EAD" w:rsidRDefault="00EA2603" w:rsidP="00EA2603">
      <w:pPr>
        <w:pStyle w:val="ListParagraph"/>
        <w:numPr>
          <w:ilvl w:val="0"/>
          <w:numId w:val="102"/>
        </w:numPr>
        <w:spacing w:after="200" w:line="276" w:lineRule="auto"/>
        <w:ind w:left="2520"/>
        <w:rPr>
          <w:szCs w:val="22"/>
        </w:rPr>
      </w:pPr>
      <w:r w:rsidRPr="009C3EAD">
        <w:rPr>
          <w:szCs w:val="22"/>
        </w:rPr>
        <w:t>‘</w:t>
      </w:r>
      <w:r w:rsidRPr="009C3EAD">
        <w:rPr>
          <w:b/>
          <w:szCs w:val="22"/>
        </w:rPr>
        <w:t>NEWF</w:t>
      </w:r>
      <w:r w:rsidRPr="009C3EAD">
        <w:rPr>
          <w:szCs w:val="22"/>
        </w:rPr>
        <w:t>’ (non-performance event weighting factor), means 100%, unless the Actual Activated MWh per Interval calculated using the standard baseline, as averaged over all of the Intervals in the Contracted Dispatch Period for the Activation, is greater than or equal to the product of the Monthly Contracted MW and 1/12 of an hour in which case ‘NEWF’ means 50%.</w:t>
      </w:r>
    </w:p>
    <w:p w14:paraId="7CF6F8C9" w14:textId="77777777" w:rsidR="00EA2603" w:rsidRPr="00DC1730" w:rsidRDefault="00EA2603" w:rsidP="00EA2603">
      <w:pPr>
        <w:spacing w:after="200" w:line="276" w:lineRule="auto"/>
        <w:rPr>
          <w:szCs w:val="22"/>
        </w:rPr>
      </w:pPr>
      <w:r w:rsidRPr="009C3EAD">
        <w:rPr>
          <w:szCs w:val="22"/>
        </w:rPr>
        <w:t xml:space="preserve">We use </w:t>
      </w:r>
      <w:r w:rsidRPr="009C3EAD">
        <w:rPr>
          <w:i/>
          <w:szCs w:val="22"/>
        </w:rPr>
        <w:t xml:space="preserve">charge type </w:t>
      </w:r>
      <w:r w:rsidRPr="009C3EAD">
        <w:rPr>
          <w:szCs w:val="22"/>
        </w:rPr>
        <w:t>1305 “</w:t>
      </w:r>
      <w:r w:rsidRPr="009C3EAD">
        <w:rPr>
          <w:color w:val="000000"/>
          <w:szCs w:val="22"/>
        </w:rPr>
        <w:t>Capacity Based Demand Response Program</w:t>
      </w:r>
      <w:r w:rsidRPr="009C3EAD" w:rsidDel="00947D4C">
        <w:rPr>
          <w:szCs w:val="22"/>
        </w:rPr>
        <w:t xml:space="preserve"> </w:t>
      </w:r>
      <w:r w:rsidRPr="009C3EAD">
        <w:rPr>
          <w:szCs w:val="22"/>
        </w:rPr>
        <w:t>Planned Non-Performance Event Set-Off Amt”.</w:t>
      </w:r>
    </w:p>
    <w:p w14:paraId="29B341DD" w14:textId="77777777" w:rsidR="00EA2603" w:rsidRPr="001016A4" w:rsidRDefault="00EA2603" w:rsidP="003D477D">
      <w:pPr>
        <w:pStyle w:val="AppendixHead3"/>
        <w:numPr>
          <w:ilvl w:val="3"/>
          <w:numId w:val="6"/>
        </w:numPr>
        <w:ind w:left="1080"/>
      </w:pPr>
      <w:r w:rsidRPr="001016A4">
        <w:t>DR Measurement Data Set-Off</w:t>
      </w:r>
    </w:p>
    <w:p w14:paraId="5CF28517" w14:textId="77777777" w:rsidR="00EA2603" w:rsidRPr="009C3EAD" w:rsidRDefault="00EA2603" w:rsidP="00EA2603">
      <w:pPr>
        <w:pStyle w:val="BodyText"/>
      </w:pPr>
      <w:r w:rsidRPr="009C3EAD">
        <w:t>A DR measurement data set-off will be applied against the Availability Payment for a DR Account if a complete set of weekly measurement data and any DR Forced Outage(s) for that DR Account is not received by the IESO by 15:00 EST on the first business day of the second week following the week for which the data relates.</w:t>
      </w:r>
    </w:p>
    <w:p w14:paraId="5EE899F9" w14:textId="77777777" w:rsidR="00EA2603" w:rsidRPr="009C3EAD" w:rsidRDefault="00EA2603" w:rsidP="00EA2603">
      <w:r w:rsidRPr="009C3EAD">
        <w:t>The DR measurement data set-off is calculated as follows:</w:t>
      </w:r>
    </w:p>
    <w:p w14:paraId="1C67BE66" w14:textId="77777777" w:rsidR="00EA2603" w:rsidRPr="009C3EAD" w:rsidRDefault="00EA2603" w:rsidP="00EA2603">
      <w:pPr>
        <w:pStyle w:val="BodyText"/>
        <w:rPr>
          <w:rFonts w:eastAsiaTheme="minorEastAsia"/>
        </w:rPr>
      </w:pPr>
      <w:r w:rsidRPr="009C3EAD">
        <w:rPr>
          <w:rFonts w:eastAsiaTheme="minorEastAsia"/>
          <w:b/>
        </w:rPr>
        <w:t>DR Measurement Data Set-Off</w:t>
      </w:r>
      <w:r w:rsidRPr="009C3EAD">
        <w:rPr>
          <w:rFonts w:eastAsiaTheme="minorEastAsia"/>
        </w:rPr>
        <w:t xml:space="preserve"> </w:t>
      </w:r>
      <m:oMath>
        <m:r>
          <m:rPr>
            <m:sty m:val="p"/>
          </m:rPr>
          <w:rPr>
            <w:rFonts w:ascii="Cambria Math" w:hAnsi="Cambria Math"/>
          </w:rPr>
          <m:t>=MDSF x (</m:t>
        </m:r>
        <m:sSub>
          <m:sSubPr>
            <m:ctrlPr>
              <w:rPr>
                <w:rFonts w:ascii="Cambria Math" w:hAnsi="Cambria Math"/>
              </w:rPr>
            </m:ctrlPr>
          </m:sSubPr>
          <m:e>
            <m:r>
              <w:rPr>
                <w:rFonts w:ascii="Cambria Math" w:hAnsi="Cambria Math"/>
              </w:rPr>
              <m:t>HA</m:t>
            </m:r>
          </m:e>
          <m:sub>
            <m:r>
              <w:rPr>
                <w:rFonts w:ascii="Cambria Math" w:hAnsi="Cambria Math"/>
              </w:rPr>
              <m:t>H</m:t>
            </m:r>
          </m:sub>
        </m:sSub>
        <m:r>
          <m:rPr>
            <m:sty m:val="p"/>
          </m:rPr>
          <w:rPr>
            <w:rFonts w:ascii="Cambria Math" w:hAnsi="Cambria Math"/>
          </w:rPr>
          <m:t xml:space="preserve"> x </m:t>
        </m:r>
        <m:sSub>
          <m:sSubPr>
            <m:ctrlPr>
              <w:rPr>
                <w:rFonts w:ascii="Cambria Math" w:hAnsi="Cambria Math"/>
              </w:rPr>
            </m:ctrlPr>
          </m:sSubPr>
          <m:e>
            <m:r>
              <w:rPr>
                <w:rFonts w:ascii="Cambria Math" w:hAnsi="Cambria Math"/>
              </w:rPr>
              <m:t>MCMW</m:t>
            </m:r>
          </m:e>
          <m:sub>
            <m:r>
              <w:rPr>
                <w:rFonts w:ascii="Cambria Math" w:hAnsi="Cambria Math"/>
              </w:rPr>
              <m:t>H</m:t>
            </m:r>
          </m:sub>
        </m:sSub>
        <m:r>
          <m:rPr>
            <m:sty m:val="p"/>
          </m:rPr>
          <w:rPr>
            <w:rFonts w:ascii="Cambria Math" w:hAnsi="Cambria Math"/>
          </w:rPr>
          <m:t xml:space="preserve"> x AAR)</m:t>
        </m:r>
      </m:oMath>
    </w:p>
    <w:p w14:paraId="530019D5" w14:textId="77777777" w:rsidR="00EA2603" w:rsidRPr="009C3EAD" w:rsidRDefault="00EA2603" w:rsidP="00EA2603">
      <w:pPr>
        <w:spacing w:after="0"/>
        <w:ind w:left="1440"/>
        <w:rPr>
          <w:rFonts w:eastAsiaTheme="minorEastAsia"/>
          <w:b/>
        </w:rPr>
      </w:pPr>
      <w:r w:rsidRPr="009C3EAD">
        <w:rPr>
          <w:rFonts w:eastAsiaTheme="minorEastAsia"/>
          <w:b/>
        </w:rPr>
        <w:t>Where:</w:t>
      </w:r>
    </w:p>
    <w:p w14:paraId="45EBE4DC" w14:textId="77777777" w:rsidR="00EA2603" w:rsidRPr="009C3EAD" w:rsidRDefault="00EA2603" w:rsidP="00EA2603">
      <w:pPr>
        <w:pStyle w:val="ListParagraph"/>
        <w:numPr>
          <w:ilvl w:val="0"/>
          <w:numId w:val="102"/>
        </w:numPr>
        <w:spacing w:after="200" w:line="276" w:lineRule="auto"/>
        <w:ind w:left="2520"/>
        <w:rPr>
          <w:sz w:val="20"/>
        </w:rPr>
      </w:pPr>
      <w:r w:rsidRPr="009C3EAD">
        <w:rPr>
          <w:sz w:val="20"/>
        </w:rPr>
        <w:t>‘</w:t>
      </w:r>
      <w:r w:rsidRPr="009C3EAD">
        <w:rPr>
          <w:b/>
          <w:sz w:val="20"/>
        </w:rPr>
        <w:t>MDSF</w:t>
      </w:r>
      <w:r w:rsidRPr="009C3EAD">
        <w:rPr>
          <w:sz w:val="20"/>
        </w:rPr>
        <w:t>’ (measurement data set-off factor), is an increasing factor for every week that the full data remains undelivered. The factor is equal to:</w:t>
      </w:r>
    </w:p>
    <w:p w14:paraId="05B795A8" w14:textId="77777777" w:rsidR="00EA2603" w:rsidRPr="009C3EAD" w:rsidRDefault="00EA2603" w:rsidP="00EA2603">
      <w:pPr>
        <w:pStyle w:val="ListParagraph"/>
        <w:numPr>
          <w:ilvl w:val="1"/>
          <w:numId w:val="102"/>
        </w:numPr>
        <w:spacing w:after="200" w:line="276" w:lineRule="auto"/>
        <w:ind w:left="3240"/>
        <w:rPr>
          <w:sz w:val="20"/>
        </w:rPr>
      </w:pPr>
      <w:r w:rsidRPr="009C3EAD">
        <w:rPr>
          <w:sz w:val="20"/>
        </w:rPr>
        <w:t>20% for the first week that the full data remains undelivered;</w:t>
      </w:r>
    </w:p>
    <w:p w14:paraId="6EF4F750" w14:textId="77777777" w:rsidR="00EA2603" w:rsidRPr="009C3EAD" w:rsidRDefault="00EA2603" w:rsidP="00EA2603">
      <w:pPr>
        <w:pStyle w:val="ListParagraph"/>
        <w:numPr>
          <w:ilvl w:val="1"/>
          <w:numId w:val="102"/>
        </w:numPr>
        <w:spacing w:after="200" w:line="276" w:lineRule="auto"/>
        <w:ind w:left="3240"/>
        <w:rPr>
          <w:sz w:val="20"/>
        </w:rPr>
      </w:pPr>
      <w:r w:rsidRPr="009C3EAD">
        <w:rPr>
          <w:sz w:val="20"/>
        </w:rPr>
        <w:t>33% for the second week that the full data remains undelivered;</w:t>
      </w:r>
    </w:p>
    <w:p w14:paraId="46C0BB7D" w14:textId="77777777" w:rsidR="00EA2603" w:rsidRPr="009C3EAD" w:rsidRDefault="00EA2603" w:rsidP="00EA2603">
      <w:pPr>
        <w:pStyle w:val="ListParagraph"/>
        <w:numPr>
          <w:ilvl w:val="1"/>
          <w:numId w:val="102"/>
        </w:numPr>
        <w:spacing w:after="200" w:line="276" w:lineRule="auto"/>
        <w:ind w:left="3240"/>
        <w:rPr>
          <w:sz w:val="20"/>
        </w:rPr>
      </w:pPr>
      <w:r w:rsidRPr="009C3EAD">
        <w:rPr>
          <w:sz w:val="20"/>
        </w:rPr>
        <w:t>50% for the third week that the full data remains undelivered; and</w:t>
      </w:r>
    </w:p>
    <w:p w14:paraId="6AE574F6" w14:textId="77777777" w:rsidR="00EA2603" w:rsidRPr="009C3EAD" w:rsidRDefault="00EA2603" w:rsidP="00EA2603">
      <w:pPr>
        <w:pStyle w:val="ListParagraph"/>
        <w:numPr>
          <w:ilvl w:val="1"/>
          <w:numId w:val="102"/>
        </w:numPr>
        <w:spacing w:after="200" w:line="276" w:lineRule="auto"/>
        <w:ind w:left="3240"/>
        <w:rPr>
          <w:sz w:val="20"/>
        </w:rPr>
      </w:pPr>
      <w:r w:rsidRPr="009C3EAD">
        <w:rPr>
          <w:sz w:val="20"/>
        </w:rPr>
        <w:t>100% for the fourth week that the full data remains undelivered.</w:t>
      </w:r>
    </w:p>
    <w:p w14:paraId="7FC4F74D" w14:textId="77777777" w:rsidR="00EA2603" w:rsidRPr="009C3EAD" w:rsidRDefault="00EA2603" w:rsidP="00EA2603">
      <w:pPr>
        <w:pStyle w:val="ListParagraph"/>
        <w:numPr>
          <w:ilvl w:val="0"/>
          <w:numId w:val="102"/>
        </w:numPr>
        <w:spacing w:after="200" w:line="276" w:lineRule="auto"/>
        <w:ind w:left="2520"/>
        <w:rPr>
          <w:sz w:val="20"/>
        </w:rPr>
      </w:pPr>
      <w:r w:rsidRPr="009C3EAD">
        <w:rPr>
          <w:sz w:val="20"/>
        </w:rPr>
        <w:t>‘</w:t>
      </w:r>
      <w:r w:rsidRPr="009C3EAD">
        <w:rPr>
          <w:b/>
          <w:sz w:val="20"/>
        </w:rPr>
        <w:t>HA</w:t>
      </w:r>
      <w:r w:rsidRPr="009C3EAD">
        <w:rPr>
          <w:sz w:val="20"/>
        </w:rPr>
        <w:t>’ (Hours of Availability) as defined above.</w:t>
      </w:r>
    </w:p>
    <w:p w14:paraId="42504194" w14:textId="77777777" w:rsidR="00EA2603" w:rsidRPr="009C3EAD" w:rsidRDefault="00EA2603" w:rsidP="00EA2603">
      <w:pPr>
        <w:pStyle w:val="ListParagraph"/>
        <w:numPr>
          <w:ilvl w:val="0"/>
          <w:numId w:val="102"/>
        </w:numPr>
        <w:spacing w:after="200" w:line="276" w:lineRule="auto"/>
        <w:ind w:left="2520"/>
        <w:rPr>
          <w:sz w:val="20"/>
        </w:rPr>
      </w:pPr>
      <w:r w:rsidRPr="009C3EAD">
        <w:rPr>
          <w:sz w:val="20"/>
        </w:rPr>
        <w:t>‘</w:t>
      </w:r>
      <w:r w:rsidRPr="009C3EAD">
        <w:rPr>
          <w:b/>
          <w:sz w:val="20"/>
        </w:rPr>
        <w:t>MRMW</w:t>
      </w:r>
      <w:r w:rsidRPr="009C3EAD">
        <w:rPr>
          <w:sz w:val="20"/>
        </w:rPr>
        <w:t>’ (Monthly Contracted MW) as defined above.</w:t>
      </w:r>
    </w:p>
    <w:p w14:paraId="1BF0A74E" w14:textId="77777777" w:rsidR="00EA2603" w:rsidRPr="009C3EAD" w:rsidRDefault="00EA2603" w:rsidP="00EA2603">
      <w:pPr>
        <w:pStyle w:val="ListParagraph"/>
        <w:numPr>
          <w:ilvl w:val="0"/>
          <w:numId w:val="102"/>
        </w:numPr>
        <w:spacing w:after="200" w:line="276" w:lineRule="auto"/>
        <w:ind w:left="2520"/>
        <w:rPr>
          <w:sz w:val="20"/>
        </w:rPr>
      </w:pPr>
      <w:r w:rsidRPr="009C3EAD">
        <w:rPr>
          <w:sz w:val="20"/>
        </w:rPr>
        <w:t>‘</w:t>
      </w:r>
      <w:r w:rsidRPr="009C3EAD">
        <w:rPr>
          <w:b/>
          <w:sz w:val="20"/>
        </w:rPr>
        <w:t>AAR</w:t>
      </w:r>
      <w:r w:rsidRPr="009C3EAD">
        <w:rPr>
          <w:sz w:val="20"/>
        </w:rPr>
        <w:t>’ (adjusted availability rate) as defined above.</w:t>
      </w:r>
    </w:p>
    <w:p w14:paraId="7A4F1B52" w14:textId="77777777" w:rsidR="00EA2603" w:rsidRPr="009C3EAD" w:rsidRDefault="00EA2603" w:rsidP="00EA2603">
      <w:pPr>
        <w:pStyle w:val="ListParagraph"/>
        <w:numPr>
          <w:ilvl w:val="0"/>
          <w:numId w:val="102"/>
        </w:numPr>
        <w:spacing w:after="200" w:line="276" w:lineRule="auto"/>
        <w:ind w:left="2520"/>
        <w:rPr>
          <w:sz w:val="20"/>
        </w:rPr>
      </w:pPr>
      <w:r w:rsidRPr="009C3EAD">
        <w:rPr>
          <w:sz w:val="20"/>
        </w:rPr>
        <w:t>‘</w:t>
      </w:r>
      <w:r w:rsidRPr="009C3EAD">
        <w:rPr>
          <w:b/>
          <w:sz w:val="20"/>
        </w:rPr>
        <w:t>H</w:t>
      </w:r>
      <w:r w:rsidRPr="009C3EAD">
        <w:rPr>
          <w:sz w:val="20"/>
        </w:rPr>
        <w:t>’ is the total hours a DRMP is available for the applicable week.</w:t>
      </w:r>
    </w:p>
    <w:p w14:paraId="47D81DA3" w14:textId="77777777" w:rsidR="00EA2603" w:rsidRPr="00E57538" w:rsidRDefault="00EA2603" w:rsidP="00EA2603">
      <w:pPr>
        <w:spacing w:after="200" w:line="276" w:lineRule="auto"/>
        <w:rPr>
          <w:szCs w:val="22"/>
        </w:rPr>
      </w:pPr>
      <w:r w:rsidRPr="00E57538">
        <w:rPr>
          <w:szCs w:val="22"/>
        </w:rPr>
        <w:t xml:space="preserve">We use </w:t>
      </w:r>
      <w:r w:rsidRPr="00E57538">
        <w:rPr>
          <w:i/>
          <w:szCs w:val="22"/>
        </w:rPr>
        <w:t xml:space="preserve">charge type </w:t>
      </w:r>
      <w:r w:rsidRPr="00E57538">
        <w:rPr>
          <w:szCs w:val="22"/>
        </w:rPr>
        <w:t>1306 “</w:t>
      </w:r>
      <w:r w:rsidRPr="00E57538">
        <w:rPr>
          <w:color w:val="000000"/>
          <w:szCs w:val="22"/>
        </w:rPr>
        <w:t>Capacity Based Demand Response Program</w:t>
      </w:r>
      <w:r w:rsidRPr="00E57538" w:rsidDel="00947D4C">
        <w:rPr>
          <w:szCs w:val="22"/>
        </w:rPr>
        <w:t xml:space="preserve"> </w:t>
      </w:r>
      <w:r w:rsidRPr="00E57538">
        <w:rPr>
          <w:szCs w:val="22"/>
        </w:rPr>
        <w:t>Measurement Data Set-Off Settlement Amt”.</w:t>
      </w:r>
    </w:p>
    <w:p w14:paraId="48F5D200" w14:textId="77777777" w:rsidR="00EA2603" w:rsidRPr="009C3EAD" w:rsidRDefault="00EA2603" w:rsidP="00F71000">
      <w:pPr>
        <w:pStyle w:val="AppendixHead3"/>
      </w:pPr>
      <w:r w:rsidRPr="009C3EAD">
        <w:t>Buy-Downs</w:t>
      </w:r>
    </w:p>
    <w:p w14:paraId="19863766" w14:textId="77777777" w:rsidR="00EA2603" w:rsidRPr="009C3EAD" w:rsidRDefault="00EA2603" w:rsidP="00EA2603">
      <w:pPr>
        <w:pStyle w:val="BodyText"/>
        <w:rPr>
          <w:szCs w:val="22"/>
        </w:rPr>
      </w:pPr>
      <w:r w:rsidRPr="009C3EAD">
        <w:rPr>
          <w:szCs w:val="22"/>
        </w:rPr>
        <w:t>Where an event occurs which reduces the Project’s ability to Curtail, was not caused by the DRMP, and could not have been reasonably prevented by the DRMP using Commercially Reasonable Efforts, the DRMP shall have one opportunity in the Schedule Term to request for a reduction referred to as buy-down by:</w:t>
      </w:r>
    </w:p>
    <w:p w14:paraId="4D07FF06" w14:textId="77777777" w:rsidR="00EA2603" w:rsidRPr="009C3EAD" w:rsidRDefault="00EA2603" w:rsidP="00EA2603">
      <w:pPr>
        <w:pStyle w:val="BodyText"/>
        <w:numPr>
          <w:ilvl w:val="0"/>
          <w:numId w:val="107"/>
        </w:numPr>
        <w:rPr>
          <w:szCs w:val="22"/>
        </w:rPr>
      </w:pPr>
      <w:r w:rsidRPr="009C3EAD">
        <w:rPr>
          <w:szCs w:val="22"/>
        </w:rPr>
        <w:t>Reducing the Monthly Contracted MW to a number of MW that is not less than 5.0 MW, or reducing it entirely to 0 MW; or</w:t>
      </w:r>
    </w:p>
    <w:p w14:paraId="46CF6125" w14:textId="77777777" w:rsidR="00EA2603" w:rsidRPr="009C3EAD" w:rsidRDefault="00EA2603" w:rsidP="00EA2603">
      <w:pPr>
        <w:pStyle w:val="BodyText"/>
        <w:numPr>
          <w:ilvl w:val="0"/>
          <w:numId w:val="107"/>
        </w:numPr>
        <w:rPr>
          <w:szCs w:val="22"/>
        </w:rPr>
      </w:pPr>
      <w:r w:rsidRPr="009C3EAD">
        <w:rPr>
          <w:szCs w:val="22"/>
        </w:rPr>
        <w:t>Designating up to three Daily Schedules per week to be excluded from the days on which the DRMP is required to be available to participate.</w:t>
      </w:r>
    </w:p>
    <w:p w14:paraId="1CCEABB9" w14:textId="77777777" w:rsidR="00EA2603" w:rsidRPr="009C3EAD" w:rsidRDefault="00EA2603" w:rsidP="00EA2603">
      <w:pPr>
        <w:pStyle w:val="BodyText"/>
        <w:rPr>
          <w:szCs w:val="22"/>
        </w:rPr>
      </w:pPr>
      <w:r w:rsidRPr="009C3EAD">
        <w:rPr>
          <w:szCs w:val="22"/>
        </w:rPr>
        <w:t xml:space="preserve">To obtain a buy-down, DRMPs will be required to pay the applicable buy-down amount for each </w:t>
      </w:r>
      <w:r>
        <w:rPr>
          <w:szCs w:val="22"/>
        </w:rPr>
        <w:t>Contract</w:t>
      </w:r>
      <w:r w:rsidRPr="009C3EAD">
        <w:rPr>
          <w:szCs w:val="22"/>
        </w:rPr>
        <w:t xml:space="preserve"> </w:t>
      </w:r>
      <w:r>
        <w:rPr>
          <w:szCs w:val="22"/>
        </w:rPr>
        <w:t>S</w:t>
      </w:r>
      <w:r w:rsidRPr="009C3EAD">
        <w:rPr>
          <w:szCs w:val="22"/>
        </w:rPr>
        <w:t xml:space="preserve">chedule.  Each Daily Schedule that is part of a buy-down will be considered as a single day Planned Non-Performance Event and will be subject to the applicable planned non-performance availability set-off.  The calculation used is dependent on the type of reduction requested.  Calculations for the buy-down amount are defined below.  Buy-down rates (R1 and R2) are available on the </w:t>
      </w:r>
      <w:r w:rsidRPr="0025074E">
        <w:rPr>
          <w:i/>
          <w:szCs w:val="22"/>
        </w:rPr>
        <w:t>Capacity Based Demand Response Program</w:t>
      </w:r>
      <w:r w:rsidRPr="009C3EAD">
        <w:rPr>
          <w:szCs w:val="22"/>
        </w:rPr>
        <w:t xml:space="preserve"> webpage</w:t>
      </w:r>
      <w:r>
        <w:rPr>
          <w:szCs w:val="22"/>
        </w:rPr>
        <w:t xml:space="preserve"> for informational purposes only</w:t>
      </w:r>
      <w:r w:rsidRPr="009C3EAD">
        <w:rPr>
          <w:szCs w:val="22"/>
        </w:rPr>
        <w:t>.</w:t>
      </w:r>
    </w:p>
    <w:p w14:paraId="3F9EA589" w14:textId="77777777" w:rsidR="00EA2603" w:rsidRPr="009C3EAD" w:rsidRDefault="00EA2603" w:rsidP="00EA2603">
      <w:pPr>
        <w:pStyle w:val="BodyText"/>
        <w:rPr>
          <w:szCs w:val="22"/>
        </w:rPr>
      </w:pPr>
      <w:r w:rsidRPr="009C3EAD">
        <w:rPr>
          <w:szCs w:val="22"/>
        </w:rPr>
        <w:t xml:space="preserve">The buy-down rate used in the buy-down amount is calculated as one of the following based on the Schedule Term of each </w:t>
      </w:r>
      <w:r>
        <w:rPr>
          <w:szCs w:val="22"/>
        </w:rPr>
        <w:t>Contract S</w:t>
      </w:r>
      <w:r w:rsidRPr="009C3EAD">
        <w:rPr>
          <w:szCs w:val="22"/>
        </w:rPr>
        <w:t>chedule:</w:t>
      </w:r>
    </w:p>
    <w:p w14:paraId="44413DA1" w14:textId="58350277" w:rsidR="00EA2603" w:rsidRDefault="00EA2603" w:rsidP="00EA2603">
      <w:pPr>
        <w:pStyle w:val="TableCaption"/>
      </w:pPr>
      <w:bookmarkStart w:id="1640" w:name="_Toc35796446"/>
      <w:bookmarkStart w:id="1641" w:name="_Toc79657853"/>
      <w:r w:rsidRPr="009C3EAD">
        <w:t xml:space="preserve">Table </w:t>
      </w:r>
      <w:r w:rsidR="005D1E49">
        <w:t>E</w:t>
      </w:r>
      <w:r w:rsidR="00E27134" w:rsidRPr="009C3EAD">
        <w:t>–</w:t>
      </w:r>
      <w:r w:rsidR="005D1E49">
        <w:t>3</w:t>
      </w:r>
      <w:r w:rsidRPr="009C3EAD">
        <w:t>:  Buy-Down Rate Calculation</w:t>
      </w:r>
      <w:bookmarkEnd w:id="1640"/>
      <w:bookmarkEnd w:id="1641"/>
    </w:p>
    <w:tbl>
      <w:tblPr>
        <w:tblStyle w:val="TableGrid"/>
        <w:tblW w:w="0" w:type="auto"/>
        <w:tblLook w:val="04A0" w:firstRow="1" w:lastRow="0" w:firstColumn="1" w:lastColumn="0" w:noHBand="0" w:noVBand="1"/>
        <w:tblDescription w:val="Table of Buy-Down Rate Calculation"/>
      </w:tblPr>
      <w:tblGrid>
        <w:gridCol w:w="1060"/>
        <w:gridCol w:w="7930"/>
      </w:tblGrid>
      <w:tr w:rsidR="00EA2603" w:rsidRPr="009C3EAD" w14:paraId="7F19FFDE" w14:textId="77777777" w:rsidTr="001E65B5">
        <w:trPr>
          <w:tblHeader/>
        </w:trPr>
        <w:tc>
          <w:tcPr>
            <w:tcW w:w="1060" w:type="dxa"/>
            <w:shd w:val="clear" w:color="auto" w:fill="D9D9D9" w:themeFill="background1" w:themeFillShade="D9"/>
          </w:tcPr>
          <w:p w14:paraId="15E6208F" w14:textId="77777777" w:rsidR="00EA2603" w:rsidRPr="009C3EAD" w:rsidRDefault="00EA2603" w:rsidP="00A57654">
            <w:pPr>
              <w:pStyle w:val="ConstructionL4"/>
              <w:numPr>
                <w:ilvl w:val="0"/>
                <w:numId w:val="0"/>
              </w:numPr>
              <w:spacing w:line="240" w:lineRule="auto"/>
              <w:jc w:val="center"/>
              <w:rPr>
                <w:b/>
                <w:sz w:val="22"/>
                <w:szCs w:val="22"/>
              </w:rPr>
            </w:pPr>
            <w:r w:rsidRPr="009C3EAD">
              <w:rPr>
                <w:b/>
                <w:sz w:val="22"/>
                <w:szCs w:val="22"/>
              </w:rPr>
              <w:t>Schedule Term up to (Year)</w:t>
            </w:r>
          </w:p>
        </w:tc>
        <w:tc>
          <w:tcPr>
            <w:tcW w:w="8156" w:type="dxa"/>
            <w:shd w:val="clear" w:color="auto" w:fill="D9D9D9" w:themeFill="background1" w:themeFillShade="D9"/>
          </w:tcPr>
          <w:p w14:paraId="387BC3F9" w14:textId="77777777" w:rsidR="00EA2603" w:rsidRPr="009C3EAD" w:rsidRDefault="00EA2603" w:rsidP="00A57654">
            <w:pPr>
              <w:pStyle w:val="ConstructionL4"/>
              <w:numPr>
                <w:ilvl w:val="0"/>
                <w:numId w:val="0"/>
              </w:numPr>
              <w:spacing w:line="240" w:lineRule="auto"/>
              <w:jc w:val="center"/>
              <w:rPr>
                <w:b/>
                <w:sz w:val="22"/>
                <w:szCs w:val="22"/>
              </w:rPr>
            </w:pPr>
            <w:r w:rsidRPr="009C3EAD">
              <w:rPr>
                <w:b/>
                <w:sz w:val="22"/>
                <w:szCs w:val="22"/>
              </w:rPr>
              <w:t>Buy-Down Rate is calculated as</w:t>
            </w:r>
          </w:p>
        </w:tc>
      </w:tr>
      <w:tr w:rsidR="00EA2603" w:rsidRPr="009C3EAD" w14:paraId="05AF8E1B" w14:textId="77777777" w:rsidTr="00B94DE0">
        <w:tc>
          <w:tcPr>
            <w:tcW w:w="1060" w:type="dxa"/>
          </w:tcPr>
          <w:p w14:paraId="2379F4BE" w14:textId="77777777" w:rsidR="00EA2603" w:rsidRPr="009C3EAD" w:rsidRDefault="00EA2603" w:rsidP="00B94DE0">
            <w:pPr>
              <w:pStyle w:val="ConstructionL4"/>
              <w:numPr>
                <w:ilvl w:val="0"/>
                <w:numId w:val="0"/>
              </w:numPr>
              <w:spacing w:line="240" w:lineRule="auto"/>
              <w:jc w:val="center"/>
              <w:rPr>
                <w:sz w:val="22"/>
                <w:szCs w:val="22"/>
              </w:rPr>
            </w:pPr>
            <w:r w:rsidRPr="009C3EAD">
              <w:rPr>
                <w:sz w:val="22"/>
                <w:szCs w:val="22"/>
              </w:rPr>
              <w:t>1</w:t>
            </w:r>
          </w:p>
        </w:tc>
        <w:tc>
          <w:tcPr>
            <w:tcW w:w="8156" w:type="dxa"/>
          </w:tcPr>
          <w:p w14:paraId="18AED1B3" w14:textId="77777777" w:rsidR="00EA2603" w:rsidRPr="009C3EAD" w:rsidRDefault="00EA2603" w:rsidP="00B94DE0">
            <w:pPr>
              <w:pStyle w:val="ConstructionL4"/>
              <w:numPr>
                <w:ilvl w:val="0"/>
                <w:numId w:val="0"/>
              </w:numPr>
              <w:spacing w:line="240" w:lineRule="auto"/>
              <w:jc w:val="left"/>
              <w:rPr>
                <w:sz w:val="22"/>
                <w:szCs w:val="22"/>
              </w:rPr>
            </w:pPr>
            <w:r w:rsidRPr="009C3EAD">
              <w:rPr>
                <w:sz w:val="22"/>
                <w:szCs w:val="22"/>
              </w:rPr>
              <w:t>Buy-Down Rate = R1 x number of months remaining in the Schedule Term</w:t>
            </w:r>
          </w:p>
        </w:tc>
      </w:tr>
      <w:tr w:rsidR="00EA2603" w:rsidRPr="009C3EAD" w14:paraId="56FD7D1A" w14:textId="77777777" w:rsidTr="00B94DE0">
        <w:tc>
          <w:tcPr>
            <w:tcW w:w="1060" w:type="dxa"/>
          </w:tcPr>
          <w:p w14:paraId="3AEB5FA0" w14:textId="77777777" w:rsidR="00EA2603" w:rsidRPr="009C3EAD" w:rsidRDefault="00EA2603" w:rsidP="00B94DE0">
            <w:pPr>
              <w:pStyle w:val="ConstructionL4"/>
              <w:numPr>
                <w:ilvl w:val="0"/>
                <w:numId w:val="0"/>
              </w:numPr>
              <w:spacing w:line="240" w:lineRule="auto"/>
              <w:jc w:val="center"/>
              <w:rPr>
                <w:sz w:val="22"/>
                <w:szCs w:val="22"/>
              </w:rPr>
            </w:pPr>
            <w:r w:rsidRPr="009C3EAD">
              <w:rPr>
                <w:sz w:val="22"/>
                <w:szCs w:val="22"/>
              </w:rPr>
              <w:t>3</w:t>
            </w:r>
          </w:p>
        </w:tc>
        <w:tc>
          <w:tcPr>
            <w:tcW w:w="8156" w:type="dxa"/>
          </w:tcPr>
          <w:p w14:paraId="72C05157" w14:textId="77777777" w:rsidR="00EA2603" w:rsidRPr="009C3EAD" w:rsidRDefault="00EA2603" w:rsidP="00B94DE0">
            <w:pPr>
              <w:pStyle w:val="ConstructionL4"/>
              <w:numPr>
                <w:ilvl w:val="0"/>
                <w:numId w:val="0"/>
              </w:numPr>
              <w:spacing w:line="240" w:lineRule="auto"/>
              <w:jc w:val="left"/>
              <w:rPr>
                <w:sz w:val="22"/>
                <w:szCs w:val="22"/>
              </w:rPr>
            </w:pPr>
            <w:r w:rsidRPr="009C3EAD">
              <w:rPr>
                <w:sz w:val="22"/>
                <w:szCs w:val="22"/>
              </w:rPr>
              <w:t>Buy-Down Rate = (R2 x number of months remaining in the Schedule Term, up to 24) + (R1 x M, where if the number of months remaining in the Schedule Term exceeds 24, M = months remaining – 24; otherwise M= 0)</w:t>
            </w:r>
          </w:p>
        </w:tc>
      </w:tr>
      <w:tr w:rsidR="00EA2603" w:rsidRPr="009C3EAD" w14:paraId="31E00091" w14:textId="77777777" w:rsidTr="00B94DE0">
        <w:tc>
          <w:tcPr>
            <w:tcW w:w="1060" w:type="dxa"/>
          </w:tcPr>
          <w:p w14:paraId="55B52A15" w14:textId="77777777" w:rsidR="00EA2603" w:rsidRPr="009C3EAD" w:rsidRDefault="00EA2603" w:rsidP="00B94DE0">
            <w:pPr>
              <w:pStyle w:val="ConstructionL4"/>
              <w:numPr>
                <w:ilvl w:val="0"/>
                <w:numId w:val="0"/>
              </w:numPr>
              <w:spacing w:line="240" w:lineRule="auto"/>
              <w:jc w:val="center"/>
              <w:rPr>
                <w:sz w:val="22"/>
                <w:szCs w:val="22"/>
              </w:rPr>
            </w:pPr>
            <w:r w:rsidRPr="009C3EAD">
              <w:rPr>
                <w:sz w:val="22"/>
                <w:szCs w:val="22"/>
              </w:rPr>
              <w:t>5</w:t>
            </w:r>
          </w:p>
        </w:tc>
        <w:tc>
          <w:tcPr>
            <w:tcW w:w="8156" w:type="dxa"/>
          </w:tcPr>
          <w:p w14:paraId="221C4717" w14:textId="77777777" w:rsidR="00EA2603" w:rsidRPr="009C3EAD" w:rsidRDefault="00EA2603" w:rsidP="00B94DE0">
            <w:pPr>
              <w:pStyle w:val="ConstructionL4"/>
              <w:numPr>
                <w:ilvl w:val="0"/>
                <w:numId w:val="0"/>
              </w:numPr>
              <w:spacing w:line="240" w:lineRule="auto"/>
              <w:jc w:val="left"/>
              <w:rPr>
                <w:sz w:val="22"/>
                <w:szCs w:val="22"/>
              </w:rPr>
            </w:pPr>
            <w:r w:rsidRPr="009C3EAD">
              <w:rPr>
                <w:sz w:val="22"/>
                <w:szCs w:val="22"/>
              </w:rPr>
              <w:t>Buy-Down Rate = (R2 x number of months remaining in the Schedule Term, up to 48) + (R1 x M, where if the number of months remaining in the Schedule Term exceeds 48, M = months remaining – 48; otherwise M = 0)</w:t>
            </w:r>
          </w:p>
        </w:tc>
      </w:tr>
    </w:tbl>
    <w:p w14:paraId="798291E4" w14:textId="77777777" w:rsidR="00EA2603" w:rsidRDefault="00EA2603" w:rsidP="00EA2603"/>
    <w:p w14:paraId="2123C227" w14:textId="77777777" w:rsidR="00EA2603" w:rsidRPr="009C3EAD" w:rsidRDefault="00EA2603" w:rsidP="00E4421F">
      <w:pPr>
        <w:spacing w:after="240"/>
      </w:pPr>
      <w:r w:rsidRPr="009C3EAD">
        <w:t>The buy-down amount (Monthly Contracted MW) is calculated as follows:</w:t>
      </w:r>
    </w:p>
    <w:p w14:paraId="73DC226A" w14:textId="77777777" w:rsidR="00EA2603" w:rsidRPr="009C3EAD" w:rsidRDefault="00EA2603" w:rsidP="00AC52B7">
      <w:r w:rsidRPr="009C3EAD">
        <w:rPr>
          <w:b/>
        </w:rPr>
        <w:t>Buy-Down Amount (Monthly Contracted MW)</w:t>
      </w:r>
      <w:r>
        <w:rPr>
          <w:b/>
        </w:rPr>
        <w:t xml:space="preserve"> </w:t>
      </w:r>
      <w:r w:rsidRPr="009C3EAD">
        <w:rPr>
          <w:b/>
        </w:rPr>
        <w:t>=</w:t>
      </w:r>
      <w:r w:rsidRPr="009C3EAD">
        <w:t xml:space="preserve"> MRMWR x BDR x HAE</w:t>
      </w:r>
    </w:p>
    <w:p w14:paraId="5F212AF3" w14:textId="77777777" w:rsidR="00EA2603" w:rsidRPr="009C3EAD" w:rsidRDefault="00EA2603" w:rsidP="00EA2603">
      <w:pPr>
        <w:spacing w:after="0"/>
        <w:ind w:firstLine="720"/>
        <w:rPr>
          <w:b/>
        </w:rPr>
      </w:pPr>
      <w:r w:rsidRPr="009C3EAD">
        <w:rPr>
          <w:b/>
        </w:rPr>
        <w:t>Where:</w:t>
      </w:r>
    </w:p>
    <w:p w14:paraId="1679A298" w14:textId="77777777" w:rsidR="00EA2603" w:rsidRPr="009C3EAD" w:rsidRDefault="00EA2603" w:rsidP="00EA2603">
      <w:pPr>
        <w:pStyle w:val="ListParagraph"/>
        <w:numPr>
          <w:ilvl w:val="0"/>
          <w:numId w:val="108"/>
        </w:numPr>
      </w:pPr>
      <w:r w:rsidRPr="009C3EAD">
        <w:rPr>
          <w:b/>
        </w:rPr>
        <w:t>‘MRMWR’</w:t>
      </w:r>
      <w:r w:rsidRPr="009C3EAD">
        <w:t xml:space="preserve"> is the reduction in the Monthly Contracted MW.</w:t>
      </w:r>
    </w:p>
    <w:p w14:paraId="535F4D6D" w14:textId="77777777" w:rsidR="00EA2603" w:rsidRPr="009C3EAD" w:rsidRDefault="00EA2603" w:rsidP="00EA2603">
      <w:pPr>
        <w:pStyle w:val="ListParagraph"/>
        <w:numPr>
          <w:ilvl w:val="0"/>
          <w:numId w:val="108"/>
        </w:numPr>
      </w:pPr>
      <w:r w:rsidRPr="009C3EAD">
        <w:rPr>
          <w:b/>
        </w:rPr>
        <w:t>‘BDR’</w:t>
      </w:r>
      <w:r w:rsidRPr="009C3EAD">
        <w:t xml:space="preserve"> (buy-down rate).</w:t>
      </w:r>
    </w:p>
    <w:p w14:paraId="0A2A2EE2" w14:textId="77777777" w:rsidR="00EA2603" w:rsidRPr="009C3EAD" w:rsidRDefault="00EA2603" w:rsidP="00EA2603">
      <w:pPr>
        <w:pStyle w:val="ListParagraph"/>
        <w:numPr>
          <w:ilvl w:val="0"/>
          <w:numId w:val="108"/>
        </w:numPr>
      </w:pPr>
      <w:r w:rsidRPr="009C3EAD">
        <w:rPr>
          <w:b/>
        </w:rPr>
        <w:t>‘HAE’</w:t>
      </w:r>
      <w:r w:rsidRPr="009C3EAD">
        <w:t xml:space="preserve"> is the number of Hours of Availability that have elapsed in the Schedule Term as of the date that the reduction took effect.</w:t>
      </w:r>
      <w:r w:rsidRPr="009C3EAD">
        <w:tab/>
      </w:r>
    </w:p>
    <w:p w14:paraId="0F55573E" w14:textId="77777777" w:rsidR="00EA2603" w:rsidRPr="009C3EAD" w:rsidRDefault="00EA2603" w:rsidP="00EA2603">
      <w:pPr>
        <w:ind w:left="720"/>
      </w:pPr>
      <w:r w:rsidRPr="009C3EAD">
        <w:t>The buy-down amount (Hours of Availability) is calculated as follows:</w:t>
      </w:r>
    </w:p>
    <w:p w14:paraId="58008F68" w14:textId="77777777" w:rsidR="00EA2603" w:rsidRPr="009C3EAD" w:rsidRDefault="00EA2603" w:rsidP="00E4421F">
      <w:pPr>
        <w:spacing w:before="240"/>
      </w:pPr>
      <w:r w:rsidRPr="009C3EAD">
        <w:rPr>
          <w:b/>
        </w:rPr>
        <w:t>Buy-Down Amount (Hours of Availability)</w:t>
      </w:r>
      <w:r w:rsidRPr="009C3EAD">
        <w:t xml:space="preserve"> = MCMW x RD x BDR x HAE</w:t>
      </w:r>
    </w:p>
    <w:p w14:paraId="288A773A" w14:textId="77777777" w:rsidR="00EA2603" w:rsidRPr="009C3EAD" w:rsidRDefault="00EA2603" w:rsidP="00EA2603">
      <w:pPr>
        <w:spacing w:after="0"/>
        <w:ind w:firstLine="720"/>
        <w:rPr>
          <w:b/>
        </w:rPr>
      </w:pPr>
      <w:r w:rsidRPr="009C3EAD">
        <w:rPr>
          <w:b/>
        </w:rPr>
        <w:t>Where:</w:t>
      </w:r>
    </w:p>
    <w:p w14:paraId="630CBBDE" w14:textId="77777777" w:rsidR="00EA2603" w:rsidRPr="009C3EAD" w:rsidRDefault="00EA2603" w:rsidP="00EA2603">
      <w:pPr>
        <w:pStyle w:val="ListParagraph"/>
        <w:numPr>
          <w:ilvl w:val="0"/>
          <w:numId w:val="109"/>
        </w:numPr>
      </w:pPr>
      <w:r w:rsidRPr="009C3EAD">
        <w:rPr>
          <w:b/>
        </w:rPr>
        <w:t>‘MCMW’</w:t>
      </w:r>
      <w:r w:rsidRPr="009C3EAD">
        <w:t xml:space="preserve"> as defined above.</w:t>
      </w:r>
    </w:p>
    <w:p w14:paraId="7A901EA5" w14:textId="77777777" w:rsidR="00EA2603" w:rsidRPr="009C3EAD" w:rsidRDefault="00EA2603" w:rsidP="00EA2603">
      <w:pPr>
        <w:pStyle w:val="ListParagraph"/>
        <w:numPr>
          <w:ilvl w:val="0"/>
          <w:numId w:val="109"/>
        </w:numPr>
      </w:pPr>
      <w:r w:rsidRPr="009C3EAD">
        <w:rPr>
          <w:b/>
        </w:rPr>
        <w:t>‘RD’</w:t>
      </w:r>
      <w:r w:rsidRPr="009C3EAD">
        <w:t xml:space="preserve"> (requested day) is the number of business days per week from which the Hours of Availability are to be removed.</w:t>
      </w:r>
    </w:p>
    <w:p w14:paraId="05F48878" w14:textId="77777777" w:rsidR="00EA2603" w:rsidRPr="009C3EAD" w:rsidRDefault="00EA2603" w:rsidP="00EA2603">
      <w:pPr>
        <w:pStyle w:val="ListParagraph"/>
        <w:numPr>
          <w:ilvl w:val="0"/>
          <w:numId w:val="109"/>
        </w:numPr>
      </w:pPr>
      <w:r w:rsidRPr="009C3EAD">
        <w:rPr>
          <w:b/>
        </w:rPr>
        <w:t>‘BDR’</w:t>
      </w:r>
      <w:r w:rsidRPr="009C3EAD">
        <w:t xml:space="preserve"> as defined above.</w:t>
      </w:r>
    </w:p>
    <w:p w14:paraId="1124260F" w14:textId="77777777" w:rsidR="00EA2603" w:rsidRPr="009C3EAD" w:rsidRDefault="00EA2603" w:rsidP="00EA2603">
      <w:pPr>
        <w:pStyle w:val="ListParagraph"/>
        <w:numPr>
          <w:ilvl w:val="0"/>
          <w:numId w:val="109"/>
        </w:numPr>
      </w:pPr>
      <w:r w:rsidRPr="009C3EAD">
        <w:rPr>
          <w:b/>
        </w:rPr>
        <w:t>‘HAE’</w:t>
      </w:r>
      <w:r w:rsidRPr="009C3EAD">
        <w:t xml:space="preserve"> as defined above.</w:t>
      </w:r>
    </w:p>
    <w:p w14:paraId="32D4C559" w14:textId="77777777" w:rsidR="00EA2603" w:rsidRPr="009C3EAD" w:rsidRDefault="00EA2603" w:rsidP="00EA2603">
      <w:pPr>
        <w:rPr>
          <w:rFonts w:eastAsiaTheme="majorEastAsia"/>
          <w:bCs/>
        </w:rPr>
      </w:pPr>
      <w:r w:rsidRPr="009C3EAD">
        <w:rPr>
          <w:rFonts w:eastAsiaTheme="majorEastAsia"/>
          <w:bCs/>
        </w:rPr>
        <w:t xml:space="preserve">We use </w:t>
      </w:r>
      <w:r w:rsidRPr="009C3EAD">
        <w:rPr>
          <w:rFonts w:eastAsiaTheme="majorEastAsia"/>
          <w:bCs/>
          <w:i/>
        </w:rPr>
        <w:t xml:space="preserve">charge type </w:t>
      </w:r>
      <w:r w:rsidRPr="009C3EAD">
        <w:rPr>
          <w:rFonts w:eastAsiaTheme="majorEastAsia"/>
          <w:bCs/>
        </w:rPr>
        <w:t>1307 “</w:t>
      </w:r>
      <w:r w:rsidRPr="009C3EAD">
        <w:rPr>
          <w:color w:val="000000"/>
        </w:rPr>
        <w:t>Capacity Based Demand Response Program</w:t>
      </w:r>
      <w:r w:rsidRPr="009C3EAD" w:rsidDel="00947D4C">
        <w:rPr>
          <w:rFonts w:eastAsiaTheme="majorEastAsia"/>
          <w:bCs/>
        </w:rPr>
        <w:t xml:space="preserve"> </w:t>
      </w:r>
      <w:r w:rsidRPr="009C3EAD">
        <w:rPr>
          <w:rFonts w:eastAsiaTheme="majorEastAsia"/>
          <w:bCs/>
        </w:rPr>
        <w:t>Buy-Down Settlement Amount”.</w:t>
      </w:r>
    </w:p>
    <w:p w14:paraId="27A3AE24" w14:textId="77777777" w:rsidR="00EA2603" w:rsidRPr="009C3EAD" w:rsidRDefault="00EA2603" w:rsidP="00F71000">
      <w:pPr>
        <w:pStyle w:val="AppendixHead3"/>
      </w:pPr>
      <w:r w:rsidRPr="009C3EAD">
        <w:t>Performance Breach</w:t>
      </w:r>
    </w:p>
    <w:p w14:paraId="4D5C6781" w14:textId="77777777" w:rsidR="00EA2603" w:rsidRPr="009C3EAD" w:rsidRDefault="00EA2603" w:rsidP="00EA2603">
      <w:pPr>
        <w:pStyle w:val="BodyText"/>
        <w:rPr>
          <w:szCs w:val="22"/>
        </w:rPr>
      </w:pPr>
      <w:r w:rsidRPr="009C3EAD">
        <w:rPr>
          <w:szCs w:val="22"/>
        </w:rPr>
        <w:t xml:space="preserve">Upon successful registration for the CBDR program, the number of performance breaches for a DRMP will be set to zero.  Performance breaches are cumulative to, and shall be applied to a DRMP’s entire collection of DR Accounts within a CBDR </w:t>
      </w:r>
      <w:r>
        <w:rPr>
          <w:szCs w:val="22"/>
        </w:rPr>
        <w:t>R</w:t>
      </w:r>
      <w:r w:rsidRPr="009C3EAD">
        <w:rPr>
          <w:szCs w:val="22"/>
        </w:rPr>
        <w:t>esource.</w:t>
      </w:r>
    </w:p>
    <w:p w14:paraId="6CFBA431" w14:textId="77777777" w:rsidR="00EA2603" w:rsidRPr="009C3EAD" w:rsidRDefault="00EA2603" w:rsidP="00EA2603">
      <w:pPr>
        <w:pStyle w:val="BodyText"/>
        <w:rPr>
          <w:szCs w:val="22"/>
        </w:rPr>
      </w:pPr>
      <w:r w:rsidRPr="009C3EAD">
        <w:rPr>
          <w:szCs w:val="22"/>
        </w:rPr>
        <w:t xml:space="preserve">A DRMP’s compliance with a DR Activation is evaluated at the zonal level using the CBDR </w:t>
      </w:r>
      <w:r>
        <w:rPr>
          <w:szCs w:val="22"/>
        </w:rPr>
        <w:t>R</w:t>
      </w:r>
      <w:r w:rsidRPr="009C3EAD">
        <w:rPr>
          <w:szCs w:val="22"/>
        </w:rPr>
        <w:t>esource as depicted in Appendix H of Market Manual 4.2 when calculating performance breac</w:t>
      </w:r>
      <w:r w:rsidRPr="00DC1730">
        <w:rPr>
          <w:szCs w:val="22"/>
        </w:rPr>
        <w:t xml:space="preserve">hes.  Each </w:t>
      </w:r>
      <w:r w:rsidRPr="009C3EAD">
        <w:rPr>
          <w:szCs w:val="22"/>
        </w:rPr>
        <w:t xml:space="preserve">DRMP will be assigned to a CBDR </w:t>
      </w:r>
      <w:r>
        <w:rPr>
          <w:szCs w:val="22"/>
        </w:rPr>
        <w:t>R</w:t>
      </w:r>
      <w:r w:rsidRPr="009C3EAD">
        <w:rPr>
          <w:szCs w:val="22"/>
        </w:rPr>
        <w:t>esource and window (early/late) in which they are directly participating in or have contributors.</w:t>
      </w:r>
    </w:p>
    <w:p w14:paraId="0CD6CDF6" w14:textId="77777777" w:rsidR="00EA2603" w:rsidRPr="009C3EAD" w:rsidRDefault="00EA2603" w:rsidP="00EA2603">
      <w:pPr>
        <w:pStyle w:val="BodyText"/>
        <w:rPr>
          <w:szCs w:val="22"/>
        </w:rPr>
      </w:pPr>
      <w:r w:rsidRPr="009C3EAD">
        <w:rPr>
          <w:szCs w:val="22"/>
        </w:rPr>
        <w:t>For both settlement and zonal compliance aggregation purposes, the IESO will assume that the DR Account’s Actual Activated MW is zero for all of the Intervals that the data is missing (i.e. undelivered).</w:t>
      </w:r>
    </w:p>
    <w:p w14:paraId="27A8080C" w14:textId="77777777" w:rsidR="00EA2603" w:rsidRPr="009C3EAD" w:rsidRDefault="00EA2603" w:rsidP="00EA2603">
      <w:pPr>
        <w:pStyle w:val="BodyText"/>
        <w:rPr>
          <w:szCs w:val="22"/>
        </w:rPr>
      </w:pPr>
      <w:r w:rsidRPr="009C3EAD">
        <w:rPr>
          <w:szCs w:val="22"/>
        </w:rPr>
        <w:t>A performance breach is defined in relation to a given DRMP as:</w:t>
      </w:r>
    </w:p>
    <w:p w14:paraId="7449783E" w14:textId="77777777" w:rsidR="00EA2603" w:rsidRPr="009C3EAD" w:rsidRDefault="00EA2603" w:rsidP="00EA2603">
      <w:pPr>
        <w:pStyle w:val="BodyText"/>
        <w:numPr>
          <w:ilvl w:val="0"/>
          <w:numId w:val="99"/>
        </w:numPr>
        <w:rPr>
          <w:szCs w:val="22"/>
        </w:rPr>
      </w:pPr>
      <w:r w:rsidRPr="009C3EAD">
        <w:rPr>
          <w:szCs w:val="22"/>
        </w:rPr>
        <w:t xml:space="preserve">the weighted average, over all Confirmed Hours in the Activation period where the Actual Activated MWh divided by the Activation MW for all of the DRMP’s DR Accounts within the same CBDR </w:t>
      </w:r>
      <w:r>
        <w:rPr>
          <w:szCs w:val="22"/>
        </w:rPr>
        <w:t>R</w:t>
      </w:r>
      <w:r w:rsidRPr="009C3EAD">
        <w:rPr>
          <w:szCs w:val="22"/>
        </w:rPr>
        <w:t>esource is less than 80%; or,</w:t>
      </w:r>
    </w:p>
    <w:p w14:paraId="4196D218" w14:textId="77777777" w:rsidR="00EA2603" w:rsidRPr="009C3EAD" w:rsidRDefault="00EA2603" w:rsidP="00EA2603">
      <w:pPr>
        <w:pStyle w:val="BodyText"/>
        <w:numPr>
          <w:ilvl w:val="0"/>
          <w:numId w:val="99"/>
        </w:numPr>
        <w:rPr>
          <w:szCs w:val="22"/>
        </w:rPr>
      </w:pPr>
      <w:r w:rsidRPr="009C3EAD">
        <w:rPr>
          <w:szCs w:val="22"/>
        </w:rPr>
        <w:t xml:space="preserve">the weighted average, over all Confirmed Hours in the Activation Period, of the Confirmed MW divided by the Monthly Contracted MW for all of the DRMP’s DR Accounts within the same CBDR </w:t>
      </w:r>
      <w:r>
        <w:rPr>
          <w:szCs w:val="22"/>
        </w:rPr>
        <w:t>R</w:t>
      </w:r>
      <w:r w:rsidRPr="009C3EAD">
        <w:rPr>
          <w:szCs w:val="22"/>
        </w:rPr>
        <w:t>esource is less than 80%; or</w:t>
      </w:r>
    </w:p>
    <w:p w14:paraId="5206A807" w14:textId="77777777" w:rsidR="00EA2603" w:rsidRPr="009C3EAD" w:rsidRDefault="00EA2603" w:rsidP="00EA2603">
      <w:pPr>
        <w:pStyle w:val="BodyText"/>
        <w:numPr>
          <w:ilvl w:val="0"/>
          <w:numId w:val="99"/>
        </w:numPr>
        <w:rPr>
          <w:szCs w:val="22"/>
        </w:rPr>
      </w:pPr>
      <w:r w:rsidRPr="009C3EAD">
        <w:rPr>
          <w:szCs w:val="22"/>
        </w:rPr>
        <w:t>the failure of the DRMP to provide to the IESO a complete set of weekly DR measurement data for a DR Account by the fourth week after the deadline.</w:t>
      </w:r>
    </w:p>
    <w:p w14:paraId="6468EF0E" w14:textId="77777777" w:rsidR="00EA2603" w:rsidRPr="009C3EAD" w:rsidRDefault="00EA2603" w:rsidP="00EA2603">
      <w:pPr>
        <w:rPr>
          <w:b/>
        </w:rPr>
      </w:pPr>
      <w:r w:rsidRPr="009C3EAD">
        <w:rPr>
          <w:b/>
        </w:rPr>
        <w:t>Performance Breach Events</w:t>
      </w:r>
    </w:p>
    <w:p w14:paraId="28A7D61C" w14:textId="77777777" w:rsidR="00EA2603" w:rsidRPr="009C3EAD" w:rsidRDefault="00EA2603" w:rsidP="00EA2603">
      <w:r w:rsidRPr="009C3EAD">
        <w:t>The IESO will evaluate performance breaches every month and will automatically take the required actions based on the occurrence of the breaches as follows:</w:t>
      </w:r>
    </w:p>
    <w:p w14:paraId="49CDCAD6" w14:textId="77777777" w:rsidR="00EA2603" w:rsidRPr="009C3EAD" w:rsidRDefault="00EA2603" w:rsidP="00EA2603">
      <w:r w:rsidRPr="009C3EAD">
        <w:rPr>
          <w:b/>
        </w:rPr>
        <w:t>First Performance Breach</w:t>
      </w:r>
      <w:r w:rsidRPr="009C3EAD">
        <w:t xml:space="preserve">: The Availability Payments for applicable DRMP’s DR Accounts within the non-compliant CBDR </w:t>
      </w:r>
      <w:r>
        <w:t>R</w:t>
      </w:r>
      <w:r w:rsidRPr="009C3EAD">
        <w:t>esource will be clawed-back for the month in which the performance breach occurred.</w:t>
      </w:r>
    </w:p>
    <w:p w14:paraId="76EB4556" w14:textId="77777777" w:rsidR="00EA2603" w:rsidRPr="009C3EAD" w:rsidRDefault="00EA2603" w:rsidP="00EA2603">
      <w:r w:rsidRPr="009C3EAD">
        <w:rPr>
          <w:b/>
        </w:rPr>
        <w:t>Second Performance Breach:</w:t>
      </w:r>
      <w:r w:rsidRPr="009C3EAD">
        <w:t xml:space="preserve"> The Availability Payments for applicable DRMP’s DR Accounts within the non-compliant CBDR </w:t>
      </w:r>
      <w:r>
        <w:t>R</w:t>
      </w:r>
      <w:r w:rsidRPr="009C3EAD">
        <w:t xml:space="preserve">esource will be clawed-back for the month in which the performance breach occurred. The IESO also has the right to terminate some or all of the DR Accounts within a non-compliant CBDR </w:t>
      </w:r>
      <w:r>
        <w:t>R</w:t>
      </w:r>
      <w:r w:rsidRPr="009C3EAD">
        <w:t>esource and will determine the need to do this on a case by case basis.</w:t>
      </w:r>
    </w:p>
    <w:p w14:paraId="3ACFED07" w14:textId="77777777" w:rsidR="00EA2603" w:rsidRPr="009C3EAD" w:rsidRDefault="00EA2603" w:rsidP="00EA2603">
      <w:r w:rsidRPr="009C3EAD">
        <w:rPr>
          <w:b/>
        </w:rPr>
        <w:t>Third Performance Breach:</w:t>
      </w:r>
      <w:r w:rsidRPr="009C3EAD">
        <w:t xml:space="preserve"> The Availability Payments for applicable DRMP’s DR Accounts within the non-compliant CBDR </w:t>
      </w:r>
      <w:r>
        <w:t>R</w:t>
      </w:r>
      <w:r w:rsidRPr="009C3EAD">
        <w:t>esource will be clawed-back for the month in which the performance breach occurred. The DRMP may be removed from participation in the CBDR program and/or may be subject to compliance actions in accordance with Section 6 of Chapter 3 of the Market Rules.</w:t>
      </w:r>
    </w:p>
    <w:p w14:paraId="55C4F7E3" w14:textId="77777777" w:rsidR="00EA2603" w:rsidRPr="009C3EAD" w:rsidRDefault="00EA2603" w:rsidP="00EA2603">
      <w:r w:rsidRPr="009C3EAD">
        <w:t>For a performance breach event that occurs exclusively as a result of condition c</w:t>
      </w:r>
      <w:r>
        <w:t xml:space="preserve"> (i.e. failure to provide a complete set of DR measurement data) above</w:t>
      </w:r>
      <w:r w:rsidRPr="009C3EAD">
        <w:t>, the Availability Payment clawback will only be applied to the DR Account for which the data is missing.  However, it will still be counted as a performance breach event for the DRMP and accumulation of performance breaches may lead to termination of DR Accounts and/or termination of the DRMP as described above.  For a performance breach event that occurs as a result of either condition a or b</w:t>
      </w:r>
      <w:r>
        <w:t xml:space="preserve"> above</w:t>
      </w:r>
      <w:r w:rsidRPr="009C3EAD">
        <w:t xml:space="preserve">, the Availability Payment clawbacks will apply to all of the DRMP’s DR Accounts within the non-compliant CBDR </w:t>
      </w:r>
      <w:r>
        <w:t>R</w:t>
      </w:r>
      <w:r w:rsidRPr="009C3EAD">
        <w:t>esource.</w:t>
      </w:r>
    </w:p>
    <w:p w14:paraId="0066B136" w14:textId="77777777" w:rsidR="00EA2603" w:rsidRPr="009C3EAD" w:rsidRDefault="00EA2603" w:rsidP="00EA2603">
      <w:pPr>
        <w:rPr>
          <w:rFonts w:ascii="Palatino Linotype" w:eastAsiaTheme="majorEastAsia" w:hAnsi="Palatino Linotype" w:cstheme="majorBidi"/>
          <w:bCs/>
        </w:rPr>
      </w:pPr>
      <w:r w:rsidRPr="009C3EAD">
        <w:t xml:space="preserve">We use </w:t>
      </w:r>
      <w:r w:rsidRPr="009C3EAD">
        <w:rPr>
          <w:i/>
        </w:rPr>
        <w:t xml:space="preserve">charge type </w:t>
      </w:r>
      <w:r w:rsidRPr="009C3EAD">
        <w:t>1308 “Capacity Based Demand Response Program Performance Breach Settlement Amount”.</w:t>
      </w:r>
    </w:p>
    <w:p w14:paraId="7EA90DC0" w14:textId="77777777" w:rsidR="00EA2603" w:rsidRPr="009C3EAD" w:rsidRDefault="00EA2603" w:rsidP="00F71000">
      <w:pPr>
        <w:pStyle w:val="AppendixHead3"/>
      </w:pPr>
      <w:r w:rsidRPr="009C3EAD">
        <w:t>Cost Recovery</w:t>
      </w:r>
    </w:p>
    <w:p w14:paraId="3681743D" w14:textId="77777777" w:rsidR="00EA2603" w:rsidRPr="00DC1730" w:rsidRDefault="00EA2603" w:rsidP="00EA2603">
      <w:pPr>
        <w:pStyle w:val="BodyText"/>
        <w:rPr>
          <w:szCs w:val="22"/>
        </w:rPr>
      </w:pPr>
      <w:r w:rsidRPr="00DC1730">
        <w:rPr>
          <w:szCs w:val="22"/>
        </w:rPr>
        <w:t>In order to keep the cost recovery of CBDR program consistent with the Demand Response 3</w:t>
      </w:r>
      <w:r>
        <w:rPr>
          <w:szCs w:val="22"/>
        </w:rPr>
        <w:t xml:space="preserve"> program</w:t>
      </w:r>
      <w:r w:rsidRPr="00DC1730">
        <w:rPr>
          <w:szCs w:val="22"/>
        </w:rPr>
        <w:t>, the IESO will use the following two charge types to recover CBDR costs:</w:t>
      </w:r>
    </w:p>
    <w:p w14:paraId="1F552932" w14:textId="77777777" w:rsidR="00EA2603" w:rsidRPr="00DC1730" w:rsidRDefault="00EA2603" w:rsidP="00C46412">
      <w:pPr>
        <w:pStyle w:val="Heading51"/>
        <w:numPr>
          <w:ilvl w:val="0"/>
          <w:numId w:val="110"/>
        </w:numPr>
      </w:pPr>
      <w:r w:rsidRPr="00DC1730">
        <w:t>1350 “Capacity Based Recovery Amount for Class A Loads”</w:t>
      </w:r>
    </w:p>
    <w:p w14:paraId="211A1F42" w14:textId="77777777" w:rsidR="00EA2603" w:rsidRPr="009C3EAD" w:rsidRDefault="00EA2603" w:rsidP="00C46412">
      <w:pPr>
        <w:pStyle w:val="Heading51"/>
        <w:numPr>
          <w:ilvl w:val="0"/>
          <w:numId w:val="110"/>
        </w:numPr>
      </w:pPr>
      <w:r w:rsidRPr="009C3EAD">
        <w:t>1351 “Capacity Based Recovery Amount for Class B Loads”</w:t>
      </w:r>
    </w:p>
    <w:p w14:paraId="022DF462" w14:textId="77777777" w:rsidR="00EA2603" w:rsidRPr="009C3EAD" w:rsidRDefault="00EA2603" w:rsidP="00C46412">
      <w:pPr>
        <w:pStyle w:val="Heading51"/>
      </w:pPr>
      <w:r>
        <w:t xml:space="preserve">All </w:t>
      </w:r>
      <w:r w:rsidRPr="009C3EAD">
        <w:t xml:space="preserve">CBDR settlement amounts are </w:t>
      </w:r>
      <w:r>
        <w:t>added</w:t>
      </w:r>
      <w:r w:rsidRPr="009C3EAD">
        <w:t xml:space="preserve"> together for the month and recovered through these two charges in a manner similar to how we allocate global adjustment costs.  Refer to section 1.6.7.8 for details on determination of and allocation of costs for Class A and Class B Loads.</w:t>
      </w:r>
    </w:p>
    <w:p w14:paraId="3804F911" w14:textId="77777777" w:rsidR="00EA2603" w:rsidRPr="009C3EAD" w:rsidRDefault="00EA2603" w:rsidP="00364137">
      <w:pPr>
        <w:pStyle w:val="AppendixHead3"/>
        <w:keepNext/>
      </w:pPr>
      <w:r w:rsidRPr="009C3EAD">
        <w:t>Settlement Statements</w:t>
      </w:r>
    </w:p>
    <w:p w14:paraId="31D3D420" w14:textId="77777777" w:rsidR="00EA2603" w:rsidRPr="001016A4" w:rsidRDefault="00EA2603" w:rsidP="003D477D">
      <w:pPr>
        <w:pStyle w:val="AppendixHead3"/>
        <w:numPr>
          <w:ilvl w:val="3"/>
          <w:numId w:val="6"/>
        </w:numPr>
        <w:ind w:left="1080"/>
      </w:pPr>
      <w:r w:rsidRPr="001016A4">
        <w:t>Preliminary Settlement Statement</w:t>
      </w:r>
    </w:p>
    <w:p w14:paraId="267D9D07" w14:textId="77777777" w:rsidR="00EA2603" w:rsidRPr="009C3EAD" w:rsidRDefault="00EA2603" w:rsidP="00EA2603">
      <w:pPr>
        <w:pStyle w:val="BodyText"/>
        <w:rPr>
          <w:szCs w:val="22"/>
        </w:rPr>
      </w:pPr>
      <w:r w:rsidRPr="009C3EAD">
        <w:rPr>
          <w:szCs w:val="22"/>
        </w:rPr>
        <w:t xml:space="preserve">A manual line item will be created for each DR Account for each type of payments and set-offs with a non-zero settlement amount for a program month.  Manual line items will be added to your preliminary settlement statement for the last trading day of a month following the program month.  For example, the CBDR settlement for the </w:t>
      </w:r>
      <w:r>
        <w:rPr>
          <w:szCs w:val="22"/>
        </w:rPr>
        <w:t xml:space="preserve">program </w:t>
      </w:r>
      <w:r w:rsidRPr="009C3EAD">
        <w:rPr>
          <w:szCs w:val="22"/>
        </w:rPr>
        <w:t>month of July will be included on August 31</w:t>
      </w:r>
      <w:r w:rsidRPr="009C3EAD">
        <w:rPr>
          <w:szCs w:val="22"/>
          <w:vertAlign w:val="superscript"/>
        </w:rPr>
        <w:t>st</w:t>
      </w:r>
      <w:r w:rsidRPr="009C3EAD">
        <w:rPr>
          <w:szCs w:val="22"/>
        </w:rPr>
        <w:t xml:space="preserve"> preliminary settlement statement.</w:t>
      </w:r>
    </w:p>
    <w:p w14:paraId="3BFDE15F" w14:textId="77777777" w:rsidR="00EA2603" w:rsidRPr="009C3EAD" w:rsidRDefault="00EA2603" w:rsidP="00EA2603">
      <w:pPr>
        <w:pStyle w:val="BodyText"/>
        <w:rPr>
          <w:szCs w:val="22"/>
        </w:rPr>
      </w:pPr>
      <w:r w:rsidRPr="009C3EAD">
        <w:rPr>
          <w:szCs w:val="22"/>
        </w:rPr>
        <w:t xml:space="preserve">In addition to monthly settlement, any non-zero adjustment amounts as a result of recalculations due to accepted NOD submissions or as required by the IESO may also appear on your preliminary settlement statement.   Preliminary settlement statements will be generated in accordance with the </w:t>
      </w:r>
      <w:r w:rsidRPr="009C3EAD">
        <w:rPr>
          <w:i/>
          <w:szCs w:val="22"/>
        </w:rPr>
        <w:t>SSPC</w:t>
      </w:r>
      <w:r w:rsidRPr="009C3EAD">
        <w:rPr>
          <w:szCs w:val="22"/>
        </w:rPr>
        <w:t xml:space="preserve"> and will be issued via the </w:t>
      </w:r>
      <w:r w:rsidRPr="009C3EAD">
        <w:rPr>
          <w:i/>
          <w:szCs w:val="22"/>
        </w:rPr>
        <w:t xml:space="preserve">IESO </w:t>
      </w:r>
      <w:r w:rsidRPr="009C3EAD">
        <w:rPr>
          <w:szCs w:val="22"/>
        </w:rPr>
        <w:t>Report Site.</w:t>
      </w:r>
    </w:p>
    <w:p w14:paraId="15BBCC76" w14:textId="77777777" w:rsidR="00EA2603" w:rsidRPr="009C3EAD" w:rsidRDefault="00EA2603" w:rsidP="00EA2603">
      <w:pPr>
        <w:rPr>
          <w:szCs w:val="22"/>
        </w:rPr>
      </w:pPr>
      <w:r w:rsidRPr="009C3EAD">
        <w:rPr>
          <w:szCs w:val="22"/>
        </w:rPr>
        <w:t>An invoice for amounts owed to or by the DRMP as per the preliminary settlement statement will be made available to the DRMP at the same time on the IESO Report Site.</w:t>
      </w:r>
    </w:p>
    <w:p w14:paraId="609F8143" w14:textId="77777777" w:rsidR="00EA2603" w:rsidRPr="009C3EAD" w:rsidRDefault="00EA2603" w:rsidP="00EA2603">
      <w:pPr>
        <w:pStyle w:val="BodyText"/>
        <w:rPr>
          <w:szCs w:val="22"/>
        </w:rPr>
      </w:pPr>
      <w:r w:rsidRPr="009C3EAD">
        <w:rPr>
          <w:szCs w:val="22"/>
        </w:rPr>
        <w:t>If you disagree with a settlement amount on your preliminary settlement statement, you may submit a notice of disagreement (NOD) within four (4) business days after the statement has been issued.  Refer to Section 1.3.5 ‘Submitting a Notice of Disagreement’ for more information regarding the notice of disagreement process. The resolution process for NODs will then commence between the DRMP and the IESO if the IESO determines the NOD is legitimate.</w:t>
      </w:r>
    </w:p>
    <w:p w14:paraId="622EE298" w14:textId="77777777" w:rsidR="00EA2603" w:rsidRPr="001016A4" w:rsidRDefault="00EA2603" w:rsidP="003D477D">
      <w:pPr>
        <w:pStyle w:val="AppendixHead3"/>
        <w:numPr>
          <w:ilvl w:val="3"/>
          <w:numId w:val="6"/>
        </w:numPr>
        <w:ind w:left="1080"/>
      </w:pPr>
      <w:r w:rsidRPr="001016A4">
        <w:t>Final Settlement Statement</w:t>
      </w:r>
    </w:p>
    <w:p w14:paraId="3BB7D9B4" w14:textId="77777777" w:rsidR="00EA2603" w:rsidRPr="009C3EAD" w:rsidRDefault="00EA2603" w:rsidP="00EA2603">
      <w:pPr>
        <w:pStyle w:val="BodyText"/>
        <w:rPr>
          <w:szCs w:val="22"/>
        </w:rPr>
      </w:pPr>
      <w:r w:rsidRPr="009C3EAD">
        <w:rPr>
          <w:szCs w:val="22"/>
        </w:rPr>
        <w:t xml:space="preserve">A final settlement statement will only be issued if there are any adjustments required to amounts on </w:t>
      </w:r>
      <w:r>
        <w:rPr>
          <w:szCs w:val="22"/>
        </w:rPr>
        <w:t>a</w:t>
      </w:r>
      <w:r w:rsidRPr="009C3EAD">
        <w:rPr>
          <w:szCs w:val="22"/>
        </w:rPr>
        <w:t xml:space="preserve"> preliminary settlement statement.  Adjustments may be made due to recalculations completed as a result of a NOD submissions or as required by the IESO.  Final settlement statements will be generated in accordance with the </w:t>
      </w:r>
      <w:r w:rsidRPr="009C3EAD">
        <w:rPr>
          <w:i/>
          <w:szCs w:val="22"/>
        </w:rPr>
        <w:t xml:space="preserve">SSPC </w:t>
      </w:r>
      <w:r w:rsidRPr="009C3EAD">
        <w:rPr>
          <w:szCs w:val="22"/>
        </w:rPr>
        <w:t xml:space="preserve">and will be issued via the </w:t>
      </w:r>
      <w:r w:rsidRPr="009C3EAD">
        <w:rPr>
          <w:i/>
          <w:szCs w:val="22"/>
        </w:rPr>
        <w:t xml:space="preserve">IESO </w:t>
      </w:r>
      <w:r w:rsidRPr="009C3EAD">
        <w:rPr>
          <w:szCs w:val="22"/>
        </w:rPr>
        <w:t>Report Site.</w:t>
      </w:r>
    </w:p>
    <w:p w14:paraId="1727AB3B" w14:textId="77777777" w:rsidR="00EA2603" w:rsidRPr="001016A4" w:rsidRDefault="00EA2603" w:rsidP="003D477D">
      <w:pPr>
        <w:pStyle w:val="AppendixHead3"/>
        <w:numPr>
          <w:ilvl w:val="3"/>
          <w:numId w:val="6"/>
        </w:numPr>
        <w:ind w:left="1080"/>
      </w:pPr>
      <w:r w:rsidRPr="001016A4">
        <w:t>CBDR Program Settlement Report</w:t>
      </w:r>
    </w:p>
    <w:p w14:paraId="67E0ABEE" w14:textId="77777777" w:rsidR="00EA2603" w:rsidRDefault="00EA2603" w:rsidP="003D477D">
      <w:pPr>
        <w:pStyle w:val="BodyText"/>
      </w:pPr>
      <w:r w:rsidRPr="009C3EAD">
        <w:t>A CBDR program settlement report is a private report to help DRMP</w:t>
      </w:r>
      <w:r>
        <w:t>s</w:t>
      </w:r>
      <w:r w:rsidRPr="009C3EAD">
        <w:t xml:space="preserve"> understand their settlement for that month.  This report will be issued to each DRMP </w:t>
      </w:r>
      <w:r>
        <w:t>on a monthly basis</w:t>
      </w:r>
      <w:r w:rsidRPr="009C3EAD">
        <w:t xml:space="preserve"> and will contain the supporting information for all DR Accounts. This report will be made available on the same day as the preliminary settlement statement via the </w:t>
      </w:r>
      <w:r w:rsidRPr="009C3EAD">
        <w:rPr>
          <w:i/>
        </w:rPr>
        <w:t>IESO</w:t>
      </w:r>
      <w:r w:rsidRPr="009C3EAD">
        <w:t xml:space="preserve"> Report Site.</w:t>
      </w:r>
    </w:p>
    <w:p w14:paraId="3130BDD3" w14:textId="77777777" w:rsidR="00E4421F" w:rsidRDefault="008650B9" w:rsidP="008650B9">
      <w:pPr>
        <w:pStyle w:val="AppendixHead2"/>
      </w:pPr>
      <w:r w:rsidRPr="008650B9">
        <w:rPr>
          <w:lang w:val="en-CA"/>
        </w:rPr>
        <w:t>Submitting Optional Measurement Data Records</w:t>
      </w:r>
    </w:p>
    <w:p w14:paraId="35EF24DD" w14:textId="77777777" w:rsidR="00375101" w:rsidRDefault="00375101" w:rsidP="00375101">
      <w:pPr>
        <w:pStyle w:val="BodyText"/>
        <w:rPr>
          <w:lang w:val="en-CA"/>
        </w:rPr>
      </w:pPr>
      <w:r w:rsidRPr="00B95714">
        <w:rPr>
          <w:lang w:val="en-CA"/>
        </w:rPr>
        <w:t>You</w:t>
      </w:r>
      <w:r>
        <w:rPr>
          <w:lang w:val="en-CA"/>
        </w:rPr>
        <w:t xml:space="preserve"> may submit a request for optional measurement data records to be included in the </w:t>
      </w:r>
      <w:r>
        <w:rPr>
          <w:i/>
          <w:lang w:val="en-CA"/>
        </w:rPr>
        <w:t xml:space="preserve">settlement </w:t>
      </w:r>
      <w:r>
        <w:rPr>
          <w:lang w:val="en-CA"/>
        </w:rPr>
        <w:t>data file.  The steps in Figure 2-7 illustrate the process for submitting a request for optional measurement data records to us, and are described in detail in Section 3.7, Table 3-7.</w:t>
      </w:r>
    </w:p>
    <w:p w14:paraId="32660AA0" w14:textId="49339CF4" w:rsidR="00375101" w:rsidRDefault="00984429" w:rsidP="00375101">
      <w:pPr>
        <w:pStyle w:val="Figure"/>
        <w:rPr>
          <w:noProof w:val="0"/>
          <w:lang w:val="en-CA"/>
        </w:rPr>
      </w:pPr>
      <w:r w:rsidRPr="00984429">
        <w:rPr>
          <w:lang w:val="en-CA"/>
        </w:rPr>
        <w:t xml:space="preserve"> </w:t>
      </w:r>
      <w:r>
        <w:rPr>
          <w:lang w:val="en-CA"/>
        </w:rPr>
        <w:drawing>
          <wp:inline distT="0" distB="0" distL="0" distR="0" wp14:anchorId="09A8453C" wp14:editId="0691676B">
            <wp:extent cx="5715000" cy="5109845"/>
            <wp:effectExtent l="0" t="0" r="0" b="0"/>
            <wp:docPr id="25" name="Picture 25" descr="Diagram of Work flow for Submitting Optional Measurement Data Reco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715000" cy="5109845"/>
                    </a:xfrm>
                    <a:prstGeom prst="rect">
                      <a:avLst/>
                    </a:prstGeom>
                  </pic:spPr>
                </pic:pic>
              </a:graphicData>
            </a:graphic>
          </wp:inline>
        </w:drawing>
      </w:r>
    </w:p>
    <w:p w14:paraId="0FB27BE3" w14:textId="554B5354" w:rsidR="00375101" w:rsidRPr="00575A0A" w:rsidRDefault="00375101" w:rsidP="00375101">
      <w:pPr>
        <w:pStyle w:val="FigureCaption"/>
      </w:pPr>
      <w:bookmarkStart w:id="1642" w:name="_Toc35796424"/>
      <w:bookmarkStart w:id="1643" w:name="_Toc79657898"/>
      <w:r w:rsidRPr="00575A0A">
        <w:t xml:space="preserve">Figure </w:t>
      </w:r>
      <w:r w:rsidR="005D1E49">
        <w:t>E</w:t>
      </w:r>
      <w:r w:rsidR="00E27134" w:rsidRPr="009C3EAD">
        <w:t>–</w:t>
      </w:r>
      <w:r w:rsidR="005D1E49">
        <w:t>4</w:t>
      </w:r>
      <w:r w:rsidR="00611EF4">
        <w:t xml:space="preserve">:  </w:t>
      </w:r>
      <w:r w:rsidRPr="00575A0A">
        <w:t xml:space="preserve">Work flow for </w:t>
      </w:r>
      <w:r>
        <w:t xml:space="preserve">Submitting </w:t>
      </w:r>
      <w:r w:rsidRPr="00575A0A">
        <w:t>Optional Measurement Data Records</w:t>
      </w:r>
      <w:bookmarkEnd w:id="1642"/>
      <w:bookmarkEnd w:id="1643"/>
    </w:p>
    <w:p w14:paraId="4D476C2F" w14:textId="6E124B2F" w:rsidR="00375101" w:rsidRDefault="00375101" w:rsidP="003D477D">
      <w:pPr>
        <w:pStyle w:val="AppendixHead2"/>
        <w:spacing w:before="600"/>
      </w:pPr>
      <w:r w:rsidRPr="008650B9">
        <w:rPr>
          <w:lang w:val="en-CA"/>
        </w:rPr>
        <w:t>Submitting Request for Optional Measurement Data Records</w:t>
      </w:r>
    </w:p>
    <w:p w14:paraId="480E342B" w14:textId="49E7964D" w:rsidR="008650B9" w:rsidRDefault="008650B9" w:rsidP="008650B9">
      <w:pPr>
        <w:pStyle w:val="BodyText"/>
        <w:rPr>
          <w:snapToGrid w:val="0"/>
          <w:lang w:val="en-CA"/>
        </w:rPr>
      </w:pPr>
      <w:r>
        <w:rPr>
          <w:snapToGrid w:val="0"/>
          <w:lang w:val="en-CA"/>
        </w:rPr>
        <w:t>M</w:t>
      </w:r>
      <w:r>
        <w:rPr>
          <w:i/>
          <w:snapToGrid w:val="0"/>
          <w:lang w:val="en-CA"/>
        </w:rPr>
        <w:t>arket participants</w:t>
      </w:r>
      <w:r>
        <w:rPr>
          <w:snapToGrid w:val="0"/>
          <w:lang w:val="en-CA"/>
        </w:rPr>
        <w:t xml:space="preserve"> may request optional measurement data records to be included in the </w:t>
      </w:r>
      <w:r>
        <w:rPr>
          <w:i/>
          <w:snapToGrid w:val="0"/>
          <w:lang w:val="en-CA"/>
        </w:rPr>
        <w:t xml:space="preserve">settlement </w:t>
      </w:r>
      <w:r>
        <w:rPr>
          <w:snapToGrid w:val="0"/>
          <w:lang w:val="en-CA"/>
        </w:rPr>
        <w:t>data file.</w:t>
      </w:r>
    </w:p>
    <w:p w14:paraId="63F44171" w14:textId="7E3B23FD" w:rsidR="008650B9" w:rsidRDefault="008650B9" w:rsidP="008650B9">
      <w:pPr>
        <w:pStyle w:val="BodyText"/>
        <w:rPr>
          <w:lang w:val="en-CA"/>
        </w:rPr>
      </w:pPr>
      <w:r>
        <w:rPr>
          <w:lang w:val="en-CA"/>
        </w:rPr>
        <w:t>The steps shown in the following table are illustrated in Section 2.7, Figure 2-7.</w:t>
      </w:r>
    </w:p>
    <w:p w14:paraId="2C7F7481" w14:textId="3DE08E61" w:rsidR="001D3D7C" w:rsidRDefault="001D3D7C" w:rsidP="008650B9">
      <w:pPr>
        <w:pStyle w:val="BodyText"/>
        <w:rPr>
          <w:lang w:val="en-CA"/>
        </w:rPr>
      </w:pPr>
    </w:p>
    <w:p w14:paraId="30A53448" w14:textId="6AC3079C" w:rsidR="001D3D7C" w:rsidRDefault="001D3D7C" w:rsidP="008650B9">
      <w:pPr>
        <w:pStyle w:val="BodyText"/>
        <w:rPr>
          <w:lang w:val="en-CA"/>
        </w:rPr>
      </w:pPr>
    </w:p>
    <w:p w14:paraId="4CD38991" w14:textId="5707ECD9" w:rsidR="001D3D7C" w:rsidRDefault="001D3D7C" w:rsidP="008650B9">
      <w:pPr>
        <w:pStyle w:val="TableCaption"/>
        <w:rPr>
          <w:lang w:val="en-CA"/>
        </w:rPr>
        <w:sectPr w:rsidR="001D3D7C" w:rsidSect="000D2924">
          <w:headerReference w:type="default" r:id="rId112"/>
          <w:footerReference w:type="default" r:id="rId113"/>
          <w:pgSz w:w="12240" w:h="15840" w:code="1"/>
          <w:pgMar w:top="1440" w:right="1440" w:bottom="1440" w:left="1800" w:header="720" w:footer="720" w:gutter="0"/>
          <w:pgNumType w:chapStyle="7" w:chapSep="enDash"/>
          <w:cols w:space="720"/>
        </w:sectPr>
      </w:pPr>
    </w:p>
    <w:p w14:paraId="6A517097" w14:textId="54F33D05" w:rsidR="008650B9" w:rsidRDefault="008650B9" w:rsidP="008650B9">
      <w:pPr>
        <w:pStyle w:val="TableCaption"/>
        <w:rPr>
          <w:lang w:val="en-CA"/>
        </w:rPr>
      </w:pPr>
      <w:bookmarkStart w:id="1644" w:name="_Toc35796447"/>
      <w:bookmarkStart w:id="1645" w:name="_Toc79657854"/>
      <w:r>
        <w:rPr>
          <w:lang w:val="en-CA"/>
        </w:rPr>
        <w:t xml:space="preserve">Table </w:t>
      </w:r>
      <w:r w:rsidR="005D1E49">
        <w:rPr>
          <w:lang w:val="en-CA"/>
        </w:rPr>
        <w:t>E</w:t>
      </w:r>
      <w:r w:rsidR="00E27134" w:rsidRPr="009C3EAD">
        <w:t>–</w:t>
      </w:r>
      <w:r w:rsidR="005D1E49">
        <w:t>4</w:t>
      </w:r>
      <w:r>
        <w:rPr>
          <w:lang w:val="en-CA"/>
        </w:rPr>
        <w:t>:  Procedural Steps for Submission of Optional Measurement Data Records</w:t>
      </w:r>
      <w:bookmarkEnd w:id="1644"/>
      <w:bookmarkEnd w:id="1645"/>
    </w:p>
    <w:tbl>
      <w:tblPr>
        <w:tblW w:w="14724"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Pr>
      <w:tblGrid>
        <w:gridCol w:w="864"/>
        <w:gridCol w:w="2160"/>
        <w:gridCol w:w="3150"/>
        <w:gridCol w:w="2160"/>
        <w:gridCol w:w="2160"/>
        <w:gridCol w:w="2160"/>
        <w:gridCol w:w="2070"/>
      </w:tblGrid>
      <w:tr w:rsidR="008650B9" w14:paraId="35F39DE6" w14:textId="262FBD9E" w:rsidTr="007B06D7">
        <w:trPr>
          <w:cantSplit/>
          <w:tblHeader/>
        </w:trPr>
        <w:tc>
          <w:tcPr>
            <w:tcW w:w="864" w:type="dxa"/>
            <w:shd w:val="clear" w:color="auto" w:fill="D9D9D9" w:themeFill="background1" w:themeFillShade="D9"/>
            <w:vAlign w:val="center"/>
          </w:tcPr>
          <w:p w14:paraId="515946CB" w14:textId="40B8BC1F" w:rsidR="008650B9" w:rsidRDefault="008650B9" w:rsidP="000719EF">
            <w:pPr>
              <w:pStyle w:val="TableHead"/>
              <w:keepNext/>
              <w:keepLines/>
              <w:rPr>
                <w:lang w:val="en-CA"/>
              </w:rPr>
            </w:pPr>
            <w:r>
              <w:rPr>
                <w:lang w:val="en-CA"/>
              </w:rPr>
              <w:t>Ref.</w:t>
            </w:r>
          </w:p>
        </w:tc>
        <w:tc>
          <w:tcPr>
            <w:tcW w:w="2160" w:type="dxa"/>
            <w:shd w:val="clear" w:color="auto" w:fill="D9D9D9" w:themeFill="background1" w:themeFillShade="D9"/>
            <w:vAlign w:val="center"/>
          </w:tcPr>
          <w:p w14:paraId="68FDAFD6" w14:textId="0A15C329" w:rsidR="008650B9" w:rsidRDefault="008650B9" w:rsidP="000719EF">
            <w:pPr>
              <w:pStyle w:val="TableHead"/>
              <w:keepNext/>
              <w:keepLines/>
              <w:rPr>
                <w:lang w:val="en-CA"/>
              </w:rPr>
            </w:pPr>
            <w:r>
              <w:rPr>
                <w:lang w:val="en-CA"/>
              </w:rPr>
              <w:t>Task Name</w:t>
            </w:r>
          </w:p>
        </w:tc>
        <w:tc>
          <w:tcPr>
            <w:tcW w:w="3150" w:type="dxa"/>
            <w:shd w:val="clear" w:color="auto" w:fill="D9D9D9" w:themeFill="background1" w:themeFillShade="D9"/>
            <w:vAlign w:val="center"/>
          </w:tcPr>
          <w:p w14:paraId="674F99A1" w14:textId="7FECC3D2" w:rsidR="008650B9" w:rsidRDefault="008650B9" w:rsidP="000719EF">
            <w:pPr>
              <w:pStyle w:val="TableHead"/>
              <w:keepNext/>
              <w:keepLines/>
              <w:rPr>
                <w:lang w:val="en-CA"/>
              </w:rPr>
            </w:pPr>
            <w:r>
              <w:rPr>
                <w:lang w:val="en-CA"/>
              </w:rPr>
              <w:t>Task Detail</w:t>
            </w:r>
          </w:p>
        </w:tc>
        <w:tc>
          <w:tcPr>
            <w:tcW w:w="2160" w:type="dxa"/>
            <w:shd w:val="clear" w:color="auto" w:fill="D9D9D9" w:themeFill="background1" w:themeFillShade="D9"/>
            <w:vAlign w:val="center"/>
          </w:tcPr>
          <w:p w14:paraId="73C59D1C" w14:textId="39215DE1" w:rsidR="008650B9" w:rsidRDefault="008650B9" w:rsidP="000719EF">
            <w:pPr>
              <w:pStyle w:val="TableHead"/>
              <w:keepNext/>
              <w:keepLines/>
              <w:rPr>
                <w:lang w:val="en-CA"/>
              </w:rPr>
            </w:pPr>
            <w:r>
              <w:rPr>
                <w:lang w:val="en-CA"/>
              </w:rPr>
              <w:t>When</w:t>
            </w:r>
          </w:p>
        </w:tc>
        <w:tc>
          <w:tcPr>
            <w:tcW w:w="2160" w:type="dxa"/>
            <w:shd w:val="clear" w:color="auto" w:fill="D9D9D9" w:themeFill="background1" w:themeFillShade="D9"/>
            <w:vAlign w:val="center"/>
          </w:tcPr>
          <w:p w14:paraId="7F294363" w14:textId="501B4DB0" w:rsidR="008650B9" w:rsidRDefault="008650B9" w:rsidP="000719EF">
            <w:pPr>
              <w:pStyle w:val="TableHead"/>
              <w:keepNext/>
              <w:keepLines/>
              <w:rPr>
                <w:lang w:val="en-CA"/>
              </w:rPr>
            </w:pPr>
            <w:r>
              <w:rPr>
                <w:lang w:val="en-CA"/>
              </w:rPr>
              <w:t>Resulting Information</w:t>
            </w:r>
          </w:p>
        </w:tc>
        <w:tc>
          <w:tcPr>
            <w:tcW w:w="2160" w:type="dxa"/>
            <w:shd w:val="clear" w:color="auto" w:fill="D9D9D9" w:themeFill="background1" w:themeFillShade="D9"/>
            <w:vAlign w:val="center"/>
          </w:tcPr>
          <w:p w14:paraId="6D0B35DB" w14:textId="428047AF" w:rsidR="008650B9" w:rsidRDefault="008650B9" w:rsidP="000719EF">
            <w:pPr>
              <w:pStyle w:val="TableHead"/>
              <w:keepNext/>
              <w:keepLines/>
              <w:rPr>
                <w:lang w:val="en-CA"/>
              </w:rPr>
            </w:pPr>
            <w:r>
              <w:rPr>
                <w:lang w:val="en-CA"/>
              </w:rPr>
              <w:t>Method</w:t>
            </w:r>
          </w:p>
        </w:tc>
        <w:tc>
          <w:tcPr>
            <w:tcW w:w="2070" w:type="dxa"/>
            <w:shd w:val="clear" w:color="auto" w:fill="D9D9D9" w:themeFill="background1" w:themeFillShade="D9"/>
            <w:vAlign w:val="center"/>
          </w:tcPr>
          <w:p w14:paraId="621E0D5D" w14:textId="4E4AC9E2" w:rsidR="008650B9" w:rsidRDefault="008650B9" w:rsidP="000719EF">
            <w:pPr>
              <w:pStyle w:val="TableHead"/>
              <w:keepNext/>
              <w:keepLines/>
              <w:rPr>
                <w:lang w:val="en-CA"/>
              </w:rPr>
            </w:pPr>
            <w:r>
              <w:rPr>
                <w:lang w:val="en-CA"/>
              </w:rPr>
              <w:t>Completion Events</w:t>
            </w:r>
          </w:p>
        </w:tc>
      </w:tr>
      <w:tr w:rsidR="008650B9" w14:paraId="1D833003" w14:textId="2A284DD0" w:rsidTr="000719EF">
        <w:trPr>
          <w:cantSplit/>
        </w:trPr>
        <w:tc>
          <w:tcPr>
            <w:tcW w:w="864" w:type="dxa"/>
          </w:tcPr>
          <w:p w14:paraId="5DFD56B9" w14:textId="108A1A10" w:rsidR="008650B9" w:rsidRDefault="008650B9" w:rsidP="000719EF">
            <w:pPr>
              <w:pStyle w:val="TableText"/>
              <w:rPr>
                <w:lang w:val="en-CA"/>
              </w:rPr>
            </w:pPr>
            <w:r>
              <w:rPr>
                <w:lang w:val="en-CA"/>
              </w:rPr>
              <w:t>5G.01</w:t>
            </w:r>
          </w:p>
        </w:tc>
        <w:tc>
          <w:tcPr>
            <w:tcW w:w="2160" w:type="dxa"/>
          </w:tcPr>
          <w:p w14:paraId="5AF4CCB3" w14:textId="38F00D3F" w:rsidR="008650B9" w:rsidRDefault="008650B9" w:rsidP="000719EF">
            <w:pPr>
              <w:pStyle w:val="TableText"/>
              <w:rPr>
                <w:lang w:val="en-CA"/>
              </w:rPr>
            </w:pPr>
            <w:r>
              <w:rPr>
                <w:lang w:val="en-CA"/>
              </w:rPr>
              <w:t xml:space="preserve">Download IMO_FORM_1433 from </w:t>
            </w:r>
            <w:r w:rsidRPr="00D60C6C">
              <w:rPr>
                <w:lang w:val="en-CA"/>
              </w:rPr>
              <w:t xml:space="preserve">our </w:t>
            </w:r>
            <w:r>
              <w:rPr>
                <w:lang w:val="en-CA"/>
              </w:rPr>
              <w:t xml:space="preserve">web site, complete and submit to </w:t>
            </w:r>
            <w:r w:rsidRPr="00D60C6C">
              <w:rPr>
                <w:lang w:val="en-CA"/>
              </w:rPr>
              <w:t>us</w:t>
            </w:r>
            <w:r>
              <w:rPr>
                <w:lang w:val="en-CA"/>
              </w:rPr>
              <w:t>.</w:t>
            </w:r>
          </w:p>
          <w:p w14:paraId="7C5DD287" w14:textId="61D24DEE" w:rsidR="008650B9" w:rsidRDefault="008650B9" w:rsidP="000719EF">
            <w:pPr>
              <w:pStyle w:val="TableText"/>
              <w:rPr>
                <w:lang w:val="en-CA"/>
              </w:rPr>
            </w:pPr>
            <w:r>
              <w:rPr>
                <w:lang w:val="en-CA"/>
              </w:rPr>
              <w:t>Obtain signature of ‘Main’, ‘Settlement’ or ‘Real-Time Markets Manager’ Contact as in CDMS.</w:t>
            </w:r>
          </w:p>
        </w:tc>
        <w:tc>
          <w:tcPr>
            <w:tcW w:w="3150" w:type="dxa"/>
          </w:tcPr>
          <w:p w14:paraId="36628DA3" w14:textId="3769950E" w:rsidR="008650B9" w:rsidRDefault="008650B9" w:rsidP="000719EF">
            <w:pPr>
              <w:pStyle w:val="TableText"/>
              <w:rPr>
                <w:lang w:val="en-CA"/>
              </w:rPr>
            </w:pPr>
            <w:r>
              <w:rPr>
                <w:i/>
                <w:lang w:val="en-CA"/>
              </w:rPr>
              <w:t>Market participant</w:t>
            </w:r>
            <w:r>
              <w:rPr>
                <w:lang w:val="en-CA"/>
              </w:rPr>
              <w:t xml:space="preserve"> downloads the form, completes it and submits it to us.</w:t>
            </w:r>
          </w:p>
          <w:p w14:paraId="7DE08525" w14:textId="23DEAEDD" w:rsidR="008650B9" w:rsidRDefault="008650B9" w:rsidP="000719EF">
            <w:pPr>
              <w:pStyle w:val="TableText"/>
              <w:rPr>
                <w:lang w:val="en-CA"/>
              </w:rPr>
            </w:pPr>
            <w:r>
              <w:rPr>
                <w:lang w:val="en-CA"/>
              </w:rPr>
              <w:t>The m</w:t>
            </w:r>
            <w:r>
              <w:rPr>
                <w:i/>
                <w:lang w:val="en-CA"/>
              </w:rPr>
              <w:t>arket participant</w:t>
            </w:r>
            <w:r>
              <w:rPr>
                <w:lang w:val="en-CA"/>
              </w:rPr>
              <w:t xml:space="preserve"> ensures it is signed by one of ‘Main’, ‘Settlement’ or ‘Real-Time Markets Manager’ contacts.</w:t>
            </w:r>
          </w:p>
        </w:tc>
        <w:tc>
          <w:tcPr>
            <w:tcW w:w="2160" w:type="dxa"/>
          </w:tcPr>
          <w:p w14:paraId="2960E1F7" w14:textId="7EE5DF73" w:rsidR="008650B9" w:rsidRDefault="008650B9" w:rsidP="000719EF">
            <w:pPr>
              <w:pStyle w:val="TableText"/>
              <w:rPr>
                <w:lang w:val="en-CA"/>
              </w:rPr>
            </w:pPr>
            <w:r>
              <w:rPr>
                <w:lang w:val="en-CA"/>
              </w:rPr>
              <w:t xml:space="preserve">When </w:t>
            </w:r>
            <w:r>
              <w:rPr>
                <w:i/>
                <w:lang w:val="en-CA"/>
              </w:rPr>
              <w:t xml:space="preserve">market participant </w:t>
            </w:r>
            <w:r>
              <w:rPr>
                <w:lang w:val="en-CA"/>
              </w:rPr>
              <w:t>determines that optional measurement data records are needed.</w:t>
            </w:r>
          </w:p>
        </w:tc>
        <w:tc>
          <w:tcPr>
            <w:tcW w:w="2160" w:type="dxa"/>
          </w:tcPr>
          <w:p w14:paraId="04C98E96" w14:textId="27F2B8D5" w:rsidR="008650B9" w:rsidRDefault="008650B9" w:rsidP="000719EF">
            <w:pPr>
              <w:pStyle w:val="TableText"/>
              <w:rPr>
                <w:lang w:val="en-CA"/>
              </w:rPr>
            </w:pPr>
            <w:r>
              <w:rPr>
                <w:i/>
                <w:lang w:val="en-CA"/>
              </w:rPr>
              <w:t xml:space="preserve">Market participant </w:t>
            </w:r>
            <w:r>
              <w:rPr>
                <w:lang w:val="en-CA"/>
              </w:rPr>
              <w:t>has requested optional measurement data records.</w:t>
            </w:r>
          </w:p>
        </w:tc>
        <w:tc>
          <w:tcPr>
            <w:tcW w:w="2160" w:type="dxa"/>
          </w:tcPr>
          <w:p w14:paraId="436FB967" w14:textId="25A97AFA" w:rsidR="008650B9" w:rsidRDefault="008650B9" w:rsidP="000719EF">
            <w:pPr>
              <w:pStyle w:val="TableText"/>
              <w:rPr>
                <w:lang w:val="en-CA"/>
              </w:rPr>
            </w:pPr>
            <w:r>
              <w:rPr>
                <w:lang w:val="en-CA"/>
              </w:rPr>
              <w:t>Fax, mail or courier.</w:t>
            </w:r>
          </w:p>
        </w:tc>
        <w:tc>
          <w:tcPr>
            <w:tcW w:w="2070" w:type="dxa"/>
          </w:tcPr>
          <w:p w14:paraId="30288500" w14:textId="71DF9A1D" w:rsidR="008650B9" w:rsidRDefault="008650B9" w:rsidP="000719EF">
            <w:pPr>
              <w:pStyle w:val="TableText"/>
              <w:rPr>
                <w:lang w:val="en-CA"/>
              </w:rPr>
            </w:pPr>
            <w:r>
              <w:rPr>
                <w:lang w:val="en-CA"/>
              </w:rPr>
              <w:t>Request for optional measurement data records submitted.</w:t>
            </w:r>
          </w:p>
        </w:tc>
      </w:tr>
      <w:tr w:rsidR="008650B9" w14:paraId="28770DB1" w14:textId="288C9A9C" w:rsidTr="000719EF">
        <w:trPr>
          <w:cantSplit/>
        </w:trPr>
        <w:tc>
          <w:tcPr>
            <w:tcW w:w="864" w:type="dxa"/>
          </w:tcPr>
          <w:p w14:paraId="4CD5A2DA" w14:textId="673DE107" w:rsidR="008650B9" w:rsidRDefault="008650B9" w:rsidP="000719EF">
            <w:pPr>
              <w:pStyle w:val="TableText"/>
              <w:rPr>
                <w:lang w:val="en-CA"/>
              </w:rPr>
            </w:pPr>
            <w:r>
              <w:rPr>
                <w:lang w:val="en-CA"/>
              </w:rPr>
              <w:t>5G.02</w:t>
            </w:r>
          </w:p>
        </w:tc>
        <w:tc>
          <w:tcPr>
            <w:tcW w:w="2160" w:type="dxa"/>
          </w:tcPr>
          <w:p w14:paraId="3AD57524" w14:textId="4BEEB9C9" w:rsidR="008650B9" w:rsidRDefault="008650B9" w:rsidP="000719EF">
            <w:pPr>
              <w:pStyle w:val="TableText"/>
              <w:rPr>
                <w:lang w:val="en-CA"/>
              </w:rPr>
            </w:pPr>
            <w:r>
              <w:rPr>
                <w:lang w:val="en-CA"/>
              </w:rPr>
              <w:t>Receive form.</w:t>
            </w:r>
          </w:p>
        </w:tc>
        <w:tc>
          <w:tcPr>
            <w:tcW w:w="3150" w:type="dxa"/>
          </w:tcPr>
          <w:p w14:paraId="29FBA7CB" w14:textId="5D62A924" w:rsidR="008650B9" w:rsidRDefault="008650B9" w:rsidP="000719EF">
            <w:pPr>
              <w:pStyle w:val="TableText"/>
              <w:rPr>
                <w:lang w:val="en-CA"/>
              </w:rPr>
            </w:pPr>
            <w:r>
              <w:rPr>
                <w:lang w:val="en-CA"/>
              </w:rPr>
              <w:t>W</w:t>
            </w:r>
            <w:r w:rsidRPr="007A6E66">
              <w:rPr>
                <w:lang w:val="en-CA"/>
              </w:rPr>
              <w:t>e</w:t>
            </w:r>
            <w:r>
              <w:rPr>
                <w:lang w:val="en-CA"/>
              </w:rPr>
              <w:t xml:space="preserve"> receive completed form for request for optional measurement data records.</w:t>
            </w:r>
          </w:p>
        </w:tc>
        <w:tc>
          <w:tcPr>
            <w:tcW w:w="2160" w:type="dxa"/>
          </w:tcPr>
          <w:p w14:paraId="3660D5B0" w14:textId="2CFFAB09" w:rsidR="008650B9" w:rsidRDefault="008650B9" w:rsidP="000719EF">
            <w:pPr>
              <w:pStyle w:val="TableText"/>
              <w:rPr>
                <w:lang w:val="en-CA"/>
              </w:rPr>
            </w:pPr>
            <w:r>
              <w:rPr>
                <w:lang w:val="en-CA"/>
              </w:rPr>
              <w:t>After 5G.01.</w:t>
            </w:r>
          </w:p>
        </w:tc>
        <w:tc>
          <w:tcPr>
            <w:tcW w:w="2160" w:type="dxa"/>
          </w:tcPr>
          <w:p w14:paraId="3BF28A98" w14:textId="675153C1" w:rsidR="008650B9" w:rsidRDefault="008650B9" w:rsidP="000719EF">
            <w:pPr>
              <w:pStyle w:val="TableText"/>
              <w:rPr>
                <w:lang w:val="en-CA"/>
              </w:rPr>
            </w:pPr>
          </w:p>
        </w:tc>
        <w:tc>
          <w:tcPr>
            <w:tcW w:w="2160" w:type="dxa"/>
          </w:tcPr>
          <w:p w14:paraId="62BBB1E6" w14:textId="36070B00" w:rsidR="008650B9" w:rsidRDefault="008650B9" w:rsidP="000719EF">
            <w:pPr>
              <w:pStyle w:val="TableText"/>
              <w:rPr>
                <w:lang w:val="en-CA"/>
              </w:rPr>
            </w:pPr>
          </w:p>
        </w:tc>
        <w:tc>
          <w:tcPr>
            <w:tcW w:w="2070" w:type="dxa"/>
          </w:tcPr>
          <w:p w14:paraId="55A4A5BC" w14:textId="473DCA74" w:rsidR="008650B9" w:rsidRDefault="008650B9" w:rsidP="000719EF">
            <w:pPr>
              <w:pStyle w:val="TableText"/>
              <w:rPr>
                <w:lang w:val="en-CA"/>
              </w:rPr>
            </w:pPr>
            <w:r>
              <w:rPr>
                <w:lang w:val="en-CA"/>
              </w:rPr>
              <w:t>Form received.</w:t>
            </w:r>
          </w:p>
        </w:tc>
      </w:tr>
      <w:tr w:rsidR="008650B9" w14:paraId="764BB42C" w14:textId="436C684C" w:rsidTr="000719EF">
        <w:trPr>
          <w:cantSplit/>
        </w:trPr>
        <w:tc>
          <w:tcPr>
            <w:tcW w:w="864" w:type="dxa"/>
          </w:tcPr>
          <w:p w14:paraId="7A550475" w14:textId="35141DAD" w:rsidR="008650B9" w:rsidRDefault="008650B9" w:rsidP="000719EF">
            <w:pPr>
              <w:pStyle w:val="TableText"/>
              <w:rPr>
                <w:lang w:val="en-CA"/>
              </w:rPr>
            </w:pPr>
            <w:r>
              <w:rPr>
                <w:lang w:val="en-CA"/>
              </w:rPr>
              <w:t>5G.03</w:t>
            </w:r>
          </w:p>
        </w:tc>
        <w:tc>
          <w:tcPr>
            <w:tcW w:w="2160" w:type="dxa"/>
          </w:tcPr>
          <w:p w14:paraId="2A98EF72" w14:textId="5FC348DE" w:rsidR="008650B9" w:rsidRDefault="008650B9" w:rsidP="000719EF">
            <w:pPr>
              <w:pStyle w:val="TableText"/>
              <w:rPr>
                <w:lang w:val="en-CA"/>
              </w:rPr>
            </w:pPr>
            <w:r>
              <w:rPr>
                <w:lang w:val="en-CA"/>
              </w:rPr>
              <w:t>Has correct Contact signed?</w:t>
            </w:r>
          </w:p>
          <w:p w14:paraId="4826B477" w14:textId="61CF5060" w:rsidR="008650B9" w:rsidRDefault="008650B9" w:rsidP="000719EF">
            <w:pPr>
              <w:pStyle w:val="TableText"/>
              <w:rPr>
                <w:lang w:val="en-CA"/>
              </w:rPr>
            </w:pPr>
            <w:r>
              <w:rPr>
                <w:lang w:val="en-CA"/>
              </w:rPr>
              <w:t>If no, send notification.</w:t>
            </w:r>
          </w:p>
        </w:tc>
        <w:tc>
          <w:tcPr>
            <w:tcW w:w="3150" w:type="dxa"/>
          </w:tcPr>
          <w:p w14:paraId="0FE62116" w14:textId="53FA8ED7" w:rsidR="008650B9" w:rsidRDefault="008650B9" w:rsidP="000719EF">
            <w:pPr>
              <w:pStyle w:val="TableText"/>
              <w:rPr>
                <w:lang w:val="en-CA"/>
              </w:rPr>
            </w:pPr>
            <w:r>
              <w:rPr>
                <w:lang w:val="en-CA"/>
              </w:rPr>
              <w:t>W</w:t>
            </w:r>
            <w:r w:rsidRPr="007A6E66">
              <w:rPr>
                <w:lang w:val="en-CA"/>
              </w:rPr>
              <w:t>e</w:t>
            </w:r>
            <w:r>
              <w:rPr>
                <w:lang w:val="en-CA"/>
              </w:rPr>
              <w:t xml:space="preserve"> verify that form is complete and verify the signing contact is correct as in CDMS.  If not, we inform the </w:t>
            </w:r>
            <w:r>
              <w:rPr>
                <w:i/>
                <w:lang w:val="en-CA"/>
              </w:rPr>
              <w:t>market participant</w:t>
            </w:r>
            <w:r>
              <w:rPr>
                <w:lang w:val="en-CA"/>
              </w:rPr>
              <w:t>.</w:t>
            </w:r>
          </w:p>
        </w:tc>
        <w:tc>
          <w:tcPr>
            <w:tcW w:w="2160" w:type="dxa"/>
          </w:tcPr>
          <w:p w14:paraId="0A8FF308" w14:textId="4E46B282" w:rsidR="008650B9" w:rsidRDefault="008650B9" w:rsidP="000719EF">
            <w:pPr>
              <w:pStyle w:val="TableText"/>
              <w:rPr>
                <w:lang w:val="en-CA"/>
              </w:rPr>
            </w:pPr>
            <w:r>
              <w:rPr>
                <w:lang w:val="en-CA"/>
              </w:rPr>
              <w:t>After 5G.02.</w:t>
            </w:r>
          </w:p>
        </w:tc>
        <w:tc>
          <w:tcPr>
            <w:tcW w:w="2160" w:type="dxa"/>
          </w:tcPr>
          <w:p w14:paraId="4F6B298F" w14:textId="093B0E5B" w:rsidR="008650B9" w:rsidRDefault="008650B9" w:rsidP="000719EF">
            <w:pPr>
              <w:pStyle w:val="TableText"/>
              <w:rPr>
                <w:lang w:val="en-CA"/>
              </w:rPr>
            </w:pPr>
            <w:r>
              <w:rPr>
                <w:lang w:val="en-CA"/>
              </w:rPr>
              <w:t>Completed request for optional measurement data records.</w:t>
            </w:r>
          </w:p>
        </w:tc>
        <w:tc>
          <w:tcPr>
            <w:tcW w:w="2160" w:type="dxa"/>
          </w:tcPr>
          <w:p w14:paraId="5D2640DE" w14:textId="39A26677" w:rsidR="008650B9" w:rsidRDefault="008650B9" w:rsidP="000719EF">
            <w:pPr>
              <w:pStyle w:val="TableText"/>
              <w:rPr>
                <w:lang w:val="en-CA"/>
              </w:rPr>
            </w:pPr>
            <w:r>
              <w:rPr>
                <w:lang w:val="en-CA"/>
              </w:rPr>
              <w:t>If required, email.</w:t>
            </w:r>
          </w:p>
        </w:tc>
        <w:tc>
          <w:tcPr>
            <w:tcW w:w="2070" w:type="dxa"/>
          </w:tcPr>
          <w:p w14:paraId="1F937066" w14:textId="2641BFEB" w:rsidR="008650B9" w:rsidRDefault="008650B9" w:rsidP="000719EF">
            <w:pPr>
              <w:pStyle w:val="TableText"/>
              <w:rPr>
                <w:lang w:val="en-CA"/>
              </w:rPr>
            </w:pPr>
            <w:r>
              <w:rPr>
                <w:lang w:val="en-CA"/>
              </w:rPr>
              <w:t>Completed request for optional measurement data records.</w:t>
            </w:r>
          </w:p>
        </w:tc>
      </w:tr>
      <w:tr w:rsidR="008650B9" w14:paraId="55809555" w14:textId="01C8B6BF" w:rsidTr="000719EF">
        <w:trPr>
          <w:cantSplit/>
        </w:trPr>
        <w:tc>
          <w:tcPr>
            <w:tcW w:w="864" w:type="dxa"/>
          </w:tcPr>
          <w:p w14:paraId="514BE1E3" w14:textId="30EA01DA" w:rsidR="008650B9" w:rsidRDefault="008650B9" w:rsidP="000719EF">
            <w:pPr>
              <w:pStyle w:val="TableText"/>
              <w:rPr>
                <w:lang w:val="en-CA"/>
              </w:rPr>
            </w:pPr>
            <w:r>
              <w:rPr>
                <w:lang w:val="en-CA"/>
              </w:rPr>
              <w:t>5G.04</w:t>
            </w:r>
          </w:p>
        </w:tc>
        <w:tc>
          <w:tcPr>
            <w:tcW w:w="2160" w:type="dxa"/>
          </w:tcPr>
          <w:p w14:paraId="67259C80" w14:textId="2631E06B" w:rsidR="008650B9" w:rsidRDefault="008650B9" w:rsidP="000719EF">
            <w:pPr>
              <w:pStyle w:val="TableText"/>
              <w:rPr>
                <w:lang w:val="en-CA"/>
              </w:rPr>
            </w:pPr>
            <w:r>
              <w:rPr>
                <w:lang w:val="en-CA"/>
              </w:rPr>
              <w:t>Receive notification and re-send IMO_FORM_1433.</w:t>
            </w:r>
          </w:p>
        </w:tc>
        <w:tc>
          <w:tcPr>
            <w:tcW w:w="3150" w:type="dxa"/>
          </w:tcPr>
          <w:p w14:paraId="28F1CEF1" w14:textId="294BA4E0" w:rsidR="008650B9" w:rsidRDefault="008650B9" w:rsidP="000719EF">
            <w:pPr>
              <w:pStyle w:val="TableText"/>
              <w:rPr>
                <w:lang w:val="en-CA"/>
              </w:rPr>
            </w:pPr>
            <w:r>
              <w:rPr>
                <w:i/>
                <w:lang w:val="en-CA"/>
              </w:rPr>
              <w:t>Market participant</w:t>
            </w:r>
            <w:r>
              <w:rPr>
                <w:lang w:val="en-CA"/>
              </w:rPr>
              <w:t xml:space="preserve"> receives notification that the incorrect contact has signed the form.  The form is corrected and re-sent as in 5G.01.</w:t>
            </w:r>
          </w:p>
        </w:tc>
        <w:tc>
          <w:tcPr>
            <w:tcW w:w="2160" w:type="dxa"/>
          </w:tcPr>
          <w:p w14:paraId="5F9CB15D" w14:textId="5600E8F6" w:rsidR="008650B9" w:rsidRDefault="008650B9" w:rsidP="000719EF">
            <w:pPr>
              <w:pStyle w:val="TableText"/>
              <w:rPr>
                <w:lang w:val="en-CA"/>
              </w:rPr>
            </w:pPr>
            <w:r>
              <w:rPr>
                <w:lang w:val="en-CA"/>
              </w:rPr>
              <w:t>After 5G.04.</w:t>
            </w:r>
          </w:p>
        </w:tc>
        <w:tc>
          <w:tcPr>
            <w:tcW w:w="2160" w:type="dxa"/>
          </w:tcPr>
          <w:p w14:paraId="194D375F" w14:textId="7BF5F90F" w:rsidR="008650B9" w:rsidRDefault="008650B9" w:rsidP="000719EF">
            <w:pPr>
              <w:pStyle w:val="TableText"/>
              <w:rPr>
                <w:lang w:val="en-CA"/>
              </w:rPr>
            </w:pPr>
            <w:r>
              <w:rPr>
                <w:lang w:val="en-CA"/>
              </w:rPr>
              <w:t>Completed request for optional measurement data records.</w:t>
            </w:r>
          </w:p>
        </w:tc>
        <w:tc>
          <w:tcPr>
            <w:tcW w:w="2160" w:type="dxa"/>
          </w:tcPr>
          <w:p w14:paraId="4251F148" w14:textId="2660B088" w:rsidR="008650B9" w:rsidRDefault="008650B9" w:rsidP="000719EF">
            <w:pPr>
              <w:pStyle w:val="TableText"/>
              <w:rPr>
                <w:lang w:val="en-CA"/>
              </w:rPr>
            </w:pPr>
            <w:r>
              <w:rPr>
                <w:lang w:val="en-CA"/>
              </w:rPr>
              <w:t>Fax, mail or courier.</w:t>
            </w:r>
          </w:p>
        </w:tc>
        <w:tc>
          <w:tcPr>
            <w:tcW w:w="2070" w:type="dxa"/>
          </w:tcPr>
          <w:p w14:paraId="5CA232B8" w14:textId="2772FFB6" w:rsidR="008650B9" w:rsidRDefault="008650B9" w:rsidP="000719EF">
            <w:pPr>
              <w:pStyle w:val="TableText"/>
              <w:rPr>
                <w:lang w:val="en-CA"/>
              </w:rPr>
            </w:pPr>
            <w:r>
              <w:rPr>
                <w:i/>
                <w:lang w:val="en-CA"/>
              </w:rPr>
              <w:t>Market participant</w:t>
            </w:r>
            <w:r>
              <w:rPr>
                <w:lang w:val="en-CA"/>
              </w:rPr>
              <w:t xml:space="preserve"> is aware of incorrect contact and has submitted a correct form.</w:t>
            </w:r>
          </w:p>
        </w:tc>
      </w:tr>
      <w:tr w:rsidR="008650B9" w14:paraId="1D9DB6DD" w14:textId="19B64C0D" w:rsidTr="000719EF">
        <w:trPr>
          <w:cantSplit/>
        </w:trPr>
        <w:tc>
          <w:tcPr>
            <w:tcW w:w="864" w:type="dxa"/>
          </w:tcPr>
          <w:p w14:paraId="40EDCB93" w14:textId="0C1777C2" w:rsidR="008650B9" w:rsidRDefault="008650B9" w:rsidP="000719EF">
            <w:pPr>
              <w:pStyle w:val="TableText"/>
              <w:rPr>
                <w:lang w:val="en-CA"/>
              </w:rPr>
            </w:pPr>
            <w:r>
              <w:rPr>
                <w:lang w:val="en-CA"/>
              </w:rPr>
              <w:t>5G.05</w:t>
            </w:r>
          </w:p>
        </w:tc>
        <w:tc>
          <w:tcPr>
            <w:tcW w:w="2160" w:type="dxa"/>
          </w:tcPr>
          <w:p w14:paraId="7DA79D3E" w14:textId="7B5A140F" w:rsidR="008650B9" w:rsidRDefault="008650B9" w:rsidP="000719EF">
            <w:pPr>
              <w:pStyle w:val="TableText"/>
              <w:rPr>
                <w:lang w:val="en-CA"/>
              </w:rPr>
            </w:pPr>
            <w:r>
              <w:rPr>
                <w:lang w:val="en-CA"/>
              </w:rPr>
              <w:t>Activate measurement option.</w:t>
            </w:r>
          </w:p>
        </w:tc>
        <w:tc>
          <w:tcPr>
            <w:tcW w:w="3150" w:type="dxa"/>
          </w:tcPr>
          <w:p w14:paraId="2248415F" w14:textId="752D997F" w:rsidR="008650B9" w:rsidRDefault="008650B9" w:rsidP="000719EF">
            <w:pPr>
              <w:pStyle w:val="TableText"/>
              <w:rPr>
                <w:lang w:val="en-CA"/>
              </w:rPr>
            </w:pPr>
            <w:r>
              <w:rPr>
                <w:lang w:val="en-CA"/>
              </w:rPr>
              <w:t>W</w:t>
            </w:r>
            <w:r w:rsidRPr="007A6E66">
              <w:rPr>
                <w:lang w:val="en-CA"/>
              </w:rPr>
              <w:t>e</w:t>
            </w:r>
            <w:r>
              <w:rPr>
                <w:i/>
                <w:lang w:val="en-CA"/>
              </w:rPr>
              <w:t xml:space="preserve"> </w:t>
            </w:r>
            <w:r>
              <w:rPr>
                <w:lang w:val="en-CA"/>
              </w:rPr>
              <w:t xml:space="preserve">will include optional measurement data records with </w:t>
            </w:r>
            <w:r>
              <w:rPr>
                <w:i/>
                <w:lang w:val="en-CA"/>
              </w:rPr>
              <w:t>settlement</w:t>
            </w:r>
            <w:r>
              <w:rPr>
                <w:lang w:val="en-CA"/>
              </w:rPr>
              <w:t xml:space="preserve"> data files.</w:t>
            </w:r>
          </w:p>
        </w:tc>
        <w:tc>
          <w:tcPr>
            <w:tcW w:w="2160" w:type="dxa"/>
          </w:tcPr>
          <w:p w14:paraId="49009814" w14:textId="716690AC" w:rsidR="008650B9" w:rsidRDefault="008650B9" w:rsidP="000719EF">
            <w:pPr>
              <w:pStyle w:val="TableText"/>
              <w:rPr>
                <w:lang w:val="en-CA"/>
              </w:rPr>
            </w:pPr>
            <w:r>
              <w:rPr>
                <w:lang w:val="en-CA"/>
              </w:rPr>
              <w:t>After successful 5G.03.</w:t>
            </w:r>
          </w:p>
        </w:tc>
        <w:tc>
          <w:tcPr>
            <w:tcW w:w="2160" w:type="dxa"/>
          </w:tcPr>
          <w:p w14:paraId="36D70471" w14:textId="1179A0D0" w:rsidR="008650B9" w:rsidRDefault="008650B9" w:rsidP="000719EF">
            <w:pPr>
              <w:pStyle w:val="TableText"/>
              <w:rPr>
                <w:lang w:val="en-CA"/>
              </w:rPr>
            </w:pPr>
            <w:r>
              <w:rPr>
                <w:lang w:val="en-CA"/>
              </w:rPr>
              <w:t xml:space="preserve">Optional measurement data records included in </w:t>
            </w:r>
            <w:r>
              <w:rPr>
                <w:i/>
                <w:lang w:val="en-CA"/>
              </w:rPr>
              <w:t>settlement</w:t>
            </w:r>
            <w:r>
              <w:rPr>
                <w:lang w:val="en-CA"/>
              </w:rPr>
              <w:t xml:space="preserve"> data files.</w:t>
            </w:r>
          </w:p>
        </w:tc>
        <w:tc>
          <w:tcPr>
            <w:tcW w:w="2160" w:type="dxa"/>
          </w:tcPr>
          <w:p w14:paraId="71D24055" w14:textId="021B160C" w:rsidR="008650B9" w:rsidRDefault="008650B9" w:rsidP="000719EF">
            <w:pPr>
              <w:pStyle w:val="TableText"/>
              <w:rPr>
                <w:lang w:val="en-CA"/>
              </w:rPr>
            </w:pPr>
          </w:p>
        </w:tc>
        <w:tc>
          <w:tcPr>
            <w:tcW w:w="2070" w:type="dxa"/>
          </w:tcPr>
          <w:p w14:paraId="29FB028D" w14:textId="24382A2A" w:rsidR="008650B9" w:rsidRDefault="008650B9" w:rsidP="000719EF">
            <w:pPr>
              <w:pStyle w:val="TableText"/>
              <w:rPr>
                <w:lang w:val="en-CA"/>
              </w:rPr>
            </w:pPr>
            <w:r>
              <w:rPr>
                <w:i/>
                <w:lang w:val="en-CA"/>
              </w:rPr>
              <w:t>Market participant</w:t>
            </w:r>
            <w:r>
              <w:rPr>
                <w:lang w:val="en-CA"/>
              </w:rPr>
              <w:t xml:space="preserve"> receives optional measurement data records.</w:t>
            </w:r>
          </w:p>
        </w:tc>
      </w:tr>
    </w:tbl>
    <w:p w14:paraId="467CF561" w14:textId="01904A72" w:rsidR="000C624C" w:rsidRDefault="000C624C" w:rsidP="0080405F">
      <w:pPr>
        <w:pStyle w:val="AppendixHead2"/>
        <w:spacing w:before="0" w:after="0"/>
        <w:rPr>
          <w:lang w:val="en-CA"/>
        </w:rPr>
        <w:sectPr w:rsidR="000C624C" w:rsidSect="001D3D7C">
          <w:headerReference w:type="default" r:id="rId114"/>
          <w:footerReference w:type="default" r:id="rId115"/>
          <w:pgSz w:w="15840" w:h="12240" w:orient="landscape" w:code="1"/>
          <w:pgMar w:top="1800" w:right="1440" w:bottom="1440" w:left="1440" w:header="720" w:footer="720" w:gutter="0"/>
          <w:pgNumType w:chapStyle="7" w:chapSep="enDash"/>
          <w:cols w:space="720"/>
        </w:sectPr>
      </w:pPr>
    </w:p>
    <w:p w14:paraId="42DE73D0" w14:textId="738E2516" w:rsidR="00DD3FA6" w:rsidRPr="00DD3FA6" w:rsidRDefault="007F13D6" w:rsidP="00DD3FA6">
      <w:pPr>
        <w:pStyle w:val="AppendixHead2"/>
        <w:spacing w:before="600"/>
        <w:rPr>
          <w:lang w:val="en-CA"/>
        </w:rPr>
      </w:pPr>
      <w:r>
        <w:rPr>
          <w:lang w:val="en-CA"/>
        </w:rPr>
        <w:t xml:space="preserve">Repealed - </w:t>
      </w:r>
      <w:r w:rsidR="00DD3FA6" w:rsidRPr="00DD3FA6">
        <w:rPr>
          <w:lang w:val="en-CA"/>
        </w:rPr>
        <w:t>Fair Hydro Act, 2017</w:t>
      </w:r>
    </w:p>
    <w:p w14:paraId="6B0DC9C7" w14:textId="02E46F9A" w:rsidR="00DD3FA6" w:rsidRDefault="00DD3FA6" w:rsidP="00DD3FA6">
      <w:r>
        <w:t xml:space="preserve">The following provisions of the </w:t>
      </w:r>
      <w:r w:rsidRPr="0021584F">
        <w:rPr>
          <w:i/>
        </w:rPr>
        <w:t>Fair Hydro Act, 2017</w:t>
      </w:r>
      <w:r>
        <w:t xml:space="preserve"> were repealed effective November 1, 2019.</w:t>
      </w:r>
      <w:r w:rsidR="004B5A12">
        <w:t xml:space="preserve">  Please refer to sections </w:t>
      </w:r>
      <w:r w:rsidR="007F13D6">
        <w:t>1.6.7.7 (Regulated Price Plan) and 1.6.33 (Fair Hydro Act, 2017) for current provisions.</w:t>
      </w:r>
    </w:p>
    <w:p w14:paraId="01E84CE6" w14:textId="77777777" w:rsidR="007F13D6" w:rsidRDefault="007F13D6" w:rsidP="004B5A12">
      <w:pPr>
        <w:pStyle w:val="BodyText"/>
      </w:pPr>
    </w:p>
    <w:p w14:paraId="436B3AA9" w14:textId="39C7E929" w:rsidR="007F13D6" w:rsidRDefault="007F13D6" w:rsidP="007F13D6">
      <w:pPr>
        <w:pStyle w:val="AppendixHead3"/>
        <w:numPr>
          <w:ilvl w:val="3"/>
          <w:numId w:val="6"/>
        </w:numPr>
        <w:ind w:left="1080"/>
      </w:pPr>
      <w:r>
        <w:t>Ontario Fair Hydro Plan RPP Consumer Discount</w:t>
      </w:r>
    </w:p>
    <w:p w14:paraId="10FE7759" w14:textId="4A740620" w:rsidR="004B5A12" w:rsidRDefault="004B5A12" w:rsidP="004B5A12">
      <w:pPr>
        <w:pStyle w:val="BodyText"/>
      </w:pPr>
      <w:r>
        <w:t xml:space="preserve">We used </w:t>
      </w:r>
      <w:r>
        <w:rPr>
          <w:i/>
        </w:rPr>
        <w:t>charge type 1142</w:t>
      </w:r>
      <w:r>
        <w:t xml:space="preserve"> “</w:t>
      </w:r>
      <w:r w:rsidRPr="004B5A12">
        <w:t>Ontario Fair Hydro Plan Eligible RPP Consumer Discount Settlement Amount</w:t>
      </w:r>
      <w:r>
        <w:t>”</w:t>
      </w:r>
      <w:r>
        <w:rPr>
          <w:i/>
        </w:rPr>
        <w:t xml:space="preserve"> </w:t>
      </w:r>
      <w:r>
        <w:t xml:space="preserve">for processing </w:t>
      </w:r>
      <w:r>
        <w:rPr>
          <w:i/>
        </w:rPr>
        <w:t>distributor</w:t>
      </w:r>
      <w:r>
        <w:t xml:space="preserve"> submissions.  The corresponding setoff, </w:t>
      </w:r>
      <w:r>
        <w:rPr>
          <w:i/>
        </w:rPr>
        <w:t>charge type</w:t>
      </w:r>
      <w:r>
        <w:t xml:space="preserve"> 1192 “</w:t>
      </w:r>
      <w:r w:rsidR="007F13D6" w:rsidRPr="007F13D6">
        <w:t>Ontario Fair Hydro Plan Eligible RPP</w:t>
      </w:r>
      <w:r w:rsidR="007F13D6">
        <w:t xml:space="preserve"> </w:t>
      </w:r>
      <w:r w:rsidR="007F13D6" w:rsidRPr="007F13D6">
        <w:t>Consumer Discount Balancing Amount</w:t>
      </w:r>
      <w:r>
        <w:t xml:space="preserve">” </w:t>
      </w:r>
      <w:r w:rsidR="007F13D6">
        <w:t>was</w:t>
      </w:r>
      <w:r>
        <w:t xml:space="preserve"> entered on the IESO’s </w:t>
      </w:r>
      <w:r>
        <w:rPr>
          <w:i/>
        </w:rPr>
        <w:t>preliminary</w:t>
      </w:r>
      <w:r>
        <w:t xml:space="preserve"> </w:t>
      </w:r>
      <w:r>
        <w:rPr>
          <w:i/>
        </w:rPr>
        <w:t xml:space="preserve">settlement statement </w:t>
      </w:r>
      <w:r>
        <w:t xml:space="preserve">and </w:t>
      </w:r>
      <w:r>
        <w:rPr>
          <w:i/>
        </w:rPr>
        <w:t>final settlement statement</w:t>
      </w:r>
      <w:r>
        <w:t xml:space="preserve"> for the last </w:t>
      </w:r>
      <w:r>
        <w:rPr>
          <w:i/>
        </w:rPr>
        <w:t xml:space="preserve">trading day </w:t>
      </w:r>
      <w:r>
        <w:t>of the month to balance the market.</w:t>
      </w:r>
    </w:p>
    <w:p w14:paraId="62D4A83F" w14:textId="5443A4D6" w:rsidR="00AA7E91" w:rsidRDefault="00AA7E91" w:rsidP="00DD3FA6"/>
    <w:p w14:paraId="0B02C19F" w14:textId="77777777" w:rsidR="00DD3FA6" w:rsidRDefault="00DD3FA6" w:rsidP="00DD3FA6">
      <w:pPr>
        <w:pStyle w:val="AppendixHead3"/>
        <w:numPr>
          <w:ilvl w:val="3"/>
          <w:numId w:val="6"/>
        </w:numPr>
        <w:ind w:left="1080"/>
      </w:pPr>
      <w:r>
        <w:t>Global Adjustment Modifier</w:t>
      </w:r>
    </w:p>
    <w:p w14:paraId="03CA9AA7" w14:textId="77777777" w:rsidR="00DD3FA6" w:rsidRDefault="00DD3FA6" w:rsidP="00DD3FA6">
      <w:pPr>
        <w:pStyle w:val="BodyText"/>
        <w:rPr>
          <w:szCs w:val="22"/>
        </w:rPr>
      </w:pPr>
      <w:r>
        <w:rPr>
          <w:szCs w:val="22"/>
        </w:rPr>
        <w:t xml:space="preserve">Under </w:t>
      </w:r>
      <w:r w:rsidRPr="00950176">
        <w:rPr>
          <w:szCs w:val="22"/>
        </w:rPr>
        <w:t xml:space="preserve">the </w:t>
      </w:r>
      <w:r w:rsidRPr="00950176">
        <w:rPr>
          <w:i/>
          <w:szCs w:val="22"/>
        </w:rPr>
        <w:t>Fair Hydro Act, 2017</w:t>
      </w:r>
      <w:r w:rsidRPr="00950176">
        <w:rPr>
          <w:szCs w:val="22"/>
        </w:rPr>
        <w:t>, certain</w:t>
      </w:r>
      <w:r>
        <w:rPr>
          <w:szCs w:val="22"/>
        </w:rPr>
        <w:t xml:space="preserve"> specified </w:t>
      </w:r>
      <w:r w:rsidRPr="000C68F9">
        <w:rPr>
          <w:i/>
          <w:szCs w:val="22"/>
        </w:rPr>
        <w:t>consumers</w:t>
      </w:r>
      <w:r>
        <w:rPr>
          <w:szCs w:val="22"/>
        </w:rPr>
        <w:t xml:space="preserve"> who are not regulated rate consumers are entitled to an adjustment to the Global Adjustment (GA) amounts they pay.  This adjustment, known as the GA Modifier, is implemented as a dollar-per-megawatt ($/MWh) credit applied to the consumer based on the amount of electricity consumed. The GA Modifier rate is set by the OEB, and is available on IESO’s website.</w:t>
      </w:r>
    </w:p>
    <w:p w14:paraId="0E9B9A64" w14:textId="77777777" w:rsidR="00DD3FA6" w:rsidRPr="00C91D67" w:rsidRDefault="00DD3FA6" w:rsidP="00DD3FA6">
      <w:pPr>
        <w:pStyle w:val="BodyText"/>
        <w:rPr>
          <w:szCs w:val="22"/>
        </w:rPr>
      </w:pPr>
      <w:r w:rsidRPr="00F656C1">
        <w:rPr>
          <w:iCs/>
          <w:szCs w:val="22"/>
        </w:rPr>
        <w:t>Licensed</w:t>
      </w:r>
      <w:r>
        <w:rPr>
          <w:i/>
          <w:iCs/>
          <w:szCs w:val="22"/>
        </w:rPr>
        <w:t xml:space="preserve"> </w:t>
      </w:r>
      <w:r w:rsidRPr="00F656C1">
        <w:rPr>
          <w:i/>
          <w:iCs/>
          <w:szCs w:val="22"/>
        </w:rPr>
        <w:t>distributors</w:t>
      </w:r>
      <w:r w:rsidRPr="00B4335C">
        <w:rPr>
          <w:i/>
          <w:iCs/>
          <w:szCs w:val="22"/>
        </w:rPr>
        <w:t xml:space="preserve"> </w:t>
      </w:r>
      <w:r w:rsidRPr="00B4335C">
        <w:rPr>
          <w:szCs w:val="22"/>
        </w:rPr>
        <w:t>and unit sub-</w:t>
      </w:r>
      <w:r w:rsidRPr="00B4335C">
        <w:rPr>
          <w:i/>
          <w:iCs/>
          <w:szCs w:val="22"/>
        </w:rPr>
        <w:t xml:space="preserve">meter </w:t>
      </w:r>
      <w:r w:rsidRPr="00B4335C">
        <w:rPr>
          <w:szCs w:val="22"/>
        </w:rPr>
        <w:t xml:space="preserve">providers </w:t>
      </w:r>
      <w:r>
        <w:rPr>
          <w:szCs w:val="22"/>
        </w:rPr>
        <w:t xml:space="preserve">that are </w:t>
      </w:r>
      <w:r w:rsidRPr="00F656C1">
        <w:rPr>
          <w:i/>
          <w:szCs w:val="22"/>
        </w:rPr>
        <w:t>market participants</w:t>
      </w:r>
      <w:r>
        <w:rPr>
          <w:szCs w:val="22"/>
        </w:rPr>
        <w:t xml:space="preserve"> </w:t>
      </w:r>
      <w:r w:rsidRPr="00B4335C">
        <w:rPr>
          <w:szCs w:val="22"/>
        </w:rPr>
        <w:t>must submit their claims for reimbursement</w:t>
      </w:r>
      <w:r>
        <w:rPr>
          <w:szCs w:val="22"/>
        </w:rPr>
        <w:t xml:space="preserve"> of the GA Modifier credits paid</w:t>
      </w:r>
      <w:r w:rsidRPr="00B4335C">
        <w:rPr>
          <w:szCs w:val="22"/>
        </w:rPr>
        <w:t xml:space="preserve"> to</w:t>
      </w:r>
      <w:r>
        <w:rPr>
          <w:szCs w:val="22"/>
        </w:rPr>
        <w:t xml:space="preserve"> their eligible customers.</w:t>
      </w:r>
      <w:r w:rsidRPr="00B4335C">
        <w:rPr>
          <w:szCs w:val="22"/>
        </w:rPr>
        <w:t xml:space="preserve"> </w:t>
      </w:r>
      <w:r>
        <w:rPr>
          <w:szCs w:val="22"/>
        </w:rPr>
        <w:t xml:space="preserve"> This claim must be submitted </w:t>
      </w:r>
      <w:r w:rsidRPr="00B4335C">
        <w:rPr>
          <w:szCs w:val="22"/>
        </w:rPr>
        <w:t>monthly</w:t>
      </w:r>
      <w:r>
        <w:rPr>
          <w:szCs w:val="22"/>
        </w:rPr>
        <w:t xml:space="preserve"> to the IESO</w:t>
      </w:r>
      <w:r w:rsidRPr="00B4335C">
        <w:rPr>
          <w:szCs w:val="22"/>
        </w:rPr>
        <w:t xml:space="preserve"> no later than the fourth </w:t>
      </w:r>
      <w:r w:rsidRPr="006F60B3">
        <w:rPr>
          <w:i/>
          <w:szCs w:val="22"/>
        </w:rPr>
        <w:t>business day</w:t>
      </w:r>
      <w:r w:rsidRPr="00B4335C">
        <w:rPr>
          <w:szCs w:val="22"/>
        </w:rPr>
        <w:t xml:space="preserve"> after the last </w:t>
      </w:r>
      <w:r w:rsidRPr="00B4335C">
        <w:rPr>
          <w:i/>
          <w:iCs/>
          <w:szCs w:val="22"/>
        </w:rPr>
        <w:t xml:space="preserve">trading day </w:t>
      </w:r>
      <w:r w:rsidRPr="00B4335C">
        <w:rPr>
          <w:szCs w:val="22"/>
        </w:rPr>
        <w:t xml:space="preserve">of the month. </w:t>
      </w:r>
      <w:r>
        <w:rPr>
          <w:szCs w:val="22"/>
        </w:rPr>
        <w:t xml:space="preserve"> </w:t>
      </w:r>
      <w:r w:rsidRPr="00B4335C">
        <w:rPr>
          <w:szCs w:val="22"/>
        </w:rPr>
        <w:t xml:space="preserve">The </w:t>
      </w:r>
      <w:r w:rsidRPr="00B4335C">
        <w:rPr>
          <w:i/>
          <w:iCs/>
          <w:szCs w:val="22"/>
        </w:rPr>
        <w:t>settlement</w:t>
      </w:r>
      <w:r w:rsidRPr="009C1F3D">
        <w:rPr>
          <w:i/>
          <w:iCs/>
          <w:szCs w:val="22"/>
        </w:rPr>
        <w:t xml:space="preserve"> </w:t>
      </w:r>
      <w:r w:rsidRPr="009C1F3D">
        <w:rPr>
          <w:i/>
          <w:szCs w:val="22"/>
        </w:rPr>
        <w:t>amount</w:t>
      </w:r>
      <w:r w:rsidRPr="00B4335C">
        <w:rPr>
          <w:szCs w:val="22"/>
        </w:rPr>
        <w:t xml:space="preserve"> for </w:t>
      </w:r>
      <w:r>
        <w:rPr>
          <w:szCs w:val="22"/>
        </w:rPr>
        <w:t xml:space="preserve">licensed </w:t>
      </w:r>
      <w:r w:rsidRPr="00B4335C">
        <w:rPr>
          <w:i/>
          <w:iCs/>
          <w:szCs w:val="22"/>
        </w:rPr>
        <w:t xml:space="preserve">distributors </w:t>
      </w:r>
      <w:r w:rsidRPr="00B4335C">
        <w:rPr>
          <w:szCs w:val="22"/>
        </w:rPr>
        <w:t>and unit sub-</w:t>
      </w:r>
      <w:r w:rsidRPr="00B4335C">
        <w:rPr>
          <w:i/>
          <w:iCs/>
          <w:szCs w:val="22"/>
        </w:rPr>
        <w:t xml:space="preserve">meter </w:t>
      </w:r>
      <w:r w:rsidRPr="00B4335C">
        <w:rPr>
          <w:szCs w:val="22"/>
        </w:rPr>
        <w:t xml:space="preserve">providers will be included on the </w:t>
      </w:r>
      <w:r w:rsidRPr="00B4335C">
        <w:rPr>
          <w:i/>
          <w:iCs/>
          <w:szCs w:val="22"/>
        </w:rPr>
        <w:t xml:space="preserve">preliminary settlement statement </w:t>
      </w:r>
      <w:r w:rsidRPr="00B4335C">
        <w:rPr>
          <w:szCs w:val="22"/>
        </w:rPr>
        <w:t xml:space="preserve">and </w:t>
      </w:r>
      <w:r w:rsidRPr="00B4335C">
        <w:rPr>
          <w:i/>
          <w:iCs/>
          <w:szCs w:val="22"/>
        </w:rPr>
        <w:t xml:space="preserve">final settlement statement </w:t>
      </w:r>
      <w:r w:rsidRPr="00B4335C">
        <w:rPr>
          <w:szCs w:val="22"/>
        </w:rPr>
        <w:t xml:space="preserve">for the last </w:t>
      </w:r>
      <w:r w:rsidRPr="00B4335C">
        <w:rPr>
          <w:i/>
          <w:iCs/>
          <w:szCs w:val="22"/>
        </w:rPr>
        <w:t xml:space="preserve">trading day </w:t>
      </w:r>
      <w:r w:rsidRPr="00B4335C">
        <w:rPr>
          <w:szCs w:val="22"/>
        </w:rPr>
        <w:t xml:space="preserve">of the month under </w:t>
      </w:r>
      <w:r w:rsidRPr="00B4335C">
        <w:rPr>
          <w:i/>
          <w:iCs/>
          <w:szCs w:val="22"/>
        </w:rPr>
        <w:t xml:space="preserve">charge type </w:t>
      </w:r>
      <w:r>
        <w:rPr>
          <w:szCs w:val="22"/>
        </w:rPr>
        <w:t>1143</w:t>
      </w:r>
      <w:r w:rsidRPr="00B4335C">
        <w:rPr>
          <w:szCs w:val="22"/>
        </w:rPr>
        <w:t xml:space="preserve"> “</w:t>
      </w:r>
      <w:r w:rsidRPr="00DC306D">
        <w:rPr>
          <w:szCs w:val="22"/>
        </w:rPr>
        <w:t>Ontario Fair Hydro Plan Eligible Non-RPP Consumer Discount Settlement Amount</w:t>
      </w:r>
      <w:r w:rsidRPr="00B4335C">
        <w:rPr>
          <w:szCs w:val="22"/>
        </w:rPr>
        <w:t xml:space="preserve">”. </w:t>
      </w:r>
      <w:r>
        <w:rPr>
          <w:szCs w:val="22"/>
        </w:rPr>
        <w:t xml:space="preserve"> </w:t>
      </w:r>
      <w:r w:rsidRPr="00B4335C">
        <w:rPr>
          <w:szCs w:val="22"/>
        </w:rPr>
        <w:t xml:space="preserve">The corresponding set-off is </w:t>
      </w:r>
      <w:r w:rsidRPr="00B4335C">
        <w:rPr>
          <w:i/>
          <w:iCs/>
          <w:szCs w:val="22"/>
        </w:rPr>
        <w:t xml:space="preserve">charge type </w:t>
      </w:r>
      <w:r>
        <w:rPr>
          <w:szCs w:val="22"/>
        </w:rPr>
        <w:t>1193</w:t>
      </w:r>
      <w:r w:rsidRPr="00B4335C">
        <w:rPr>
          <w:szCs w:val="22"/>
        </w:rPr>
        <w:t xml:space="preserve"> “</w:t>
      </w:r>
      <w:r w:rsidRPr="00DC306D">
        <w:rPr>
          <w:szCs w:val="22"/>
        </w:rPr>
        <w:t>Ontario Fair Hydro Plan Eligible Non-RPP Consumer Discount Balancing Amount</w:t>
      </w:r>
      <w:r w:rsidRPr="00B4335C">
        <w:rPr>
          <w:szCs w:val="22"/>
        </w:rPr>
        <w:t>”.</w:t>
      </w:r>
    </w:p>
    <w:p w14:paraId="027E97C4" w14:textId="77777777" w:rsidR="00DD3FA6" w:rsidRDefault="00DD3FA6" w:rsidP="00DD3FA6">
      <w:pPr>
        <w:pStyle w:val="AppendixHead3"/>
        <w:numPr>
          <w:ilvl w:val="3"/>
          <w:numId w:val="6"/>
        </w:numPr>
        <w:ind w:left="1080"/>
      </w:pPr>
      <w:r>
        <w:t>Financing Entity</w:t>
      </w:r>
    </w:p>
    <w:p w14:paraId="4D90FED6" w14:textId="77777777" w:rsidR="00DD3FA6" w:rsidRDefault="00DD3FA6" w:rsidP="00DD3FA6">
      <w:pPr>
        <w:pStyle w:val="BodyText"/>
        <w:rPr>
          <w:szCs w:val="22"/>
        </w:rPr>
      </w:pPr>
      <w:r>
        <w:rPr>
          <w:szCs w:val="22"/>
        </w:rPr>
        <w:t>T</w:t>
      </w:r>
      <w:r w:rsidRPr="00896CE1">
        <w:rPr>
          <w:szCs w:val="22"/>
        </w:rPr>
        <w:t>wo additional charge types have been created to</w:t>
      </w:r>
      <w:r>
        <w:rPr>
          <w:szCs w:val="22"/>
        </w:rPr>
        <w:t xml:space="preserve"> settle the</w:t>
      </w:r>
      <w:r w:rsidRPr="00896CE1">
        <w:rPr>
          <w:szCs w:val="22"/>
        </w:rPr>
        <w:t xml:space="preserve"> administrative costs and interest incurred by the "financing entity" in funding the</w:t>
      </w:r>
      <w:r>
        <w:rPr>
          <w:szCs w:val="22"/>
        </w:rPr>
        <w:t xml:space="preserve"> initiatives under the </w:t>
      </w:r>
      <w:r w:rsidRPr="00D36543">
        <w:rPr>
          <w:i/>
          <w:szCs w:val="22"/>
        </w:rPr>
        <w:t>Fair Hydro Act, 2017</w:t>
      </w:r>
      <w:r w:rsidRPr="00896CE1">
        <w:rPr>
          <w:szCs w:val="22"/>
        </w:rPr>
        <w:t xml:space="preserve">. </w:t>
      </w:r>
    </w:p>
    <w:p w14:paraId="4E8D4045" w14:textId="77777777" w:rsidR="00DD3FA6" w:rsidRPr="00C91D67" w:rsidRDefault="00DD3FA6" w:rsidP="00DD3FA6">
      <w:pPr>
        <w:pStyle w:val="BodyText"/>
        <w:rPr>
          <w:szCs w:val="22"/>
        </w:rPr>
      </w:pPr>
      <w:r w:rsidRPr="006770B8">
        <w:rPr>
          <w:i/>
          <w:szCs w:val="22"/>
        </w:rPr>
        <w:t>Charge types</w:t>
      </w:r>
      <w:r w:rsidRPr="00896CE1">
        <w:rPr>
          <w:szCs w:val="22"/>
        </w:rPr>
        <w:t xml:space="preserve"> 1144, “Ontario Fair Hydro Plan Financing Entity Amount” and </w:t>
      </w:r>
      <w:r w:rsidRPr="006770B8">
        <w:rPr>
          <w:i/>
          <w:szCs w:val="22"/>
        </w:rPr>
        <w:t>charge type</w:t>
      </w:r>
      <w:r w:rsidRPr="00896CE1">
        <w:rPr>
          <w:szCs w:val="22"/>
        </w:rPr>
        <w:t xml:space="preserve"> 1145, “Ontario Fair Hydro Plan Financing Entity Interest” have been created for the purpose of settling these amounts. These amounts will be balanced to an IESO variance account under </w:t>
      </w:r>
      <w:r w:rsidRPr="006770B8">
        <w:rPr>
          <w:i/>
          <w:szCs w:val="22"/>
        </w:rPr>
        <w:t>charge type</w:t>
      </w:r>
      <w:r w:rsidRPr="00896CE1">
        <w:rPr>
          <w:szCs w:val="22"/>
        </w:rPr>
        <w:t xml:space="preserve"> 1194, “Ontario Fair Hydro Plan Financing Entity Balancing Amount” and charge</w:t>
      </w:r>
      <w:r w:rsidRPr="006770B8">
        <w:rPr>
          <w:i/>
          <w:szCs w:val="22"/>
        </w:rPr>
        <w:t xml:space="preserve"> type</w:t>
      </w:r>
      <w:r w:rsidRPr="00896CE1">
        <w:rPr>
          <w:szCs w:val="22"/>
        </w:rPr>
        <w:t xml:space="preserve"> 1195, “Ontario Fair Hydro Plan Financing Entity Balancing Interest”.</w:t>
      </w:r>
    </w:p>
    <w:p w14:paraId="1BE77075" w14:textId="77777777" w:rsidR="00DD3FA6" w:rsidRDefault="00DD3FA6" w:rsidP="00DD3FA6">
      <w:pPr>
        <w:pStyle w:val="AppendixHead3"/>
        <w:numPr>
          <w:ilvl w:val="3"/>
          <w:numId w:val="6"/>
        </w:numPr>
        <w:ind w:left="1080"/>
      </w:pPr>
      <w:r>
        <w:t>Regulatory Asset</w:t>
      </w:r>
    </w:p>
    <w:p w14:paraId="18D206BB" w14:textId="77777777" w:rsidR="00DD3FA6" w:rsidRPr="006770B8" w:rsidRDefault="00DD3FA6" w:rsidP="00DD3FA6">
      <w:pPr>
        <w:pStyle w:val="BodyText"/>
        <w:rPr>
          <w:szCs w:val="22"/>
        </w:rPr>
      </w:pPr>
      <w:r w:rsidRPr="006770B8">
        <w:rPr>
          <w:szCs w:val="22"/>
        </w:rPr>
        <w:t xml:space="preserve">As per </w:t>
      </w:r>
      <w:r w:rsidRPr="00950176">
        <w:rPr>
          <w:szCs w:val="22"/>
        </w:rPr>
        <w:t xml:space="preserve">the </w:t>
      </w:r>
      <w:r w:rsidRPr="00950176">
        <w:rPr>
          <w:i/>
          <w:szCs w:val="22"/>
        </w:rPr>
        <w:t xml:space="preserve">Fair Hydro </w:t>
      </w:r>
      <w:r w:rsidRPr="008E3A8B">
        <w:rPr>
          <w:i/>
          <w:szCs w:val="22"/>
        </w:rPr>
        <w:t>Act</w:t>
      </w:r>
      <w:r w:rsidRPr="008E3A8B">
        <w:rPr>
          <w:szCs w:val="22"/>
        </w:rPr>
        <w:t>, 2017, the IESO</w:t>
      </w:r>
      <w:r w:rsidRPr="006770B8">
        <w:rPr>
          <w:szCs w:val="22"/>
        </w:rPr>
        <w:t xml:space="preserve"> may</w:t>
      </w:r>
      <w:r>
        <w:rPr>
          <w:szCs w:val="22"/>
        </w:rPr>
        <w:t>, from time-to-</w:t>
      </w:r>
      <w:r w:rsidRPr="006770B8">
        <w:rPr>
          <w:szCs w:val="22"/>
        </w:rPr>
        <w:t>time</w:t>
      </w:r>
      <w:r>
        <w:rPr>
          <w:szCs w:val="22"/>
        </w:rPr>
        <w:t>,</w:t>
      </w:r>
      <w:r w:rsidRPr="006770B8">
        <w:rPr>
          <w:szCs w:val="22"/>
        </w:rPr>
        <w:t xml:space="preserve"> transfer a specified portion of the </w:t>
      </w:r>
      <w:r>
        <w:rPr>
          <w:szCs w:val="22"/>
        </w:rPr>
        <w:t>“</w:t>
      </w:r>
      <w:r w:rsidRPr="006770B8">
        <w:rPr>
          <w:szCs w:val="22"/>
        </w:rPr>
        <w:t>regulatory asset</w:t>
      </w:r>
      <w:r>
        <w:rPr>
          <w:szCs w:val="22"/>
        </w:rPr>
        <w:t>” established through the Act</w:t>
      </w:r>
      <w:r w:rsidRPr="006770B8">
        <w:rPr>
          <w:szCs w:val="22"/>
        </w:rPr>
        <w:t xml:space="preserve"> to a financing entity; and an agreement between the IESO and a financing entity in relation to the transfer of a specified portion of the </w:t>
      </w:r>
      <w:r>
        <w:rPr>
          <w:szCs w:val="22"/>
        </w:rPr>
        <w:t>“</w:t>
      </w:r>
      <w:r w:rsidRPr="006770B8">
        <w:rPr>
          <w:szCs w:val="22"/>
        </w:rPr>
        <w:t>regulatory asset</w:t>
      </w:r>
      <w:r>
        <w:rPr>
          <w:szCs w:val="22"/>
        </w:rPr>
        <w:t>”</w:t>
      </w:r>
      <w:r w:rsidRPr="006770B8">
        <w:rPr>
          <w:szCs w:val="22"/>
        </w:rPr>
        <w:t xml:space="preserve"> shall provide for consideration of a payment by the financing entity to the IESO in an amount equal to the amount of the specified portion. </w:t>
      </w:r>
    </w:p>
    <w:p w14:paraId="4C58FFB0" w14:textId="22A47DDE" w:rsidR="00DD3FA6" w:rsidRDefault="00DD3FA6" w:rsidP="00DD3FA6">
      <w:pPr>
        <w:pStyle w:val="BodyText"/>
        <w:autoSpaceDE w:val="0"/>
        <w:autoSpaceDN w:val="0"/>
        <w:adjustRightInd w:val="0"/>
        <w:rPr>
          <w:szCs w:val="22"/>
        </w:rPr>
      </w:pPr>
      <w:r w:rsidRPr="006770B8">
        <w:rPr>
          <w:i/>
          <w:szCs w:val="22"/>
        </w:rPr>
        <w:t>Charge type</w:t>
      </w:r>
      <w:r w:rsidRPr="006770B8">
        <w:rPr>
          <w:szCs w:val="22"/>
        </w:rPr>
        <w:t xml:space="preserve"> 6000 "Ontario Fair Hydro Plan - Regulatory Asset Transfer Amount" is the amount debited to the financing entity and </w:t>
      </w:r>
      <w:r w:rsidRPr="006770B8">
        <w:rPr>
          <w:i/>
          <w:szCs w:val="22"/>
        </w:rPr>
        <w:t>charge type</w:t>
      </w:r>
      <w:r>
        <w:rPr>
          <w:szCs w:val="22"/>
        </w:rPr>
        <w:t xml:space="preserve"> </w:t>
      </w:r>
      <w:r w:rsidRPr="006770B8">
        <w:rPr>
          <w:szCs w:val="22"/>
        </w:rPr>
        <w:t>6050 "Ontario Fair Hydro Plan - Regulatory Asset Transfer Balancing Amount" is the amount credited to the IESO and is used to reduce the variance account.</w:t>
      </w:r>
    </w:p>
    <w:p w14:paraId="465EBEE0" w14:textId="77777777" w:rsidR="00C71552" w:rsidRDefault="00C71552" w:rsidP="00C71552">
      <w:pPr>
        <w:pStyle w:val="AppendixHead2"/>
        <w:spacing w:before="600"/>
        <w:rPr>
          <w:lang w:val="en-CA"/>
        </w:rPr>
      </w:pPr>
      <w:r>
        <w:rPr>
          <w:lang w:val="en-CA"/>
        </w:rPr>
        <w:t>Debt Retirement Charge (DRC)</w:t>
      </w:r>
    </w:p>
    <w:p w14:paraId="3BCD7CC1" w14:textId="77777777" w:rsidR="00C71552" w:rsidRDefault="00C71552" w:rsidP="00C71552">
      <w:pPr>
        <w:pStyle w:val="BodyText"/>
        <w:rPr>
          <w:lang w:val="en-CA"/>
        </w:rPr>
      </w:pPr>
      <w:r>
        <w:rPr>
          <w:lang w:val="en-CA"/>
        </w:rPr>
        <w:t xml:space="preserve">The </w:t>
      </w:r>
      <w:r>
        <w:rPr>
          <w:i/>
          <w:lang w:val="en-CA"/>
        </w:rPr>
        <w:t>debt retirement charge</w:t>
      </w:r>
      <w:r>
        <w:rPr>
          <w:lang w:val="en-CA"/>
        </w:rPr>
        <w:t xml:space="preserve"> (DRC) is charged on the </w:t>
      </w:r>
      <w:r>
        <w:rPr>
          <w:i/>
          <w:lang w:val="en-CA"/>
        </w:rPr>
        <w:t>real-time market settlement statement</w:t>
      </w:r>
      <w:r>
        <w:rPr>
          <w:lang w:val="en-CA"/>
        </w:rPr>
        <w:t xml:space="preserve"> to all wholesale </w:t>
      </w:r>
      <w:r>
        <w:rPr>
          <w:i/>
          <w:lang w:val="en-CA"/>
        </w:rPr>
        <w:t>market participants</w:t>
      </w:r>
      <w:r>
        <w:rPr>
          <w:lang w:val="en-CA"/>
        </w:rPr>
        <w:t xml:space="preserve"> withdrawing </w:t>
      </w:r>
      <w:r w:rsidRPr="00DA3379">
        <w:rPr>
          <w:i/>
          <w:lang w:val="en-CA"/>
        </w:rPr>
        <w:t>energy</w:t>
      </w:r>
      <w:r>
        <w:rPr>
          <w:lang w:val="en-CA"/>
        </w:rPr>
        <w:t xml:space="preserve"> from the </w:t>
      </w:r>
      <w:r>
        <w:rPr>
          <w:i/>
          <w:lang w:val="en-CA"/>
        </w:rPr>
        <w:t>IESO-controlled grid</w:t>
      </w:r>
      <w:r>
        <w:rPr>
          <w:lang w:val="en-CA"/>
        </w:rPr>
        <w:t xml:space="preserve">.  The charge is based on allocated quantity of </w:t>
      </w:r>
      <w:r>
        <w:rPr>
          <w:i/>
          <w:lang w:val="en-CA"/>
        </w:rPr>
        <w:t>energy</w:t>
      </w:r>
      <w:r>
        <w:rPr>
          <w:lang w:val="en-CA"/>
        </w:rPr>
        <w:t xml:space="preserve"> withdrawn (AQEW) at each </w:t>
      </w:r>
      <w:r>
        <w:rPr>
          <w:i/>
          <w:lang w:val="en-CA"/>
        </w:rPr>
        <w:t>delivery point</w:t>
      </w:r>
      <w:r>
        <w:rPr>
          <w:lang w:val="en-CA"/>
        </w:rPr>
        <w:t xml:space="preserve">.  We must collect and remit payment related to the </w:t>
      </w:r>
      <w:r>
        <w:rPr>
          <w:i/>
          <w:lang w:val="en-CA"/>
        </w:rPr>
        <w:t>debt retirement charge</w:t>
      </w:r>
      <w:r>
        <w:rPr>
          <w:lang w:val="en-CA"/>
        </w:rPr>
        <w:t xml:space="preserve"> from you as required by any </w:t>
      </w:r>
      <w:r w:rsidRPr="007136F0">
        <w:rPr>
          <w:lang w:val="en-CA"/>
        </w:rPr>
        <w:t>regulations</w:t>
      </w:r>
      <w:r>
        <w:rPr>
          <w:lang w:val="en-CA"/>
        </w:rPr>
        <w:t xml:space="preserve"> made under the “</w:t>
      </w:r>
      <w:r w:rsidRPr="00DA3379">
        <w:rPr>
          <w:i/>
          <w:lang w:val="en-CA"/>
        </w:rPr>
        <w:t>Electricity Act, 1998</w:t>
      </w:r>
      <w:r>
        <w:rPr>
          <w:lang w:val="en-CA"/>
        </w:rPr>
        <w:t>”.</w:t>
      </w:r>
    </w:p>
    <w:p w14:paraId="5537D65F" w14:textId="77777777" w:rsidR="00C71552" w:rsidRDefault="00C71552" w:rsidP="00C71552">
      <w:pPr>
        <w:pStyle w:val="AppendixHead3"/>
        <w:keepNext/>
        <w:rPr>
          <w:lang w:val="en-CA"/>
        </w:rPr>
      </w:pPr>
      <w:r w:rsidRPr="00925B69">
        <w:t>DRC</w:t>
      </w:r>
      <w:r>
        <w:rPr>
          <w:lang w:val="en-CA"/>
        </w:rPr>
        <w:t xml:space="preserve"> Exemption</w:t>
      </w:r>
    </w:p>
    <w:p w14:paraId="5A27E7AE" w14:textId="77777777" w:rsidR="00C71552" w:rsidRDefault="00C71552" w:rsidP="00C71552">
      <w:pPr>
        <w:pStyle w:val="BodyText"/>
        <w:rPr>
          <w:lang w:val="en-CA"/>
        </w:rPr>
      </w:pPr>
      <w:r>
        <w:rPr>
          <w:lang w:val="en-CA"/>
        </w:rPr>
        <w:t xml:space="preserve">The </w:t>
      </w:r>
      <w:r w:rsidRPr="007136F0">
        <w:rPr>
          <w:lang w:val="en-CA"/>
        </w:rPr>
        <w:t>regulation</w:t>
      </w:r>
      <w:r>
        <w:rPr>
          <w:lang w:val="en-CA"/>
        </w:rPr>
        <w:t>s</w:t>
      </w:r>
      <w:r w:rsidRPr="007136F0">
        <w:rPr>
          <w:lang w:val="en-CA"/>
        </w:rPr>
        <w:t xml:space="preserve"> </w:t>
      </w:r>
      <w:r>
        <w:rPr>
          <w:lang w:val="en-CA"/>
        </w:rPr>
        <w:t xml:space="preserve">allow for other collectors and certain other persons to provide </w:t>
      </w:r>
      <w:r w:rsidRPr="00DA3379">
        <w:rPr>
          <w:i/>
          <w:lang w:val="en-CA"/>
        </w:rPr>
        <w:t>exemption</w:t>
      </w:r>
      <w:r>
        <w:rPr>
          <w:lang w:val="en-CA"/>
        </w:rPr>
        <w:t xml:space="preserve"> certificates as described in:</w:t>
      </w:r>
    </w:p>
    <w:p w14:paraId="47EFF100" w14:textId="77777777" w:rsidR="00C71552" w:rsidRDefault="00C71552" w:rsidP="00C71552">
      <w:pPr>
        <w:pStyle w:val="BodyText"/>
        <w:numPr>
          <w:ilvl w:val="0"/>
          <w:numId w:val="52"/>
        </w:numPr>
        <w:rPr>
          <w:lang w:val="en-CA"/>
        </w:rPr>
      </w:pPr>
      <w:r>
        <w:rPr>
          <w:lang w:val="en-CA"/>
        </w:rPr>
        <w:t>“Ontario Regulation 493/01 and 494/01”; and</w:t>
      </w:r>
    </w:p>
    <w:p w14:paraId="5AFD7154" w14:textId="77777777" w:rsidR="00C71552" w:rsidRDefault="00C71552" w:rsidP="00C71552">
      <w:pPr>
        <w:pStyle w:val="BodyText"/>
        <w:numPr>
          <w:ilvl w:val="0"/>
          <w:numId w:val="52"/>
        </w:numPr>
        <w:rPr>
          <w:lang w:val="en-CA"/>
        </w:rPr>
      </w:pPr>
      <w:r>
        <w:rPr>
          <w:lang w:val="en-CA"/>
        </w:rPr>
        <w:t>information guidelines provided by the Ministry of Finance.</w:t>
      </w:r>
    </w:p>
    <w:p w14:paraId="47F185AC" w14:textId="77777777" w:rsidR="00C71552" w:rsidRDefault="00C71552" w:rsidP="00C71552">
      <w:pPr>
        <w:pStyle w:val="BodyText"/>
        <w:rPr>
          <w:lang w:val="en-CA"/>
        </w:rPr>
      </w:pPr>
      <w:r>
        <w:rPr>
          <w:lang w:val="en-CA"/>
        </w:rPr>
        <w:t>If eligible, you can apply to us to be exempt from our collection of the DRC:</w:t>
      </w:r>
    </w:p>
    <w:p w14:paraId="17A1EF61" w14:textId="77777777" w:rsidR="00C71552" w:rsidRDefault="00C71552" w:rsidP="00C71552">
      <w:pPr>
        <w:pStyle w:val="BodyText"/>
        <w:numPr>
          <w:ilvl w:val="0"/>
          <w:numId w:val="53"/>
        </w:numPr>
        <w:rPr>
          <w:lang w:val="en-CA"/>
        </w:rPr>
      </w:pPr>
      <w:r>
        <w:rPr>
          <w:lang w:val="en-CA"/>
        </w:rPr>
        <w:t xml:space="preserve">for </w:t>
      </w:r>
      <w:r>
        <w:rPr>
          <w:i/>
          <w:lang w:val="en-CA"/>
        </w:rPr>
        <w:t>energy</w:t>
      </w:r>
      <w:r>
        <w:rPr>
          <w:lang w:val="en-CA"/>
        </w:rPr>
        <w:t xml:space="preserve"> you withdraw for your specific </w:t>
      </w:r>
      <w:r>
        <w:rPr>
          <w:i/>
          <w:lang w:val="en-CA"/>
        </w:rPr>
        <w:t>delivery points</w:t>
      </w:r>
      <w:r>
        <w:rPr>
          <w:lang w:val="en-CA"/>
        </w:rPr>
        <w:t xml:space="preserve"> to which the </w:t>
      </w:r>
      <w:r w:rsidRPr="00DA3379">
        <w:rPr>
          <w:i/>
          <w:lang w:val="en-CA"/>
        </w:rPr>
        <w:t>exemption</w:t>
      </w:r>
      <w:r>
        <w:rPr>
          <w:lang w:val="en-CA"/>
        </w:rPr>
        <w:t xml:space="preserve"> applies; or</w:t>
      </w:r>
    </w:p>
    <w:p w14:paraId="3A691230" w14:textId="77777777" w:rsidR="00C71552" w:rsidRDefault="00C71552" w:rsidP="00C71552">
      <w:pPr>
        <w:pStyle w:val="BodyText"/>
        <w:numPr>
          <w:ilvl w:val="0"/>
          <w:numId w:val="53"/>
        </w:numPr>
        <w:rPr>
          <w:lang w:val="en-CA"/>
        </w:rPr>
      </w:pPr>
      <w:r>
        <w:rPr>
          <w:lang w:val="en-CA"/>
        </w:rPr>
        <w:t xml:space="preserve">to all </w:t>
      </w:r>
      <w:r>
        <w:rPr>
          <w:i/>
          <w:lang w:val="en-CA"/>
        </w:rPr>
        <w:t>delivery points</w:t>
      </w:r>
      <w:r>
        <w:rPr>
          <w:lang w:val="en-CA"/>
        </w:rPr>
        <w:t xml:space="preserve"> where you withdraw </w:t>
      </w:r>
      <w:r>
        <w:rPr>
          <w:i/>
          <w:lang w:val="en-CA"/>
        </w:rPr>
        <w:t>energy</w:t>
      </w:r>
      <w:r>
        <w:rPr>
          <w:lang w:val="en-CA"/>
        </w:rPr>
        <w:t>.</w:t>
      </w:r>
    </w:p>
    <w:p w14:paraId="6BEB8CE2" w14:textId="77777777" w:rsidR="00C71552" w:rsidRDefault="00C71552" w:rsidP="00C71552">
      <w:pPr>
        <w:pStyle w:val="BodyText"/>
        <w:rPr>
          <w:lang w:val="en-CA"/>
        </w:rPr>
      </w:pPr>
      <w:r>
        <w:rPr>
          <w:lang w:val="en-CA"/>
        </w:rPr>
        <w:t>If you wish to be exempt from our collection of the DRC, you should:</w:t>
      </w:r>
    </w:p>
    <w:p w14:paraId="4688A4F3" w14:textId="77777777" w:rsidR="00C71552" w:rsidRDefault="00C71552" w:rsidP="00C71552">
      <w:pPr>
        <w:pStyle w:val="BodyText"/>
        <w:numPr>
          <w:ilvl w:val="0"/>
          <w:numId w:val="54"/>
        </w:numPr>
        <w:rPr>
          <w:lang w:val="en-CA"/>
        </w:rPr>
      </w:pPr>
      <w:r>
        <w:rPr>
          <w:lang w:val="en-CA"/>
        </w:rPr>
        <w:t xml:space="preserve">complete the </w:t>
      </w:r>
      <w:r w:rsidRPr="00DA3379">
        <w:rPr>
          <w:i/>
          <w:lang w:val="en-CA"/>
        </w:rPr>
        <w:t>exemption</w:t>
      </w:r>
      <w:r>
        <w:rPr>
          <w:lang w:val="en-CA"/>
        </w:rPr>
        <w:t xml:space="preserve"> certificates as indicated in the </w:t>
      </w:r>
      <w:r w:rsidRPr="007136F0">
        <w:rPr>
          <w:lang w:val="en-CA"/>
        </w:rPr>
        <w:t>regulation</w:t>
      </w:r>
      <w:r>
        <w:rPr>
          <w:lang w:val="en-CA"/>
        </w:rPr>
        <w:t>; and</w:t>
      </w:r>
    </w:p>
    <w:p w14:paraId="032CD905" w14:textId="77777777" w:rsidR="00C71552" w:rsidRDefault="00C71552" w:rsidP="00C71552">
      <w:pPr>
        <w:pStyle w:val="BodyText"/>
        <w:numPr>
          <w:ilvl w:val="0"/>
          <w:numId w:val="54"/>
        </w:numPr>
        <w:rPr>
          <w:lang w:val="en-CA"/>
        </w:rPr>
      </w:pPr>
      <w:r>
        <w:rPr>
          <w:lang w:val="en-CA"/>
        </w:rPr>
        <w:t xml:space="preserve">submit the </w:t>
      </w:r>
      <w:r w:rsidRPr="00DA3379">
        <w:rPr>
          <w:i/>
          <w:lang w:val="en-CA"/>
        </w:rPr>
        <w:t>exemption</w:t>
      </w:r>
      <w:r>
        <w:rPr>
          <w:lang w:val="en-CA"/>
        </w:rPr>
        <w:t xml:space="preserve"> certificates by mail or courier to the address provided in the “Contact Us” section on our web site; write on the envelope, “</w:t>
      </w:r>
      <w:r>
        <w:rPr>
          <w:b/>
          <w:lang w:val="en-CA"/>
        </w:rPr>
        <w:t xml:space="preserve">Attention: </w:t>
      </w:r>
      <w:r>
        <w:rPr>
          <w:b/>
          <w:i/>
          <w:lang w:val="en-CA"/>
        </w:rPr>
        <w:t>Settlements</w:t>
      </w:r>
      <w:r>
        <w:rPr>
          <w:lang w:val="en-CA"/>
        </w:rPr>
        <w:t>”;</w:t>
      </w:r>
      <w:r>
        <w:rPr>
          <w:b/>
          <w:lang w:val="en-CA"/>
        </w:rPr>
        <w:t xml:space="preserve"> </w:t>
      </w:r>
      <w:r>
        <w:rPr>
          <w:lang w:val="en-CA"/>
        </w:rPr>
        <w:t>we</w:t>
      </w:r>
      <w:r>
        <w:rPr>
          <w:i/>
          <w:lang w:val="en-CA"/>
        </w:rPr>
        <w:t xml:space="preserve"> </w:t>
      </w:r>
      <w:r>
        <w:rPr>
          <w:lang w:val="en-CA"/>
        </w:rPr>
        <w:t>will acknowledge receipt of the certificate.</w:t>
      </w:r>
    </w:p>
    <w:p w14:paraId="6A8E4704" w14:textId="77777777" w:rsidR="00C71552" w:rsidRPr="006167B3" w:rsidRDefault="00C71552" w:rsidP="00C71552">
      <w:pPr>
        <w:pStyle w:val="AppendixHead3"/>
        <w:keepNext/>
        <w:rPr>
          <w:lang w:val="en-CA"/>
        </w:rPr>
      </w:pPr>
      <w:r w:rsidRPr="006167B3">
        <w:rPr>
          <w:lang w:val="en-CA"/>
        </w:rPr>
        <w:t>Reduced Debt Reduction Charge (DRC) Certification</w:t>
      </w:r>
    </w:p>
    <w:p w14:paraId="6F47591E" w14:textId="77777777" w:rsidR="00C71552" w:rsidRPr="006167B3" w:rsidRDefault="00C71552" w:rsidP="00C71552">
      <w:pPr>
        <w:pStyle w:val="BodyText"/>
        <w:rPr>
          <w:lang w:val="en-CA"/>
        </w:rPr>
      </w:pPr>
      <w:r w:rsidRPr="006167B3">
        <w:rPr>
          <w:lang w:val="en-CA"/>
        </w:rPr>
        <w:t xml:space="preserve">The regulation also identifies specific local utility service areas where </w:t>
      </w:r>
      <w:r w:rsidRPr="006167B3">
        <w:rPr>
          <w:i/>
          <w:lang w:val="en-CA"/>
        </w:rPr>
        <w:t>facilities</w:t>
      </w:r>
      <w:r w:rsidRPr="006167B3">
        <w:rPr>
          <w:lang w:val="en-CA"/>
        </w:rPr>
        <w:t xml:space="preserve"> are eligible for reduced DRC rates.</w:t>
      </w:r>
    </w:p>
    <w:p w14:paraId="1F32BDA0" w14:textId="77777777" w:rsidR="00C71552" w:rsidRPr="006167B3" w:rsidRDefault="00C71552" w:rsidP="00C71552">
      <w:pPr>
        <w:pStyle w:val="BodyText"/>
        <w:rPr>
          <w:lang w:val="en-CA"/>
        </w:rPr>
      </w:pPr>
      <w:r>
        <w:rPr>
          <w:lang w:val="en-CA"/>
        </w:rPr>
        <w:t>I</w:t>
      </w:r>
      <w:r w:rsidRPr="006167B3">
        <w:rPr>
          <w:lang w:val="en-CA"/>
        </w:rPr>
        <w:t xml:space="preserve">f your </w:t>
      </w:r>
      <w:r w:rsidRPr="006167B3">
        <w:rPr>
          <w:i/>
          <w:lang w:val="en-CA"/>
        </w:rPr>
        <w:t>facilities</w:t>
      </w:r>
      <w:r w:rsidRPr="006167B3">
        <w:rPr>
          <w:lang w:val="en-CA"/>
        </w:rPr>
        <w:t xml:space="preserve"> qualify for the reduced DRC rates</w:t>
      </w:r>
      <w:r>
        <w:rPr>
          <w:lang w:val="en-CA"/>
        </w:rPr>
        <w:t>:</w:t>
      </w:r>
    </w:p>
    <w:p w14:paraId="78A161FD" w14:textId="77777777" w:rsidR="00C71552" w:rsidRPr="006167B3" w:rsidRDefault="00C71552" w:rsidP="00C71552">
      <w:pPr>
        <w:pStyle w:val="BodyText"/>
        <w:numPr>
          <w:ilvl w:val="0"/>
          <w:numId w:val="55"/>
        </w:numPr>
        <w:rPr>
          <w:lang w:val="en-CA"/>
        </w:rPr>
      </w:pPr>
      <w:r>
        <w:rPr>
          <w:lang w:val="en-CA"/>
        </w:rPr>
        <w:t>d</w:t>
      </w:r>
      <w:r w:rsidRPr="006167B3">
        <w:rPr>
          <w:lang w:val="en-CA"/>
        </w:rPr>
        <w:t xml:space="preserve">ownload </w:t>
      </w:r>
      <w:r>
        <w:rPr>
          <w:lang w:val="en-CA"/>
        </w:rPr>
        <w:t>IMO_FORM_1438</w:t>
      </w:r>
      <w:r w:rsidRPr="006167B3">
        <w:rPr>
          <w:lang w:val="en-CA"/>
        </w:rPr>
        <w:t xml:space="preserve"> “Application for Reduced Debt Retirement Charge Form” from our web</w:t>
      </w:r>
      <w:r>
        <w:rPr>
          <w:lang w:val="en-CA"/>
        </w:rPr>
        <w:t xml:space="preserve"> </w:t>
      </w:r>
      <w:r w:rsidRPr="006167B3">
        <w:rPr>
          <w:lang w:val="en-CA"/>
        </w:rPr>
        <w:t>site; and</w:t>
      </w:r>
    </w:p>
    <w:p w14:paraId="62390FF5" w14:textId="77777777" w:rsidR="00C71552" w:rsidRPr="006167B3" w:rsidRDefault="00C71552" w:rsidP="00C71552">
      <w:pPr>
        <w:pStyle w:val="BodyText"/>
        <w:numPr>
          <w:ilvl w:val="0"/>
          <w:numId w:val="55"/>
        </w:numPr>
        <w:rPr>
          <w:lang w:val="en-CA"/>
        </w:rPr>
      </w:pPr>
      <w:r>
        <w:rPr>
          <w:lang w:val="en-CA"/>
        </w:rPr>
        <w:t>s</w:t>
      </w:r>
      <w:r w:rsidRPr="006167B3">
        <w:rPr>
          <w:lang w:val="en-CA"/>
        </w:rPr>
        <w:t xml:space="preserve">ubmit the completed form by mail or courier </w:t>
      </w:r>
      <w:r>
        <w:rPr>
          <w:lang w:val="en-CA"/>
        </w:rPr>
        <w:t>to</w:t>
      </w:r>
      <w:r w:rsidRPr="006167B3">
        <w:rPr>
          <w:lang w:val="en-CA"/>
        </w:rPr>
        <w:t xml:space="preserve"> the address provided in the “Contact Us” section on our web-site</w:t>
      </w:r>
      <w:r>
        <w:rPr>
          <w:lang w:val="en-CA"/>
        </w:rPr>
        <w:t>;</w:t>
      </w:r>
      <w:r w:rsidRPr="006167B3">
        <w:rPr>
          <w:lang w:val="en-CA"/>
        </w:rPr>
        <w:t xml:space="preserve"> </w:t>
      </w:r>
      <w:r>
        <w:rPr>
          <w:lang w:val="en-CA"/>
        </w:rPr>
        <w:t>write</w:t>
      </w:r>
      <w:r w:rsidRPr="006167B3">
        <w:rPr>
          <w:lang w:val="en-CA"/>
        </w:rPr>
        <w:t xml:space="preserve"> on the envelope, </w:t>
      </w:r>
      <w:r>
        <w:rPr>
          <w:lang w:val="en-CA"/>
        </w:rPr>
        <w:t>“</w:t>
      </w:r>
      <w:r w:rsidRPr="006167B3">
        <w:rPr>
          <w:b/>
          <w:lang w:val="en-CA"/>
        </w:rPr>
        <w:t>Attention: Settlements</w:t>
      </w:r>
      <w:r w:rsidRPr="00081A5A">
        <w:rPr>
          <w:lang w:val="en-CA"/>
        </w:rPr>
        <w:t>”</w:t>
      </w:r>
      <w:r>
        <w:rPr>
          <w:lang w:val="en-CA"/>
        </w:rPr>
        <w:t>;</w:t>
      </w:r>
      <w:r w:rsidRPr="006167B3">
        <w:rPr>
          <w:lang w:val="en-CA"/>
        </w:rPr>
        <w:t xml:space="preserve"> </w:t>
      </w:r>
      <w:r>
        <w:rPr>
          <w:lang w:val="en-CA"/>
        </w:rPr>
        <w:t>w</w:t>
      </w:r>
      <w:r w:rsidRPr="006167B3">
        <w:rPr>
          <w:lang w:val="en-CA"/>
        </w:rPr>
        <w:t>e</w:t>
      </w:r>
      <w:r w:rsidRPr="006167B3">
        <w:rPr>
          <w:i/>
          <w:lang w:val="en-CA"/>
        </w:rPr>
        <w:t xml:space="preserve"> </w:t>
      </w:r>
      <w:r w:rsidRPr="006167B3">
        <w:rPr>
          <w:lang w:val="en-CA"/>
        </w:rPr>
        <w:t>will acknowledge receipt of the form.</w:t>
      </w:r>
    </w:p>
    <w:p w14:paraId="4DCCBA6D" w14:textId="77777777" w:rsidR="00C71552" w:rsidRDefault="00C71552" w:rsidP="00DD3FA6">
      <w:pPr>
        <w:pStyle w:val="BodyText"/>
        <w:autoSpaceDE w:val="0"/>
        <w:autoSpaceDN w:val="0"/>
        <w:adjustRightInd w:val="0"/>
        <w:rPr>
          <w:szCs w:val="22"/>
        </w:rPr>
      </w:pPr>
    </w:p>
    <w:p w14:paraId="2D23BD0C" w14:textId="77777777" w:rsidR="004642FD" w:rsidRDefault="004642FD" w:rsidP="004642FD">
      <w:pPr>
        <w:pStyle w:val="AppendixHead2"/>
        <w:spacing w:before="600"/>
        <w:rPr>
          <w:lang w:val="en-CA"/>
        </w:rPr>
      </w:pPr>
      <w:r>
        <w:rPr>
          <w:lang w:val="en-CA"/>
        </w:rPr>
        <w:t>Submitting DRC Exemption Certificate</w:t>
      </w:r>
    </w:p>
    <w:p w14:paraId="4F183D97" w14:textId="77777777" w:rsidR="004642FD" w:rsidRDefault="004642FD" w:rsidP="004642FD">
      <w:pPr>
        <w:pStyle w:val="BodyText"/>
        <w:rPr>
          <w:lang w:val="en-CA"/>
        </w:rPr>
      </w:pPr>
      <w:r w:rsidRPr="00B95714">
        <w:rPr>
          <w:lang w:val="en-CA"/>
        </w:rPr>
        <w:t>If you are</w:t>
      </w:r>
      <w:r>
        <w:rPr>
          <w:lang w:val="en-CA"/>
        </w:rPr>
        <w:t xml:space="preserve"> exempt from DRC, you must submit exemption certificates </w:t>
      </w:r>
      <w:r w:rsidRPr="00B95714">
        <w:rPr>
          <w:lang w:val="en-CA"/>
        </w:rPr>
        <w:t>to us</w:t>
      </w:r>
      <w:r>
        <w:rPr>
          <w:lang w:val="en-CA"/>
        </w:rPr>
        <w:t>.  The steps in Figure 2-5 illustrate the process for submitting a DRC exemption certificate to us, and are described in detail in Section 3.5, Table 3-5.</w:t>
      </w:r>
    </w:p>
    <w:p w14:paraId="6FFFA797" w14:textId="77777777" w:rsidR="004642FD" w:rsidRDefault="004642FD" w:rsidP="004642FD">
      <w:pPr>
        <w:pStyle w:val="Figure"/>
        <w:rPr>
          <w:noProof w:val="0"/>
          <w:lang w:val="en-CA"/>
        </w:rPr>
      </w:pPr>
      <w:r w:rsidRPr="00C006CB">
        <w:rPr>
          <w:lang w:val="en-CA"/>
        </w:rPr>
        <w:t xml:space="preserve"> </w:t>
      </w:r>
      <w:r>
        <w:rPr>
          <w:lang w:val="en-CA"/>
        </w:rPr>
        <w:drawing>
          <wp:inline distT="0" distB="0" distL="0" distR="0" wp14:anchorId="2D4A885D" wp14:editId="1F5E23FD">
            <wp:extent cx="5715000" cy="3740150"/>
            <wp:effectExtent l="0" t="0" r="0" b="0"/>
            <wp:docPr id="29" name="Picture 29" descr="Diagram of Work flow for Submitting DRC Exemption Certific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715000" cy="3740150"/>
                    </a:xfrm>
                    <a:prstGeom prst="rect">
                      <a:avLst/>
                    </a:prstGeom>
                  </pic:spPr>
                </pic:pic>
              </a:graphicData>
            </a:graphic>
          </wp:inline>
        </w:drawing>
      </w:r>
    </w:p>
    <w:p w14:paraId="3DCD2E9D" w14:textId="49158D6F" w:rsidR="004642FD" w:rsidRDefault="004642FD" w:rsidP="004642FD">
      <w:pPr>
        <w:pStyle w:val="FigureCaption"/>
        <w:rPr>
          <w:lang w:val="en-CA"/>
        </w:rPr>
      </w:pPr>
      <w:bookmarkStart w:id="1646" w:name="_Toc79657899"/>
      <w:r>
        <w:rPr>
          <w:lang w:val="en-CA"/>
        </w:rPr>
        <w:t xml:space="preserve">Figure E–5:  Work flow for </w:t>
      </w:r>
      <w:r>
        <w:t>Submitting</w:t>
      </w:r>
      <w:r>
        <w:rPr>
          <w:lang w:val="en-CA"/>
        </w:rPr>
        <w:t xml:space="preserve"> DRC Exemption Certificate</w:t>
      </w:r>
      <w:bookmarkEnd w:id="1646"/>
    </w:p>
    <w:p w14:paraId="39AB824C" w14:textId="77777777" w:rsidR="00850222" w:rsidRDefault="00850222" w:rsidP="00850222">
      <w:pPr>
        <w:pStyle w:val="AppendixHead2"/>
        <w:spacing w:before="600"/>
        <w:rPr>
          <w:lang w:val="en-CA"/>
        </w:rPr>
      </w:pPr>
      <w:r>
        <w:rPr>
          <w:lang w:val="en-CA"/>
        </w:rPr>
        <w:t>Submitting Reduced DRC Certification</w:t>
      </w:r>
    </w:p>
    <w:p w14:paraId="03B27F8B" w14:textId="77777777" w:rsidR="00850222" w:rsidRDefault="00850222" w:rsidP="00850222">
      <w:pPr>
        <w:pStyle w:val="BodyText"/>
        <w:rPr>
          <w:lang w:val="en-CA"/>
        </w:rPr>
      </w:pPr>
      <w:r w:rsidRPr="00B95714">
        <w:rPr>
          <w:lang w:val="en-CA"/>
        </w:rPr>
        <w:t>You</w:t>
      </w:r>
      <w:r>
        <w:rPr>
          <w:lang w:val="en-CA"/>
        </w:rPr>
        <w:t xml:space="preserve"> must submit reduced DRC certification form to us.  The steps in Figure 2-6 illustrate the process for submitting reduced DRC certification information to us, and are described in detail in Section 3.6, Table 3-6.</w:t>
      </w:r>
    </w:p>
    <w:p w14:paraId="71D3BA7B" w14:textId="77777777" w:rsidR="00850222" w:rsidRDefault="00850222" w:rsidP="00850222">
      <w:pPr>
        <w:pStyle w:val="Figure"/>
        <w:rPr>
          <w:noProof w:val="0"/>
          <w:lang w:val="en-CA"/>
        </w:rPr>
      </w:pPr>
      <w:r w:rsidRPr="00C96FA6">
        <w:rPr>
          <w:lang w:val="en-CA"/>
        </w:rPr>
        <w:t xml:space="preserve"> </w:t>
      </w:r>
      <w:r>
        <w:rPr>
          <w:lang w:val="en-CA"/>
        </w:rPr>
        <w:drawing>
          <wp:inline distT="0" distB="0" distL="0" distR="0" wp14:anchorId="2ED4D44F" wp14:editId="35E1A242">
            <wp:extent cx="5715000" cy="4218940"/>
            <wp:effectExtent l="0" t="0" r="0" b="0"/>
            <wp:docPr id="34" name="Picture 34" descr="Diagram of the Work flow for Submitting Reduced DRC Certification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715000" cy="4218940"/>
                    </a:xfrm>
                    <a:prstGeom prst="rect">
                      <a:avLst/>
                    </a:prstGeom>
                  </pic:spPr>
                </pic:pic>
              </a:graphicData>
            </a:graphic>
          </wp:inline>
        </w:drawing>
      </w:r>
    </w:p>
    <w:p w14:paraId="0D55CEEB" w14:textId="0C19E270" w:rsidR="00850222" w:rsidRDefault="00850222" w:rsidP="00F91578">
      <w:pPr>
        <w:pStyle w:val="FigureCaption"/>
        <w:rPr>
          <w:lang w:val="en-CA"/>
        </w:rPr>
      </w:pPr>
      <w:bookmarkStart w:id="1647" w:name="_Toc79657900"/>
      <w:r>
        <w:rPr>
          <w:lang w:val="en-CA"/>
        </w:rPr>
        <w:t xml:space="preserve">Figure E–6:  Work flow for </w:t>
      </w:r>
      <w:r>
        <w:t xml:space="preserve">Submitting </w:t>
      </w:r>
      <w:r>
        <w:rPr>
          <w:lang w:val="en-CA"/>
        </w:rPr>
        <w:t>Reduced DRC Certification Information</w:t>
      </w:r>
      <w:bookmarkEnd w:id="1647"/>
    </w:p>
    <w:p w14:paraId="32DF5E7C" w14:textId="6F711F98" w:rsidR="00F91578" w:rsidRDefault="00F91578" w:rsidP="00F91578">
      <w:pPr>
        <w:pStyle w:val="AppendixHead2"/>
        <w:spacing w:before="600"/>
        <w:rPr>
          <w:lang w:val="en-CA"/>
        </w:rPr>
      </w:pPr>
      <w:r>
        <w:rPr>
          <w:lang w:val="en-CA"/>
        </w:rPr>
        <w:t>Submitting DRC Exemption Certificate</w:t>
      </w:r>
    </w:p>
    <w:p w14:paraId="3E388BE5" w14:textId="77777777" w:rsidR="00F91578" w:rsidRDefault="00F91578" w:rsidP="00F91578">
      <w:pPr>
        <w:pStyle w:val="BodyText"/>
        <w:rPr>
          <w:snapToGrid w:val="0"/>
          <w:lang w:val="en-CA"/>
        </w:rPr>
      </w:pPr>
      <w:r>
        <w:rPr>
          <w:snapToGrid w:val="0"/>
          <w:lang w:val="en-CA"/>
        </w:rPr>
        <w:t>M</w:t>
      </w:r>
      <w:r>
        <w:rPr>
          <w:i/>
          <w:snapToGrid w:val="0"/>
          <w:lang w:val="en-CA"/>
        </w:rPr>
        <w:t>arket participants</w:t>
      </w:r>
      <w:r>
        <w:rPr>
          <w:snapToGrid w:val="0"/>
          <w:lang w:val="en-CA"/>
        </w:rPr>
        <w:t xml:space="preserve"> must register with the Ministry of Finance as indicated in “Regulation 493/01 and 494/01” and submit DRC exemption information to us in order to be exempt from the </w:t>
      </w:r>
      <w:r>
        <w:rPr>
          <w:i/>
          <w:snapToGrid w:val="0"/>
          <w:lang w:val="en-CA"/>
        </w:rPr>
        <w:t>debt retirement charge</w:t>
      </w:r>
      <w:r>
        <w:rPr>
          <w:snapToGrid w:val="0"/>
          <w:lang w:val="en-CA"/>
        </w:rPr>
        <w:t>.</w:t>
      </w:r>
    </w:p>
    <w:p w14:paraId="1A5BA9A9" w14:textId="77777777" w:rsidR="00F91578" w:rsidRDefault="00F91578" w:rsidP="00F91578">
      <w:pPr>
        <w:pStyle w:val="BodyText"/>
        <w:rPr>
          <w:lang w:val="en-CA"/>
        </w:rPr>
      </w:pPr>
      <w:r>
        <w:rPr>
          <w:lang w:val="en-CA"/>
        </w:rPr>
        <w:t>The steps shown in the following table are illustrated in Section 2.5, Figure 2-5.</w:t>
      </w:r>
    </w:p>
    <w:p w14:paraId="05159939" w14:textId="3BF92E5D" w:rsidR="00F91578" w:rsidRDefault="00F91578" w:rsidP="00524FCC">
      <w:pPr>
        <w:pStyle w:val="TableCaption"/>
        <w:sectPr w:rsidR="00F91578" w:rsidSect="0080405F">
          <w:headerReference w:type="default" r:id="rId118"/>
          <w:footerReference w:type="default" r:id="rId119"/>
          <w:pgSz w:w="12240" w:h="15840" w:code="1"/>
          <w:pgMar w:top="1440" w:right="1440" w:bottom="1440" w:left="1800" w:header="720" w:footer="720" w:gutter="0"/>
          <w:pgNumType w:chapStyle="7" w:chapSep="enDash"/>
          <w:cols w:space="720"/>
        </w:sectPr>
      </w:pPr>
      <w:bookmarkStart w:id="1648" w:name="_Toc79657855"/>
      <w:r>
        <w:rPr>
          <w:lang w:val="en-CA"/>
        </w:rPr>
        <w:t>Table E–5:  Procedural Steps for Submission of DRC Exemption Certificate</w:t>
      </w:r>
      <w:bookmarkEnd w:id="1648"/>
    </w:p>
    <w:p w14:paraId="6A6EEDB1" w14:textId="77777777" w:rsidR="00F91578" w:rsidRDefault="00F91578" w:rsidP="00F91578">
      <w:pPr>
        <w:pStyle w:val="EndofText"/>
        <w:tabs>
          <w:tab w:val="left" w:pos="2487"/>
        </w:tabs>
        <w:spacing w:before="240" w:after="0"/>
        <w:jc w:val="left"/>
      </w:pPr>
    </w:p>
    <w:tbl>
      <w:tblPr>
        <w:tblW w:w="14724"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Description w:val="Procedural Steps for Submission of DRC Exemption Certificate"/>
      </w:tblPr>
      <w:tblGrid>
        <w:gridCol w:w="864"/>
        <w:gridCol w:w="2160"/>
        <w:gridCol w:w="3150"/>
        <w:gridCol w:w="2160"/>
        <w:gridCol w:w="2160"/>
        <w:gridCol w:w="2160"/>
        <w:gridCol w:w="2070"/>
      </w:tblGrid>
      <w:tr w:rsidR="00F91578" w14:paraId="00AB9471" w14:textId="77777777" w:rsidTr="002839F0">
        <w:trPr>
          <w:cantSplit/>
          <w:tblHeader/>
        </w:trPr>
        <w:tc>
          <w:tcPr>
            <w:tcW w:w="864" w:type="dxa"/>
            <w:shd w:val="clear" w:color="auto" w:fill="D9D9D9" w:themeFill="background1" w:themeFillShade="D9"/>
            <w:vAlign w:val="center"/>
          </w:tcPr>
          <w:p w14:paraId="3CA181D5" w14:textId="77777777" w:rsidR="00F91578" w:rsidRDefault="00F91578" w:rsidP="002839F0">
            <w:pPr>
              <w:pStyle w:val="TableHead"/>
              <w:keepNext/>
              <w:keepLines/>
              <w:rPr>
                <w:lang w:val="en-CA"/>
              </w:rPr>
            </w:pPr>
            <w:r>
              <w:rPr>
                <w:lang w:val="en-CA"/>
              </w:rPr>
              <w:t>Ref.</w:t>
            </w:r>
          </w:p>
        </w:tc>
        <w:tc>
          <w:tcPr>
            <w:tcW w:w="2160" w:type="dxa"/>
            <w:shd w:val="clear" w:color="auto" w:fill="D9D9D9" w:themeFill="background1" w:themeFillShade="D9"/>
            <w:vAlign w:val="center"/>
          </w:tcPr>
          <w:p w14:paraId="1AFE9CC0" w14:textId="77777777" w:rsidR="00F91578" w:rsidRDefault="00F91578" w:rsidP="002839F0">
            <w:pPr>
              <w:pStyle w:val="TableHead"/>
              <w:keepNext/>
              <w:keepLines/>
              <w:rPr>
                <w:lang w:val="en-CA"/>
              </w:rPr>
            </w:pPr>
            <w:r>
              <w:rPr>
                <w:lang w:val="en-CA"/>
              </w:rPr>
              <w:t>Task Name</w:t>
            </w:r>
          </w:p>
        </w:tc>
        <w:tc>
          <w:tcPr>
            <w:tcW w:w="3150" w:type="dxa"/>
            <w:shd w:val="clear" w:color="auto" w:fill="D9D9D9" w:themeFill="background1" w:themeFillShade="D9"/>
            <w:vAlign w:val="center"/>
          </w:tcPr>
          <w:p w14:paraId="34D03975" w14:textId="77777777" w:rsidR="00F91578" w:rsidRDefault="00F91578" w:rsidP="002839F0">
            <w:pPr>
              <w:pStyle w:val="TableHead"/>
              <w:keepNext/>
              <w:keepLines/>
              <w:rPr>
                <w:lang w:val="en-CA"/>
              </w:rPr>
            </w:pPr>
            <w:r>
              <w:rPr>
                <w:lang w:val="en-CA"/>
              </w:rPr>
              <w:t>Task Detail</w:t>
            </w:r>
          </w:p>
        </w:tc>
        <w:tc>
          <w:tcPr>
            <w:tcW w:w="2160" w:type="dxa"/>
            <w:shd w:val="clear" w:color="auto" w:fill="D9D9D9" w:themeFill="background1" w:themeFillShade="D9"/>
            <w:vAlign w:val="center"/>
          </w:tcPr>
          <w:p w14:paraId="333910D3" w14:textId="77777777" w:rsidR="00F91578" w:rsidRDefault="00F91578" w:rsidP="002839F0">
            <w:pPr>
              <w:pStyle w:val="TableHead"/>
              <w:keepNext/>
              <w:keepLines/>
              <w:rPr>
                <w:lang w:val="en-CA"/>
              </w:rPr>
            </w:pPr>
            <w:r>
              <w:rPr>
                <w:lang w:val="en-CA"/>
              </w:rPr>
              <w:t>When</w:t>
            </w:r>
          </w:p>
        </w:tc>
        <w:tc>
          <w:tcPr>
            <w:tcW w:w="2160" w:type="dxa"/>
            <w:shd w:val="clear" w:color="auto" w:fill="D9D9D9" w:themeFill="background1" w:themeFillShade="D9"/>
            <w:vAlign w:val="center"/>
          </w:tcPr>
          <w:p w14:paraId="2F4747E5" w14:textId="77777777" w:rsidR="00F91578" w:rsidRDefault="00F91578" w:rsidP="002839F0">
            <w:pPr>
              <w:pStyle w:val="TableHead"/>
              <w:keepNext/>
              <w:keepLines/>
              <w:rPr>
                <w:lang w:val="en-CA"/>
              </w:rPr>
            </w:pPr>
            <w:r>
              <w:rPr>
                <w:lang w:val="en-CA"/>
              </w:rPr>
              <w:t>Resulting Information</w:t>
            </w:r>
          </w:p>
        </w:tc>
        <w:tc>
          <w:tcPr>
            <w:tcW w:w="2160" w:type="dxa"/>
            <w:shd w:val="clear" w:color="auto" w:fill="D9D9D9" w:themeFill="background1" w:themeFillShade="D9"/>
            <w:vAlign w:val="center"/>
          </w:tcPr>
          <w:p w14:paraId="5C9DDC7A" w14:textId="77777777" w:rsidR="00F91578" w:rsidRDefault="00F91578" w:rsidP="002839F0">
            <w:pPr>
              <w:pStyle w:val="TableHead"/>
              <w:keepNext/>
              <w:keepLines/>
              <w:rPr>
                <w:lang w:val="en-CA"/>
              </w:rPr>
            </w:pPr>
            <w:r>
              <w:rPr>
                <w:lang w:val="en-CA"/>
              </w:rPr>
              <w:t>Method</w:t>
            </w:r>
          </w:p>
        </w:tc>
        <w:tc>
          <w:tcPr>
            <w:tcW w:w="2070" w:type="dxa"/>
            <w:shd w:val="clear" w:color="auto" w:fill="D9D9D9" w:themeFill="background1" w:themeFillShade="D9"/>
            <w:vAlign w:val="center"/>
          </w:tcPr>
          <w:p w14:paraId="2F202EAE" w14:textId="77777777" w:rsidR="00F91578" w:rsidRDefault="00F91578" w:rsidP="002839F0">
            <w:pPr>
              <w:pStyle w:val="TableHead"/>
              <w:keepNext/>
              <w:keepLines/>
              <w:rPr>
                <w:lang w:val="en-CA"/>
              </w:rPr>
            </w:pPr>
            <w:r>
              <w:rPr>
                <w:lang w:val="en-CA"/>
              </w:rPr>
              <w:t>Completion Events</w:t>
            </w:r>
          </w:p>
        </w:tc>
      </w:tr>
      <w:tr w:rsidR="00F91578" w14:paraId="34FD38A7" w14:textId="77777777" w:rsidTr="002839F0">
        <w:trPr>
          <w:cantSplit/>
        </w:trPr>
        <w:tc>
          <w:tcPr>
            <w:tcW w:w="864" w:type="dxa"/>
          </w:tcPr>
          <w:p w14:paraId="516A749D" w14:textId="77777777" w:rsidR="00F91578" w:rsidRDefault="00F91578" w:rsidP="002839F0">
            <w:pPr>
              <w:pStyle w:val="TableText"/>
              <w:rPr>
                <w:lang w:val="en-CA"/>
              </w:rPr>
            </w:pPr>
            <w:r>
              <w:rPr>
                <w:lang w:val="en-CA"/>
              </w:rPr>
              <w:t>5E.01</w:t>
            </w:r>
          </w:p>
        </w:tc>
        <w:tc>
          <w:tcPr>
            <w:tcW w:w="2160" w:type="dxa"/>
          </w:tcPr>
          <w:p w14:paraId="7C088266" w14:textId="77777777" w:rsidR="00F91578" w:rsidRDefault="00F91578" w:rsidP="002839F0">
            <w:pPr>
              <w:pStyle w:val="TableText"/>
              <w:rPr>
                <w:lang w:val="en-CA"/>
              </w:rPr>
            </w:pPr>
            <w:r>
              <w:rPr>
                <w:lang w:val="en-CA"/>
              </w:rPr>
              <w:t xml:space="preserve">Submit DRC Exemption Certificate to </w:t>
            </w:r>
            <w:r w:rsidRPr="00695ACA">
              <w:rPr>
                <w:lang w:val="en-CA"/>
              </w:rPr>
              <w:t>us</w:t>
            </w:r>
            <w:r>
              <w:rPr>
                <w:i/>
                <w:lang w:val="en-CA"/>
              </w:rPr>
              <w:t>.</w:t>
            </w:r>
          </w:p>
        </w:tc>
        <w:tc>
          <w:tcPr>
            <w:tcW w:w="3150" w:type="dxa"/>
          </w:tcPr>
          <w:p w14:paraId="6D7F86C7" w14:textId="77777777" w:rsidR="00F91578" w:rsidRDefault="00F91578" w:rsidP="002839F0">
            <w:pPr>
              <w:pStyle w:val="TableText"/>
              <w:rPr>
                <w:lang w:val="en-CA"/>
              </w:rPr>
            </w:pPr>
            <w:r>
              <w:rPr>
                <w:i/>
                <w:lang w:val="en-CA"/>
              </w:rPr>
              <w:t>Market participant</w:t>
            </w:r>
            <w:r>
              <w:rPr>
                <w:lang w:val="en-CA"/>
              </w:rPr>
              <w:t xml:space="preserve"> submits hard copy of DRC exemption certificate as indicated in the Ministry of Finance procedure.</w:t>
            </w:r>
          </w:p>
        </w:tc>
        <w:tc>
          <w:tcPr>
            <w:tcW w:w="2160" w:type="dxa"/>
          </w:tcPr>
          <w:p w14:paraId="506266B8" w14:textId="77777777" w:rsidR="00F91578" w:rsidRDefault="00F91578" w:rsidP="002839F0">
            <w:pPr>
              <w:pStyle w:val="TableText"/>
              <w:rPr>
                <w:lang w:val="en-CA"/>
              </w:rPr>
            </w:pPr>
            <w:r>
              <w:rPr>
                <w:lang w:val="en-CA"/>
              </w:rPr>
              <w:t>When DRC exemption certificate is complete.</w:t>
            </w:r>
          </w:p>
        </w:tc>
        <w:tc>
          <w:tcPr>
            <w:tcW w:w="2160" w:type="dxa"/>
          </w:tcPr>
          <w:p w14:paraId="6A0B865F" w14:textId="77777777" w:rsidR="00F91578" w:rsidRDefault="00F91578" w:rsidP="002839F0">
            <w:pPr>
              <w:pStyle w:val="TableText"/>
              <w:rPr>
                <w:lang w:val="en-CA"/>
              </w:rPr>
            </w:pPr>
            <w:r>
              <w:rPr>
                <w:lang w:val="en-CA"/>
              </w:rPr>
              <w:t>Exemption certificate.</w:t>
            </w:r>
          </w:p>
        </w:tc>
        <w:tc>
          <w:tcPr>
            <w:tcW w:w="2160" w:type="dxa"/>
          </w:tcPr>
          <w:p w14:paraId="572EC912" w14:textId="77777777" w:rsidR="00F91578" w:rsidRDefault="00F91578" w:rsidP="002839F0">
            <w:pPr>
              <w:pStyle w:val="TableText"/>
              <w:rPr>
                <w:lang w:val="en-CA"/>
              </w:rPr>
            </w:pPr>
            <w:r>
              <w:rPr>
                <w:lang w:val="en-CA"/>
              </w:rPr>
              <w:t>Mail or courier.</w:t>
            </w:r>
          </w:p>
        </w:tc>
        <w:tc>
          <w:tcPr>
            <w:tcW w:w="2070" w:type="dxa"/>
          </w:tcPr>
          <w:p w14:paraId="38E49A38" w14:textId="77777777" w:rsidR="00F91578" w:rsidRDefault="00F91578" w:rsidP="002839F0">
            <w:pPr>
              <w:pStyle w:val="TableText"/>
              <w:rPr>
                <w:lang w:val="en-CA"/>
              </w:rPr>
            </w:pPr>
            <w:r>
              <w:rPr>
                <w:lang w:val="en-CA"/>
              </w:rPr>
              <w:t>DRC exemption certificate submitted to us</w:t>
            </w:r>
            <w:r>
              <w:rPr>
                <w:i/>
                <w:lang w:val="en-CA"/>
              </w:rPr>
              <w:t>.</w:t>
            </w:r>
          </w:p>
        </w:tc>
      </w:tr>
      <w:tr w:rsidR="00F91578" w14:paraId="2512AEF4" w14:textId="77777777" w:rsidTr="002839F0">
        <w:trPr>
          <w:cantSplit/>
        </w:trPr>
        <w:tc>
          <w:tcPr>
            <w:tcW w:w="864" w:type="dxa"/>
          </w:tcPr>
          <w:p w14:paraId="71731E21" w14:textId="77777777" w:rsidR="00F91578" w:rsidRDefault="00F91578" w:rsidP="002839F0">
            <w:pPr>
              <w:pStyle w:val="TableText"/>
              <w:rPr>
                <w:lang w:val="en-CA"/>
              </w:rPr>
            </w:pPr>
            <w:r>
              <w:rPr>
                <w:lang w:val="en-CA"/>
              </w:rPr>
              <w:t>5E.02</w:t>
            </w:r>
          </w:p>
        </w:tc>
        <w:tc>
          <w:tcPr>
            <w:tcW w:w="2160" w:type="dxa"/>
          </w:tcPr>
          <w:p w14:paraId="6857D26B" w14:textId="77777777" w:rsidR="00F91578" w:rsidRDefault="00F91578" w:rsidP="002839F0">
            <w:pPr>
              <w:pStyle w:val="TableText"/>
              <w:rPr>
                <w:lang w:val="en-CA"/>
              </w:rPr>
            </w:pPr>
            <w:r>
              <w:rPr>
                <w:lang w:val="en-CA"/>
              </w:rPr>
              <w:t>Receive, review and send decision letter for DRC Exemption Certificate.</w:t>
            </w:r>
          </w:p>
        </w:tc>
        <w:tc>
          <w:tcPr>
            <w:tcW w:w="3150" w:type="dxa"/>
          </w:tcPr>
          <w:p w14:paraId="0C304B96" w14:textId="77777777" w:rsidR="00F91578" w:rsidRDefault="00F91578" w:rsidP="002839F0">
            <w:pPr>
              <w:pStyle w:val="TableText"/>
              <w:rPr>
                <w:lang w:val="en-CA"/>
              </w:rPr>
            </w:pPr>
            <w:r>
              <w:rPr>
                <w:lang w:val="en-CA"/>
              </w:rPr>
              <w:t>W</w:t>
            </w:r>
            <w:r w:rsidRPr="007A6E66">
              <w:rPr>
                <w:lang w:val="en-CA"/>
              </w:rPr>
              <w:t>e</w:t>
            </w:r>
            <w:r>
              <w:rPr>
                <w:lang w:val="en-CA"/>
              </w:rPr>
              <w:t xml:space="preserve"> receive DRC exemption certificate, review it for completeness and send a decision letter either accepting the certificate or rejecting it.</w:t>
            </w:r>
          </w:p>
        </w:tc>
        <w:tc>
          <w:tcPr>
            <w:tcW w:w="2160" w:type="dxa"/>
          </w:tcPr>
          <w:p w14:paraId="33D05E82" w14:textId="77777777" w:rsidR="00F91578" w:rsidRDefault="00F91578" w:rsidP="002839F0">
            <w:pPr>
              <w:pStyle w:val="TableText"/>
              <w:rPr>
                <w:lang w:val="en-CA"/>
              </w:rPr>
            </w:pPr>
            <w:r>
              <w:rPr>
                <w:lang w:val="en-CA"/>
              </w:rPr>
              <w:t>Upon receipt.</w:t>
            </w:r>
          </w:p>
        </w:tc>
        <w:tc>
          <w:tcPr>
            <w:tcW w:w="2160" w:type="dxa"/>
          </w:tcPr>
          <w:p w14:paraId="5BC670B9" w14:textId="77777777" w:rsidR="00F91578" w:rsidRDefault="00F91578" w:rsidP="002839F0">
            <w:pPr>
              <w:pStyle w:val="TableText"/>
              <w:rPr>
                <w:lang w:val="en-CA"/>
              </w:rPr>
            </w:pPr>
            <w:r>
              <w:rPr>
                <w:lang w:val="en-CA"/>
              </w:rPr>
              <w:t>None.</w:t>
            </w:r>
          </w:p>
        </w:tc>
        <w:tc>
          <w:tcPr>
            <w:tcW w:w="2160" w:type="dxa"/>
          </w:tcPr>
          <w:p w14:paraId="66DF5EB1" w14:textId="77777777" w:rsidR="00F91578" w:rsidRDefault="00F91578" w:rsidP="002839F0">
            <w:pPr>
              <w:pStyle w:val="TableText"/>
              <w:rPr>
                <w:lang w:val="en-CA"/>
              </w:rPr>
            </w:pPr>
            <w:r>
              <w:rPr>
                <w:lang w:val="en-CA"/>
              </w:rPr>
              <w:t>Fax.</w:t>
            </w:r>
          </w:p>
        </w:tc>
        <w:tc>
          <w:tcPr>
            <w:tcW w:w="2070" w:type="dxa"/>
          </w:tcPr>
          <w:p w14:paraId="2240A550" w14:textId="77777777" w:rsidR="00F91578" w:rsidRDefault="00F91578" w:rsidP="002839F0">
            <w:pPr>
              <w:pStyle w:val="TableText"/>
              <w:rPr>
                <w:lang w:val="en-CA"/>
              </w:rPr>
            </w:pPr>
            <w:r>
              <w:rPr>
                <w:lang w:val="en-CA"/>
              </w:rPr>
              <w:t xml:space="preserve">DRC exemption certificate received, reviewed and decision letter sent to </w:t>
            </w:r>
            <w:r>
              <w:rPr>
                <w:i/>
                <w:lang w:val="en-CA"/>
              </w:rPr>
              <w:t>market participant</w:t>
            </w:r>
            <w:r>
              <w:rPr>
                <w:lang w:val="en-CA"/>
              </w:rPr>
              <w:t>.</w:t>
            </w:r>
          </w:p>
        </w:tc>
      </w:tr>
      <w:tr w:rsidR="00F91578" w14:paraId="4D43E3EA" w14:textId="77777777" w:rsidTr="002839F0">
        <w:trPr>
          <w:cantSplit/>
        </w:trPr>
        <w:tc>
          <w:tcPr>
            <w:tcW w:w="864" w:type="dxa"/>
          </w:tcPr>
          <w:p w14:paraId="58CE85A7" w14:textId="77777777" w:rsidR="00F91578" w:rsidRDefault="00F91578" w:rsidP="002839F0">
            <w:pPr>
              <w:pStyle w:val="TableText"/>
              <w:rPr>
                <w:lang w:val="en-CA"/>
              </w:rPr>
            </w:pPr>
            <w:r>
              <w:rPr>
                <w:lang w:val="en-CA"/>
              </w:rPr>
              <w:t>5E.03</w:t>
            </w:r>
          </w:p>
        </w:tc>
        <w:tc>
          <w:tcPr>
            <w:tcW w:w="2160" w:type="dxa"/>
          </w:tcPr>
          <w:p w14:paraId="05EA4EA8" w14:textId="77777777" w:rsidR="00F91578" w:rsidRDefault="00F91578" w:rsidP="002839F0">
            <w:pPr>
              <w:pStyle w:val="TableText"/>
              <w:rPr>
                <w:lang w:val="en-CA"/>
              </w:rPr>
            </w:pPr>
            <w:r>
              <w:rPr>
                <w:lang w:val="en-CA"/>
              </w:rPr>
              <w:t>Receive decision letter.</w:t>
            </w:r>
          </w:p>
        </w:tc>
        <w:tc>
          <w:tcPr>
            <w:tcW w:w="3150" w:type="dxa"/>
          </w:tcPr>
          <w:p w14:paraId="08D84798" w14:textId="77777777" w:rsidR="00F91578" w:rsidRDefault="00F91578" w:rsidP="002839F0">
            <w:pPr>
              <w:pStyle w:val="TableText"/>
              <w:rPr>
                <w:lang w:val="en-CA"/>
              </w:rPr>
            </w:pPr>
            <w:r>
              <w:rPr>
                <w:i/>
                <w:lang w:val="en-CA"/>
              </w:rPr>
              <w:t>Market participant</w:t>
            </w:r>
            <w:r>
              <w:rPr>
                <w:lang w:val="en-CA"/>
              </w:rPr>
              <w:t xml:space="preserve"> receives decision letter from us. If the information was incomplete, the </w:t>
            </w:r>
            <w:r>
              <w:rPr>
                <w:i/>
                <w:lang w:val="en-CA"/>
              </w:rPr>
              <w:t>market participant</w:t>
            </w:r>
            <w:r>
              <w:rPr>
                <w:lang w:val="en-CA"/>
              </w:rPr>
              <w:t xml:space="preserve"> revises the information and resubmits it to us.</w:t>
            </w:r>
          </w:p>
        </w:tc>
        <w:tc>
          <w:tcPr>
            <w:tcW w:w="2160" w:type="dxa"/>
          </w:tcPr>
          <w:p w14:paraId="6C3F4D69" w14:textId="77777777" w:rsidR="00F91578" w:rsidRDefault="00F91578" w:rsidP="002839F0">
            <w:pPr>
              <w:pStyle w:val="TableText"/>
              <w:rPr>
                <w:lang w:val="en-CA"/>
              </w:rPr>
            </w:pPr>
            <w:r>
              <w:rPr>
                <w:lang w:val="en-CA"/>
              </w:rPr>
              <w:t>After Step 5E.02.</w:t>
            </w:r>
          </w:p>
        </w:tc>
        <w:tc>
          <w:tcPr>
            <w:tcW w:w="2160" w:type="dxa"/>
          </w:tcPr>
          <w:p w14:paraId="5389A204" w14:textId="77777777" w:rsidR="00F91578" w:rsidRDefault="00F91578" w:rsidP="002839F0">
            <w:pPr>
              <w:pStyle w:val="TableText"/>
              <w:rPr>
                <w:lang w:val="en-CA"/>
              </w:rPr>
            </w:pPr>
            <w:r>
              <w:rPr>
                <w:lang w:val="en-CA"/>
              </w:rPr>
              <w:t>None.</w:t>
            </w:r>
          </w:p>
        </w:tc>
        <w:tc>
          <w:tcPr>
            <w:tcW w:w="2160" w:type="dxa"/>
          </w:tcPr>
          <w:p w14:paraId="62194A71" w14:textId="77777777" w:rsidR="00F91578" w:rsidRDefault="00F91578" w:rsidP="002839F0">
            <w:pPr>
              <w:pStyle w:val="TableText"/>
              <w:rPr>
                <w:lang w:val="en-CA"/>
              </w:rPr>
            </w:pPr>
            <w:r>
              <w:rPr>
                <w:lang w:val="en-CA"/>
              </w:rPr>
              <w:t>Fax.</w:t>
            </w:r>
          </w:p>
        </w:tc>
        <w:tc>
          <w:tcPr>
            <w:tcW w:w="2070" w:type="dxa"/>
          </w:tcPr>
          <w:p w14:paraId="7F49CCD4" w14:textId="77777777" w:rsidR="00F91578" w:rsidRDefault="00F91578" w:rsidP="002839F0">
            <w:pPr>
              <w:pStyle w:val="TableText"/>
              <w:rPr>
                <w:lang w:val="en-CA"/>
              </w:rPr>
            </w:pPr>
            <w:r>
              <w:rPr>
                <w:lang w:val="en-CA"/>
              </w:rPr>
              <w:t xml:space="preserve">Decision letter received by </w:t>
            </w:r>
            <w:r>
              <w:rPr>
                <w:i/>
                <w:lang w:val="en-CA"/>
              </w:rPr>
              <w:t>market participant</w:t>
            </w:r>
            <w:r>
              <w:rPr>
                <w:lang w:val="en-CA"/>
              </w:rPr>
              <w:t>.</w:t>
            </w:r>
          </w:p>
        </w:tc>
      </w:tr>
    </w:tbl>
    <w:p w14:paraId="0E5B7CED" w14:textId="77777777" w:rsidR="00F91578" w:rsidRDefault="00F91578" w:rsidP="00F91578">
      <w:pPr>
        <w:pStyle w:val="AppendixHead2"/>
        <w:spacing w:before="600"/>
        <w:rPr>
          <w:lang w:val="en-CA"/>
        </w:rPr>
      </w:pPr>
      <w:r>
        <w:rPr>
          <w:lang w:val="en-CA"/>
        </w:rPr>
        <w:t>Submitting Reduced DRC Certification Information</w:t>
      </w:r>
    </w:p>
    <w:p w14:paraId="66D43DCD" w14:textId="77777777" w:rsidR="00F91578" w:rsidRDefault="00F91578" w:rsidP="00F91578">
      <w:pPr>
        <w:pStyle w:val="BodyText"/>
        <w:rPr>
          <w:snapToGrid w:val="0"/>
          <w:lang w:val="en-CA"/>
        </w:rPr>
      </w:pPr>
      <w:r>
        <w:rPr>
          <w:snapToGrid w:val="0"/>
          <w:lang w:val="en-CA"/>
        </w:rPr>
        <w:t>M</w:t>
      </w:r>
      <w:r>
        <w:rPr>
          <w:i/>
          <w:snapToGrid w:val="0"/>
          <w:lang w:val="en-CA"/>
        </w:rPr>
        <w:t>arket participants</w:t>
      </w:r>
      <w:r>
        <w:rPr>
          <w:snapToGrid w:val="0"/>
          <w:lang w:val="en-CA"/>
        </w:rPr>
        <w:t xml:space="preserve"> must complete the reduced DRC certification to be charged the reduced DRC rate as indicated by the Ministry of Finance “Regulation 493/01”.</w:t>
      </w:r>
    </w:p>
    <w:p w14:paraId="7753DA07" w14:textId="77777777" w:rsidR="00F91578" w:rsidRDefault="00F91578" w:rsidP="00F91578">
      <w:pPr>
        <w:pStyle w:val="BodyText"/>
        <w:rPr>
          <w:lang w:val="en-CA"/>
        </w:rPr>
      </w:pPr>
      <w:r>
        <w:rPr>
          <w:lang w:val="en-CA"/>
        </w:rPr>
        <w:t>The steps shown in the following table are illustrated in Section 2.6, Figure 2-6.</w:t>
      </w:r>
    </w:p>
    <w:p w14:paraId="66E048B5" w14:textId="55729CC2" w:rsidR="00F91578" w:rsidRDefault="00F91578" w:rsidP="00F91578">
      <w:pPr>
        <w:pStyle w:val="TableCaption"/>
        <w:rPr>
          <w:lang w:val="en-CA"/>
        </w:rPr>
      </w:pPr>
      <w:bookmarkStart w:id="1649" w:name="_Toc79657856"/>
      <w:r>
        <w:rPr>
          <w:lang w:val="en-CA"/>
        </w:rPr>
        <w:t>Table E–6:  Procedural Steps for Submission of Reduced DRC Certification Information</w:t>
      </w:r>
      <w:bookmarkEnd w:id="1649"/>
    </w:p>
    <w:tbl>
      <w:tblPr>
        <w:tblW w:w="14724"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Description w:val="Procedural Steps for Submission of Reduced DRC Certification Information"/>
      </w:tblPr>
      <w:tblGrid>
        <w:gridCol w:w="864"/>
        <w:gridCol w:w="2160"/>
        <w:gridCol w:w="3150"/>
        <w:gridCol w:w="2160"/>
        <w:gridCol w:w="2160"/>
        <w:gridCol w:w="2160"/>
        <w:gridCol w:w="2070"/>
      </w:tblGrid>
      <w:tr w:rsidR="00F91578" w14:paraId="68E9EC96" w14:textId="77777777" w:rsidTr="002839F0">
        <w:trPr>
          <w:cantSplit/>
          <w:tblHeader/>
        </w:trPr>
        <w:tc>
          <w:tcPr>
            <w:tcW w:w="864" w:type="dxa"/>
            <w:shd w:val="clear" w:color="auto" w:fill="D9D9D9" w:themeFill="background1" w:themeFillShade="D9"/>
            <w:vAlign w:val="center"/>
          </w:tcPr>
          <w:p w14:paraId="455245DC" w14:textId="77777777" w:rsidR="00F91578" w:rsidRDefault="00F91578" w:rsidP="002839F0">
            <w:pPr>
              <w:pStyle w:val="TableHead"/>
              <w:keepNext/>
              <w:keepLines/>
              <w:rPr>
                <w:lang w:val="en-CA"/>
              </w:rPr>
            </w:pPr>
            <w:r>
              <w:rPr>
                <w:lang w:val="en-CA"/>
              </w:rPr>
              <w:t>Ref.</w:t>
            </w:r>
          </w:p>
        </w:tc>
        <w:tc>
          <w:tcPr>
            <w:tcW w:w="2160" w:type="dxa"/>
            <w:shd w:val="clear" w:color="auto" w:fill="D9D9D9" w:themeFill="background1" w:themeFillShade="D9"/>
            <w:vAlign w:val="center"/>
          </w:tcPr>
          <w:p w14:paraId="004ED74D" w14:textId="77777777" w:rsidR="00F91578" w:rsidRDefault="00F91578" w:rsidP="002839F0">
            <w:pPr>
              <w:pStyle w:val="TableHead"/>
              <w:keepNext/>
              <w:keepLines/>
              <w:rPr>
                <w:lang w:val="en-CA"/>
              </w:rPr>
            </w:pPr>
            <w:r>
              <w:rPr>
                <w:lang w:val="en-CA"/>
              </w:rPr>
              <w:t>Task Name</w:t>
            </w:r>
          </w:p>
        </w:tc>
        <w:tc>
          <w:tcPr>
            <w:tcW w:w="3150" w:type="dxa"/>
            <w:shd w:val="clear" w:color="auto" w:fill="D9D9D9" w:themeFill="background1" w:themeFillShade="D9"/>
            <w:vAlign w:val="center"/>
          </w:tcPr>
          <w:p w14:paraId="6BA6584C" w14:textId="77777777" w:rsidR="00F91578" w:rsidRDefault="00F91578" w:rsidP="002839F0">
            <w:pPr>
              <w:pStyle w:val="TableHead"/>
              <w:keepNext/>
              <w:keepLines/>
              <w:rPr>
                <w:lang w:val="en-CA"/>
              </w:rPr>
            </w:pPr>
            <w:r>
              <w:rPr>
                <w:lang w:val="en-CA"/>
              </w:rPr>
              <w:t>Task Detail</w:t>
            </w:r>
          </w:p>
        </w:tc>
        <w:tc>
          <w:tcPr>
            <w:tcW w:w="2160" w:type="dxa"/>
            <w:shd w:val="clear" w:color="auto" w:fill="D9D9D9" w:themeFill="background1" w:themeFillShade="D9"/>
            <w:vAlign w:val="center"/>
          </w:tcPr>
          <w:p w14:paraId="679645B5" w14:textId="77777777" w:rsidR="00F91578" w:rsidRDefault="00F91578" w:rsidP="002839F0">
            <w:pPr>
              <w:pStyle w:val="TableHead"/>
              <w:keepNext/>
              <w:keepLines/>
              <w:rPr>
                <w:lang w:val="en-CA"/>
              </w:rPr>
            </w:pPr>
            <w:r>
              <w:rPr>
                <w:lang w:val="en-CA"/>
              </w:rPr>
              <w:t>When</w:t>
            </w:r>
          </w:p>
        </w:tc>
        <w:tc>
          <w:tcPr>
            <w:tcW w:w="2160" w:type="dxa"/>
            <w:shd w:val="clear" w:color="auto" w:fill="D9D9D9" w:themeFill="background1" w:themeFillShade="D9"/>
            <w:vAlign w:val="center"/>
          </w:tcPr>
          <w:p w14:paraId="0AFD20C6" w14:textId="77777777" w:rsidR="00F91578" w:rsidRDefault="00F91578" w:rsidP="002839F0">
            <w:pPr>
              <w:pStyle w:val="TableHead"/>
              <w:keepNext/>
              <w:keepLines/>
              <w:rPr>
                <w:lang w:val="en-CA"/>
              </w:rPr>
            </w:pPr>
            <w:r>
              <w:rPr>
                <w:lang w:val="en-CA"/>
              </w:rPr>
              <w:t>Resulting Information</w:t>
            </w:r>
          </w:p>
        </w:tc>
        <w:tc>
          <w:tcPr>
            <w:tcW w:w="2160" w:type="dxa"/>
            <w:shd w:val="clear" w:color="auto" w:fill="D9D9D9" w:themeFill="background1" w:themeFillShade="D9"/>
            <w:vAlign w:val="center"/>
          </w:tcPr>
          <w:p w14:paraId="2BDF149D" w14:textId="77777777" w:rsidR="00F91578" w:rsidRDefault="00F91578" w:rsidP="002839F0">
            <w:pPr>
              <w:pStyle w:val="TableHead"/>
              <w:keepNext/>
              <w:keepLines/>
              <w:rPr>
                <w:lang w:val="en-CA"/>
              </w:rPr>
            </w:pPr>
            <w:r>
              <w:rPr>
                <w:lang w:val="en-CA"/>
              </w:rPr>
              <w:t>Method</w:t>
            </w:r>
          </w:p>
        </w:tc>
        <w:tc>
          <w:tcPr>
            <w:tcW w:w="2070" w:type="dxa"/>
            <w:shd w:val="clear" w:color="auto" w:fill="D9D9D9" w:themeFill="background1" w:themeFillShade="D9"/>
            <w:vAlign w:val="center"/>
          </w:tcPr>
          <w:p w14:paraId="282685DB" w14:textId="77777777" w:rsidR="00F91578" w:rsidRDefault="00F91578" w:rsidP="002839F0">
            <w:pPr>
              <w:pStyle w:val="TableHead"/>
              <w:keepNext/>
              <w:keepLines/>
              <w:rPr>
                <w:lang w:val="en-CA"/>
              </w:rPr>
            </w:pPr>
            <w:r>
              <w:rPr>
                <w:lang w:val="en-CA"/>
              </w:rPr>
              <w:t>Completion Events</w:t>
            </w:r>
          </w:p>
        </w:tc>
      </w:tr>
      <w:tr w:rsidR="00F91578" w14:paraId="6BD9AF0B" w14:textId="77777777" w:rsidTr="002839F0">
        <w:trPr>
          <w:cantSplit/>
        </w:trPr>
        <w:tc>
          <w:tcPr>
            <w:tcW w:w="864" w:type="dxa"/>
          </w:tcPr>
          <w:p w14:paraId="71262203" w14:textId="77777777" w:rsidR="00F91578" w:rsidRDefault="00F91578" w:rsidP="002839F0">
            <w:pPr>
              <w:pStyle w:val="TableText"/>
              <w:rPr>
                <w:lang w:val="en-CA"/>
              </w:rPr>
            </w:pPr>
            <w:r>
              <w:rPr>
                <w:lang w:val="en-CA"/>
              </w:rPr>
              <w:t>5F.01</w:t>
            </w:r>
          </w:p>
        </w:tc>
        <w:tc>
          <w:tcPr>
            <w:tcW w:w="2160" w:type="dxa"/>
          </w:tcPr>
          <w:p w14:paraId="5EF3C007" w14:textId="420B0FAF" w:rsidR="00F91578" w:rsidRDefault="00F91578" w:rsidP="002839F0">
            <w:pPr>
              <w:pStyle w:val="TableText"/>
              <w:rPr>
                <w:lang w:val="en-CA"/>
              </w:rPr>
            </w:pPr>
            <w:r>
              <w:rPr>
                <w:lang w:val="en-CA"/>
              </w:rPr>
              <w:t xml:space="preserve">Download </w:t>
            </w:r>
            <w:r w:rsidR="002839F0">
              <w:rPr>
                <w:lang w:val="en-CA"/>
              </w:rPr>
              <w:t xml:space="preserve">IMO_FORM_1438 </w:t>
            </w:r>
            <w:r w:rsidRPr="00D60C6C">
              <w:rPr>
                <w:lang w:val="en-CA"/>
              </w:rPr>
              <w:t>from our</w:t>
            </w:r>
            <w:r>
              <w:rPr>
                <w:i/>
                <w:lang w:val="en-CA"/>
              </w:rPr>
              <w:t xml:space="preserve"> </w:t>
            </w:r>
            <w:r w:rsidRPr="00D60C6C">
              <w:rPr>
                <w:lang w:val="en-CA"/>
              </w:rPr>
              <w:t>w</w:t>
            </w:r>
            <w:r>
              <w:rPr>
                <w:lang w:val="en-CA"/>
              </w:rPr>
              <w:t xml:space="preserve">eb site, complete form and submit to </w:t>
            </w:r>
            <w:r w:rsidRPr="00D60C6C">
              <w:rPr>
                <w:lang w:val="en-CA"/>
              </w:rPr>
              <w:t>us.</w:t>
            </w:r>
          </w:p>
        </w:tc>
        <w:tc>
          <w:tcPr>
            <w:tcW w:w="3150" w:type="dxa"/>
          </w:tcPr>
          <w:p w14:paraId="481ABEF5" w14:textId="77777777" w:rsidR="00F91578" w:rsidRDefault="00F91578" w:rsidP="002839F0">
            <w:pPr>
              <w:pStyle w:val="TableText"/>
              <w:rPr>
                <w:lang w:val="en-CA"/>
              </w:rPr>
            </w:pPr>
            <w:r>
              <w:rPr>
                <w:i/>
                <w:lang w:val="en-CA"/>
              </w:rPr>
              <w:t>Market participant</w:t>
            </w:r>
            <w:r>
              <w:rPr>
                <w:lang w:val="en-CA"/>
              </w:rPr>
              <w:t xml:space="preserve"> downloads the Reduced DRC Certification form, completes it and submits it to us.</w:t>
            </w:r>
          </w:p>
        </w:tc>
        <w:tc>
          <w:tcPr>
            <w:tcW w:w="2160" w:type="dxa"/>
          </w:tcPr>
          <w:p w14:paraId="451CA4DB" w14:textId="77777777" w:rsidR="00F91578" w:rsidRDefault="00F91578" w:rsidP="002839F0">
            <w:pPr>
              <w:pStyle w:val="TableText"/>
              <w:rPr>
                <w:lang w:val="en-CA"/>
              </w:rPr>
            </w:pPr>
            <w:r>
              <w:rPr>
                <w:lang w:val="en-CA"/>
              </w:rPr>
              <w:t xml:space="preserve">Prior to </w:t>
            </w:r>
            <w:r>
              <w:rPr>
                <w:i/>
                <w:lang w:val="en-CA"/>
              </w:rPr>
              <w:t>trading day</w:t>
            </w:r>
            <w:r>
              <w:rPr>
                <w:lang w:val="en-CA"/>
              </w:rPr>
              <w:t xml:space="preserve"> the DRC reduced rate should apply.</w:t>
            </w:r>
          </w:p>
        </w:tc>
        <w:tc>
          <w:tcPr>
            <w:tcW w:w="2160" w:type="dxa"/>
          </w:tcPr>
          <w:p w14:paraId="76ED35F4" w14:textId="77777777" w:rsidR="00F91578" w:rsidRDefault="00F91578" w:rsidP="002839F0">
            <w:pPr>
              <w:pStyle w:val="TableText"/>
              <w:rPr>
                <w:lang w:val="en-CA"/>
              </w:rPr>
            </w:pPr>
            <w:r>
              <w:rPr>
                <w:lang w:val="en-CA"/>
              </w:rPr>
              <w:t>Reduced DRC Certification.</w:t>
            </w:r>
          </w:p>
        </w:tc>
        <w:tc>
          <w:tcPr>
            <w:tcW w:w="2160" w:type="dxa"/>
          </w:tcPr>
          <w:p w14:paraId="053BCE07" w14:textId="77777777" w:rsidR="00F91578" w:rsidRDefault="00F91578" w:rsidP="002839F0">
            <w:pPr>
              <w:pStyle w:val="TableText"/>
              <w:rPr>
                <w:lang w:val="en-CA"/>
              </w:rPr>
            </w:pPr>
            <w:r>
              <w:rPr>
                <w:lang w:val="en-CA"/>
              </w:rPr>
              <w:t>Mail or courier.</w:t>
            </w:r>
          </w:p>
        </w:tc>
        <w:tc>
          <w:tcPr>
            <w:tcW w:w="2070" w:type="dxa"/>
          </w:tcPr>
          <w:p w14:paraId="625B83BC" w14:textId="77777777" w:rsidR="00F91578" w:rsidRDefault="00F91578" w:rsidP="002839F0">
            <w:pPr>
              <w:pStyle w:val="TableText"/>
              <w:rPr>
                <w:lang w:val="en-CA"/>
              </w:rPr>
            </w:pPr>
            <w:r>
              <w:rPr>
                <w:lang w:val="en-CA"/>
              </w:rPr>
              <w:t>Reduced DRC Certification submitted.</w:t>
            </w:r>
          </w:p>
        </w:tc>
      </w:tr>
      <w:tr w:rsidR="00F91578" w14:paraId="76766945" w14:textId="77777777" w:rsidTr="002839F0">
        <w:trPr>
          <w:cantSplit/>
        </w:trPr>
        <w:tc>
          <w:tcPr>
            <w:tcW w:w="864" w:type="dxa"/>
          </w:tcPr>
          <w:p w14:paraId="191D1A7B" w14:textId="77777777" w:rsidR="00F91578" w:rsidRDefault="00F91578" w:rsidP="002839F0">
            <w:pPr>
              <w:pStyle w:val="TableText"/>
              <w:rPr>
                <w:lang w:val="en-CA"/>
              </w:rPr>
            </w:pPr>
            <w:r>
              <w:rPr>
                <w:lang w:val="en-CA"/>
              </w:rPr>
              <w:t>5F.02</w:t>
            </w:r>
          </w:p>
        </w:tc>
        <w:tc>
          <w:tcPr>
            <w:tcW w:w="2160" w:type="dxa"/>
          </w:tcPr>
          <w:p w14:paraId="0C8DA04D" w14:textId="77777777" w:rsidR="00F91578" w:rsidRDefault="00F91578" w:rsidP="002839F0">
            <w:pPr>
              <w:pStyle w:val="TableText"/>
              <w:rPr>
                <w:lang w:val="en-CA"/>
              </w:rPr>
            </w:pPr>
            <w:r>
              <w:rPr>
                <w:lang w:val="en-CA"/>
              </w:rPr>
              <w:t>Receive, review and send decision letter for DRC Certification Information.</w:t>
            </w:r>
          </w:p>
        </w:tc>
        <w:tc>
          <w:tcPr>
            <w:tcW w:w="3150" w:type="dxa"/>
          </w:tcPr>
          <w:p w14:paraId="304B659E" w14:textId="77777777" w:rsidR="00F91578" w:rsidRDefault="00F91578" w:rsidP="002839F0">
            <w:pPr>
              <w:pStyle w:val="TableText"/>
              <w:rPr>
                <w:lang w:val="en-CA"/>
              </w:rPr>
            </w:pPr>
            <w:r>
              <w:rPr>
                <w:lang w:val="en-CA"/>
              </w:rPr>
              <w:t>W</w:t>
            </w:r>
            <w:r w:rsidRPr="007A6E66">
              <w:rPr>
                <w:lang w:val="en-CA"/>
              </w:rPr>
              <w:t>e</w:t>
            </w:r>
            <w:r w:rsidDel="00D60C6C">
              <w:rPr>
                <w:lang w:val="en-CA"/>
              </w:rPr>
              <w:t xml:space="preserve"> </w:t>
            </w:r>
            <w:r>
              <w:rPr>
                <w:lang w:val="en-CA"/>
              </w:rPr>
              <w:t>receive the “Reduced Debt Retirement Charge (DRC) Certification” (IMO_FORM_1438), review it for completeness and send a decision letter either accepting or rejecting the information.</w:t>
            </w:r>
          </w:p>
        </w:tc>
        <w:tc>
          <w:tcPr>
            <w:tcW w:w="2160" w:type="dxa"/>
          </w:tcPr>
          <w:p w14:paraId="5786285A" w14:textId="77777777" w:rsidR="00F91578" w:rsidRDefault="00F91578" w:rsidP="002839F0">
            <w:pPr>
              <w:pStyle w:val="TableText"/>
              <w:rPr>
                <w:lang w:val="en-CA"/>
              </w:rPr>
            </w:pPr>
            <w:r>
              <w:rPr>
                <w:lang w:val="en-CA"/>
              </w:rPr>
              <w:t>Upon receipt.</w:t>
            </w:r>
          </w:p>
        </w:tc>
        <w:tc>
          <w:tcPr>
            <w:tcW w:w="2160" w:type="dxa"/>
          </w:tcPr>
          <w:p w14:paraId="50C6E940" w14:textId="77777777" w:rsidR="00F91578" w:rsidRDefault="00F91578" w:rsidP="002839F0">
            <w:pPr>
              <w:pStyle w:val="TableText"/>
              <w:rPr>
                <w:lang w:val="en-CA"/>
              </w:rPr>
            </w:pPr>
            <w:r>
              <w:rPr>
                <w:lang w:val="en-CA"/>
              </w:rPr>
              <w:t>None.</w:t>
            </w:r>
          </w:p>
        </w:tc>
        <w:tc>
          <w:tcPr>
            <w:tcW w:w="2160" w:type="dxa"/>
          </w:tcPr>
          <w:p w14:paraId="79EF0CF2" w14:textId="77777777" w:rsidR="00F91578" w:rsidRDefault="00F91578" w:rsidP="002839F0">
            <w:pPr>
              <w:pStyle w:val="TableText"/>
              <w:rPr>
                <w:lang w:val="en-CA"/>
              </w:rPr>
            </w:pPr>
            <w:r>
              <w:rPr>
                <w:lang w:val="en-CA"/>
              </w:rPr>
              <w:t>Fax.</w:t>
            </w:r>
          </w:p>
        </w:tc>
        <w:tc>
          <w:tcPr>
            <w:tcW w:w="2070" w:type="dxa"/>
          </w:tcPr>
          <w:p w14:paraId="62D091CE" w14:textId="77777777" w:rsidR="00F91578" w:rsidRDefault="00F91578" w:rsidP="002839F0">
            <w:pPr>
              <w:pStyle w:val="TableText"/>
              <w:rPr>
                <w:lang w:val="en-CA"/>
              </w:rPr>
            </w:pPr>
            <w:r>
              <w:rPr>
                <w:lang w:val="en-CA"/>
              </w:rPr>
              <w:t xml:space="preserve">Decision letter sent to </w:t>
            </w:r>
            <w:r>
              <w:rPr>
                <w:i/>
                <w:lang w:val="en-CA"/>
              </w:rPr>
              <w:t>market participant.</w:t>
            </w:r>
          </w:p>
        </w:tc>
      </w:tr>
      <w:tr w:rsidR="00F91578" w14:paraId="280444D5" w14:textId="77777777" w:rsidTr="002839F0">
        <w:trPr>
          <w:cantSplit/>
        </w:trPr>
        <w:tc>
          <w:tcPr>
            <w:tcW w:w="864" w:type="dxa"/>
          </w:tcPr>
          <w:p w14:paraId="37B16950" w14:textId="77777777" w:rsidR="00F91578" w:rsidRDefault="00F91578" w:rsidP="002839F0">
            <w:pPr>
              <w:pStyle w:val="TableText"/>
              <w:rPr>
                <w:lang w:val="en-CA"/>
              </w:rPr>
            </w:pPr>
            <w:r>
              <w:rPr>
                <w:lang w:val="en-CA"/>
              </w:rPr>
              <w:t>5F.03</w:t>
            </w:r>
          </w:p>
        </w:tc>
        <w:tc>
          <w:tcPr>
            <w:tcW w:w="2160" w:type="dxa"/>
          </w:tcPr>
          <w:p w14:paraId="2C21F59C" w14:textId="77777777" w:rsidR="00F91578" w:rsidRDefault="00F91578" w:rsidP="002839F0">
            <w:pPr>
              <w:pStyle w:val="TableText"/>
              <w:rPr>
                <w:lang w:val="en-CA"/>
              </w:rPr>
            </w:pPr>
            <w:r>
              <w:rPr>
                <w:lang w:val="en-CA"/>
              </w:rPr>
              <w:t>Receive decision letter.</w:t>
            </w:r>
          </w:p>
        </w:tc>
        <w:tc>
          <w:tcPr>
            <w:tcW w:w="3150" w:type="dxa"/>
          </w:tcPr>
          <w:p w14:paraId="2DD82974" w14:textId="77777777" w:rsidR="00F91578" w:rsidRDefault="00F91578" w:rsidP="002839F0">
            <w:pPr>
              <w:pStyle w:val="TableText"/>
              <w:rPr>
                <w:lang w:val="en-CA"/>
              </w:rPr>
            </w:pPr>
            <w:r>
              <w:rPr>
                <w:i/>
                <w:lang w:val="en-CA"/>
              </w:rPr>
              <w:t>Market participant</w:t>
            </w:r>
            <w:r>
              <w:rPr>
                <w:lang w:val="en-CA"/>
              </w:rPr>
              <w:t xml:space="preserve"> receives decision letter.  If the information was incomplete, the </w:t>
            </w:r>
            <w:r>
              <w:rPr>
                <w:i/>
                <w:lang w:val="en-CA"/>
              </w:rPr>
              <w:t>market participant</w:t>
            </w:r>
            <w:r>
              <w:rPr>
                <w:lang w:val="en-CA"/>
              </w:rPr>
              <w:t xml:space="preserve"> revises the information and resubmits it to us.</w:t>
            </w:r>
          </w:p>
        </w:tc>
        <w:tc>
          <w:tcPr>
            <w:tcW w:w="2160" w:type="dxa"/>
          </w:tcPr>
          <w:p w14:paraId="58BB216E" w14:textId="77777777" w:rsidR="00F91578" w:rsidRDefault="00F91578" w:rsidP="002839F0">
            <w:pPr>
              <w:pStyle w:val="TableText"/>
              <w:rPr>
                <w:lang w:val="en-CA"/>
              </w:rPr>
            </w:pPr>
            <w:r>
              <w:rPr>
                <w:lang w:val="en-CA"/>
              </w:rPr>
              <w:t>After Step 5F.02.</w:t>
            </w:r>
          </w:p>
        </w:tc>
        <w:tc>
          <w:tcPr>
            <w:tcW w:w="2160" w:type="dxa"/>
          </w:tcPr>
          <w:p w14:paraId="1DFE4E15" w14:textId="77777777" w:rsidR="00F91578" w:rsidRDefault="00F91578" w:rsidP="002839F0">
            <w:pPr>
              <w:pStyle w:val="TableText"/>
              <w:rPr>
                <w:lang w:val="en-CA"/>
              </w:rPr>
            </w:pPr>
            <w:r>
              <w:rPr>
                <w:lang w:val="en-CA"/>
              </w:rPr>
              <w:t>None.</w:t>
            </w:r>
          </w:p>
        </w:tc>
        <w:tc>
          <w:tcPr>
            <w:tcW w:w="2160" w:type="dxa"/>
          </w:tcPr>
          <w:p w14:paraId="40063C4B" w14:textId="77777777" w:rsidR="00F91578" w:rsidRDefault="00F91578" w:rsidP="002839F0">
            <w:pPr>
              <w:pStyle w:val="TableText"/>
              <w:rPr>
                <w:lang w:val="en-CA"/>
              </w:rPr>
            </w:pPr>
            <w:r>
              <w:rPr>
                <w:lang w:val="en-CA"/>
              </w:rPr>
              <w:t>Fax.</w:t>
            </w:r>
          </w:p>
        </w:tc>
        <w:tc>
          <w:tcPr>
            <w:tcW w:w="2070" w:type="dxa"/>
          </w:tcPr>
          <w:p w14:paraId="4A43D9B8" w14:textId="77777777" w:rsidR="00F91578" w:rsidRDefault="00F91578" w:rsidP="002839F0">
            <w:pPr>
              <w:pStyle w:val="TableText"/>
              <w:rPr>
                <w:lang w:val="en-CA"/>
              </w:rPr>
            </w:pPr>
            <w:r>
              <w:rPr>
                <w:lang w:val="en-CA"/>
              </w:rPr>
              <w:t xml:space="preserve">Decision letter received by </w:t>
            </w:r>
            <w:r>
              <w:rPr>
                <w:i/>
                <w:lang w:val="en-CA"/>
              </w:rPr>
              <w:t>market participant</w:t>
            </w:r>
            <w:r>
              <w:rPr>
                <w:lang w:val="en-CA"/>
              </w:rPr>
              <w:t>.</w:t>
            </w:r>
          </w:p>
        </w:tc>
      </w:tr>
    </w:tbl>
    <w:p w14:paraId="46D162D0" w14:textId="77777777" w:rsidR="00F91578" w:rsidRDefault="00F91578" w:rsidP="00F91578">
      <w:pPr>
        <w:pStyle w:val="EndofText"/>
        <w:jc w:val="left"/>
        <w:rPr>
          <w:noProof w:val="0"/>
        </w:rPr>
      </w:pPr>
    </w:p>
    <w:p w14:paraId="68E07F72" w14:textId="39DBD2F5" w:rsidR="000C624C" w:rsidRDefault="000C624C" w:rsidP="00F91578">
      <w:pPr>
        <w:pStyle w:val="EndofText"/>
        <w:tabs>
          <w:tab w:val="left" w:pos="3927"/>
        </w:tabs>
        <w:spacing w:before="240" w:after="0"/>
        <w:jc w:val="left"/>
      </w:pPr>
    </w:p>
    <w:p w14:paraId="1C4C901C" w14:textId="77777777" w:rsidR="00F91578" w:rsidRDefault="00F91578" w:rsidP="00F91578">
      <w:pPr>
        <w:pStyle w:val="EndofText"/>
        <w:tabs>
          <w:tab w:val="left" w:pos="3927"/>
        </w:tabs>
        <w:spacing w:before="240" w:after="0"/>
        <w:jc w:val="left"/>
      </w:pPr>
    </w:p>
    <w:p w14:paraId="2FEFC7E4" w14:textId="4F93A340" w:rsidR="0080405F" w:rsidRDefault="00DD3FA6" w:rsidP="00DD3FA6">
      <w:pPr>
        <w:pStyle w:val="EndofText"/>
        <w:rPr>
          <w:noProof w:val="0"/>
        </w:rPr>
      </w:pPr>
      <w:del w:id="1650" w:author="Author">
        <w:r>
          <w:rPr>
            <w:noProof w:val="0"/>
          </w:rPr>
          <w:sym w:font="Symbol" w:char="F02D"/>
        </w:r>
      </w:del>
      <w:ins w:id="1651" w:author="Author">
        <w:r>
          <w:rPr>
            <w:rFonts w:ascii="Symbol" w:eastAsia="Symbol" w:hAnsi="Symbol" w:cs="Symbol"/>
          </w:rPr>
          <w:t></w:t>
        </w:r>
      </w:ins>
      <w:r>
        <w:rPr>
          <w:noProof w:val="0"/>
        </w:rPr>
        <w:t xml:space="preserve"> End of Section </w:t>
      </w:r>
      <w:del w:id="1652" w:author="Author">
        <w:r>
          <w:rPr>
            <w:noProof w:val="0"/>
          </w:rPr>
          <w:sym w:font="Symbol" w:char="F02D"/>
        </w:r>
      </w:del>
      <w:ins w:id="1653" w:author="Author">
        <w:r>
          <w:rPr>
            <w:rFonts w:ascii="Symbol" w:eastAsia="Symbol" w:hAnsi="Symbol" w:cs="Symbol"/>
          </w:rPr>
          <w:t></w:t>
        </w:r>
      </w:ins>
    </w:p>
    <w:p w14:paraId="098D0DAA" w14:textId="77777777" w:rsidR="0080405F" w:rsidRDefault="0080405F">
      <w:pPr>
        <w:spacing w:after="0"/>
        <w:sectPr w:rsidR="0080405F" w:rsidSect="00F91578">
          <w:headerReference w:type="default" r:id="rId120"/>
          <w:footerReference w:type="default" r:id="rId121"/>
          <w:pgSz w:w="15840" w:h="12240" w:orient="landscape" w:code="1"/>
          <w:pgMar w:top="1800" w:right="1440" w:bottom="1440" w:left="1440" w:header="720" w:footer="720" w:gutter="0"/>
          <w:pgNumType w:chapStyle="7" w:chapSep="enDash"/>
          <w:cols w:space="720"/>
          <w:docGrid w:linePitch="299"/>
        </w:sectPr>
      </w:pPr>
      <w:r>
        <w:br w:type="page"/>
      </w:r>
    </w:p>
    <w:p w14:paraId="6965FAE5" w14:textId="77777777" w:rsidR="00C542C2" w:rsidRPr="00377577" w:rsidRDefault="00081A5A" w:rsidP="00C542C2">
      <w:pPr>
        <w:pStyle w:val="Heading7"/>
      </w:pPr>
      <w:bookmarkStart w:id="1654" w:name="_Toc25761332"/>
      <w:bookmarkStart w:id="1655" w:name="_Toc536711862"/>
      <w:bookmarkStart w:id="1656" w:name="_Toc536627083"/>
      <w:bookmarkStart w:id="1657" w:name="_Toc400369562"/>
      <w:bookmarkStart w:id="1658" w:name="_Toc35796400"/>
      <w:bookmarkStart w:id="1659" w:name="_Toc79658002"/>
      <w:bookmarkEnd w:id="1654"/>
      <w:bookmarkEnd w:id="1655"/>
      <w:bookmarkEnd w:id="1656"/>
      <w:r w:rsidRPr="00081A5A">
        <w:t>OPG Rebate</w:t>
      </w:r>
      <w:bookmarkEnd w:id="1657"/>
      <w:bookmarkEnd w:id="1658"/>
      <w:bookmarkEnd w:id="1659"/>
    </w:p>
    <w:p w14:paraId="0857238C" w14:textId="77777777" w:rsidR="00726B5C" w:rsidRPr="00377577" w:rsidRDefault="00081A5A" w:rsidP="0056454A">
      <w:pPr>
        <w:pStyle w:val="AppendixHead2"/>
        <w:numPr>
          <w:ilvl w:val="7"/>
          <w:numId w:val="24"/>
        </w:numPr>
        <w:spacing w:after="240"/>
        <w:rPr>
          <w:lang w:val="en-CA"/>
        </w:rPr>
      </w:pPr>
      <w:r w:rsidRPr="00081A5A">
        <w:rPr>
          <w:lang w:val="en-CA"/>
        </w:rPr>
        <w:t>OPG Rebate</w:t>
      </w:r>
    </w:p>
    <w:p w14:paraId="11FB6B1C" w14:textId="77777777" w:rsidR="00B733CC" w:rsidRDefault="00081A5A">
      <w:pPr>
        <w:pStyle w:val="BodyTextNote"/>
        <w:pBdr>
          <w:top w:val="single" w:sz="2" w:space="1" w:color="auto"/>
          <w:left w:val="single" w:sz="2" w:space="4" w:color="auto"/>
          <w:bottom w:val="single" w:sz="2" w:space="1" w:color="auto"/>
          <w:right w:val="single" w:sz="2" w:space="4" w:color="auto"/>
        </w:pBdr>
        <w:tabs>
          <w:tab w:val="clear" w:pos="576"/>
          <w:tab w:val="left" w:pos="720"/>
        </w:tabs>
        <w:ind w:left="720" w:hanging="720"/>
        <w:rPr>
          <w:snapToGrid w:val="0"/>
          <w:lang w:val="en-CA"/>
        </w:rPr>
      </w:pPr>
      <w:r w:rsidRPr="00081A5A">
        <w:rPr>
          <w:lang w:val="en-CA"/>
        </w:rPr>
        <w:t>The provisions of this Appendix do not apply for any period beginning after April 30, 2009.  The provisions of this Appendix have been retained in the event that a re-calculation of the OPG Rebate for any period prior to May 1, 2009 is necessary.</w:t>
      </w:r>
      <w:r w:rsidRPr="00081A5A">
        <w:rPr>
          <w:snapToGrid w:val="0"/>
          <w:lang w:val="en-CA"/>
        </w:rPr>
        <w:t xml:space="preserve"> </w:t>
      </w:r>
    </w:p>
    <w:p w14:paraId="7548BBF4" w14:textId="77777777" w:rsidR="00C542C2" w:rsidRPr="00377577" w:rsidRDefault="00C542C2" w:rsidP="00C542C2">
      <w:pPr>
        <w:pStyle w:val="BodyText"/>
        <w:rPr>
          <w:lang w:val="en-CA"/>
        </w:rPr>
      </w:pPr>
    </w:p>
    <w:p w14:paraId="025F74FC" w14:textId="77777777" w:rsidR="00726B5C" w:rsidRPr="00377577" w:rsidRDefault="00081A5A" w:rsidP="003853C6">
      <w:pPr>
        <w:pStyle w:val="AppendixHead3"/>
        <w:numPr>
          <w:ilvl w:val="8"/>
          <w:numId w:val="24"/>
        </w:numPr>
        <w:rPr>
          <w:lang w:val="en-CA"/>
        </w:rPr>
      </w:pPr>
      <w:r w:rsidRPr="00081A5A">
        <w:rPr>
          <w:lang w:val="en-CA"/>
        </w:rPr>
        <w:t>OPG Rebate Calculation</w:t>
      </w:r>
    </w:p>
    <w:p w14:paraId="2317860B" w14:textId="77777777" w:rsidR="00C542C2" w:rsidRPr="00377577" w:rsidRDefault="00081A5A" w:rsidP="00C542C2">
      <w:pPr>
        <w:pStyle w:val="BodyText"/>
        <w:rPr>
          <w:lang w:val="en-CA"/>
        </w:rPr>
      </w:pPr>
      <w:r w:rsidRPr="00081A5A">
        <w:rPr>
          <w:lang w:val="en-CA"/>
        </w:rPr>
        <w:t xml:space="preserve">In accordance with our </w:t>
      </w:r>
      <w:r w:rsidRPr="00081A5A">
        <w:rPr>
          <w:i/>
          <w:lang w:val="en-CA"/>
        </w:rPr>
        <w:t>Independent Electricity System Operator</w:t>
      </w:r>
      <w:r w:rsidRPr="00081A5A">
        <w:rPr>
          <w:lang w:val="en-CA"/>
        </w:rPr>
        <w:t xml:space="preserve"> </w:t>
      </w:r>
      <w:r w:rsidRPr="00081A5A">
        <w:rPr>
          <w:i/>
          <w:lang w:val="en-CA"/>
        </w:rPr>
        <w:t>Licence</w:t>
      </w:r>
      <w:r w:rsidRPr="00081A5A">
        <w:rPr>
          <w:lang w:val="en-CA"/>
        </w:rPr>
        <w:t xml:space="preserve">, we are required to pay the OPG rebate to you if the average price of </w:t>
      </w:r>
      <w:r w:rsidRPr="00081A5A">
        <w:rPr>
          <w:i/>
          <w:lang w:val="en-CA"/>
        </w:rPr>
        <w:t>energy</w:t>
      </w:r>
      <w:r w:rsidRPr="00081A5A">
        <w:rPr>
          <w:lang w:val="en-CA"/>
        </w:rPr>
        <w:t xml:space="preserve"> for OPG’s non</w:t>
      </w:r>
      <w:r w:rsidRPr="00081A5A">
        <w:rPr>
          <w:lang w:val="en-CA"/>
        </w:rPr>
        <w:noBreakHyphen/>
        <w:t>prescribed assets is above a specified price during the applicable Settlement Period.  The OPG Rebate is in effect until April 30, 2009.</w:t>
      </w:r>
    </w:p>
    <w:p w14:paraId="587E2B10" w14:textId="77777777" w:rsidR="00C542C2" w:rsidRPr="00377577" w:rsidRDefault="00081A5A" w:rsidP="00C542C2">
      <w:pPr>
        <w:pStyle w:val="BodyText"/>
        <w:rPr>
          <w:lang w:val="en-CA"/>
        </w:rPr>
      </w:pPr>
      <w:r w:rsidRPr="00081A5A">
        <w:rPr>
          <w:lang w:val="en-CA"/>
        </w:rPr>
        <w:t xml:space="preserve">The OPG Rebate payment is calculated and distributed quarterly to eligible </w:t>
      </w:r>
      <w:r w:rsidRPr="00081A5A">
        <w:rPr>
          <w:i/>
          <w:lang w:val="en-CA"/>
        </w:rPr>
        <w:t xml:space="preserve">market participants, </w:t>
      </w:r>
      <w:r w:rsidRPr="00081A5A">
        <w:rPr>
          <w:lang w:val="en-CA"/>
        </w:rPr>
        <w:t>if warranted.  Table 1–2 summarizes the Settlement Periods and submission deadlines.</w:t>
      </w:r>
    </w:p>
    <w:p w14:paraId="7B46F833" w14:textId="77777777" w:rsidR="00C542C2" w:rsidRPr="00377577" w:rsidRDefault="00081A5A" w:rsidP="00C542C2">
      <w:pPr>
        <w:pStyle w:val="BodyText"/>
        <w:rPr>
          <w:szCs w:val="22"/>
          <w:lang w:val="en-CA"/>
        </w:rPr>
      </w:pPr>
      <w:r w:rsidRPr="00081A5A">
        <w:rPr>
          <w:szCs w:val="22"/>
          <w:lang w:val="en-CA"/>
        </w:rPr>
        <w:t xml:space="preserve">The </w:t>
      </w:r>
      <w:r w:rsidRPr="00081A5A">
        <w:rPr>
          <w:szCs w:val="22"/>
        </w:rPr>
        <w:t xml:space="preserve">OPG Rebate </w:t>
      </w:r>
      <w:r w:rsidRPr="00081A5A">
        <w:rPr>
          <w:szCs w:val="22"/>
          <w:lang w:val="en-CA"/>
        </w:rPr>
        <w:t>amount payable by OPG:</w:t>
      </w:r>
    </w:p>
    <w:p w14:paraId="6CACB23D" w14:textId="77777777" w:rsidR="00C542C2" w:rsidRPr="00377577" w:rsidRDefault="00081A5A" w:rsidP="00C542C2">
      <w:pPr>
        <w:pStyle w:val="ListNumber"/>
        <w:numPr>
          <w:ilvl w:val="0"/>
          <w:numId w:val="0"/>
        </w:numPr>
        <w:ind w:left="504"/>
        <w:rPr>
          <w:b/>
        </w:rPr>
      </w:pPr>
      <w:r w:rsidRPr="00081A5A">
        <w:rPr>
          <w:b/>
        </w:rPr>
        <w:t xml:space="preserve">For the Period from May 1, 2006 to April 30, 2009, OPG is to make quarterly payments to the </w:t>
      </w:r>
      <w:r w:rsidRPr="00081A5A">
        <w:rPr>
          <w:b/>
          <w:i/>
        </w:rPr>
        <w:t>IESO</w:t>
      </w:r>
      <w:r w:rsidRPr="00081A5A">
        <w:rPr>
          <w:b/>
        </w:rPr>
        <w:t xml:space="preserve">, beginning with the OPG Rebate Payment on the October 31, 2006 </w:t>
      </w:r>
      <w:r w:rsidRPr="00081A5A">
        <w:rPr>
          <w:b/>
          <w:i/>
        </w:rPr>
        <w:t xml:space="preserve">settlement statement </w:t>
      </w:r>
      <w:r w:rsidRPr="00081A5A">
        <w:rPr>
          <w:b/>
        </w:rPr>
        <w:t>as follows:</w:t>
      </w:r>
    </w:p>
    <w:p w14:paraId="383EB5C9" w14:textId="77777777" w:rsidR="00C542C2" w:rsidRPr="00377577" w:rsidRDefault="00081A5A" w:rsidP="003662F4">
      <w:pPr>
        <w:pStyle w:val="ListContinue"/>
        <w:tabs>
          <w:tab w:val="num" w:pos="2610"/>
        </w:tabs>
        <w:ind w:left="2610" w:hanging="2106"/>
        <w:rPr>
          <w:szCs w:val="22"/>
        </w:rPr>
      </w:pPr>
      <w:r w:rsidRPr="00081A5A">
        <w:rPr>
          <w:szCs w:val="22"/>
        </w:rPr>
        <w:t>OPG Rebate amount = Sum over all hours [(HOEP – ORL) x (ONPAO x 0.85 – PAA) +</w:t>
      </w:r>
      <w:r w:rsidRPr="00081A5A">
        <w:rPr>
          <w:szCs w:val="22"/>
        </w:rPr>
        <w:br/>
        <w:t>(PAP – PAORL) x PAA)]</w:t>
      </w:r>
    </w:p>
    <w:p w14:paraId="58D0C1F3" w14:textId="77777777" w:rsidR="00C542C2" w:rsidRPr="00377577" w:rsidRDefault="00081A5A" w:rsidP="00C542C2">
      <w:pPr>
        <w:pStyle w:val="BodyTextIndent3"/>
        <w:ind w:left="504"/>
        <w:rPr>
          <w:sz w:val="22"/>
          <w:szCs w:val="22"/>
        </w:rPr>
      </w:pPr>
      <w:r w:rsidRPr="00081A5A">
        <w:rPr>
          <w:sz w:val="22"/>
          <w:szCs w:val="22"/>
        </w:rPr>
        <w:t xml:space="preserve">Ontario Power Generation’s quarterly payments are based on a cumulative calculation commencing May 1, 2006 to the end of each quarter less the same cumulative calculation to the end of the previous quarter. This continues until the final quarter ending April 30, 2009.  Where the payment formula results in an amount owing to OPG for any quarter, no such payment will be made to OPG by the </w:t>
      </w:r>
      <w:r w:rsidRPr="00081A5A">
        <w:rPr>
          <w:i/>
          <w:sz w:val="22"/>
          <w:szCs w:val="22"/>
        </w:rPr>
        <w:t>IESO</w:t>
      </w:r>
      <w:r w:rsidRPr="00081A5A">
        <w:rPr>
          <w:sz w:val="22"/>
          <w:szCs w:val="22"/>
        </w:rPr>
        <w:t xml:space="preserve"> and any such amount will be carried forward into subsequent quarters.</w:t>
      </w:r>
    </w:p>
    <w:p w14:paraId="5BAD70A0" w14:textId="77777777" w:rsidR="00C542C2" w:rsidRPr="00377577" w:rsidRDefault="00081A5A" w:rsidP="001B4599">
      <w:pPr>
        <w:pStyle w:val="BodyTextIndent3"/>
        <w:spacing w:before="120"/>
        <w:ind w:left="540"/>
        <w:rPr>
          <w:sz w:val="22"/>
          <w:szCs w:val="22"/>
        </w:rPr>
      </w:pPr>
      <w:r w:rsidRPr="00081A5A">
        <w:rPr>
          <w:sz w:val="22"/>
          <w:szCs w:val="22"/>
        </w:rPr>
        <w:t>Where:</w:t>
      </w:r>
    </w:p>
    <w:p w14:paraId="27C692CD" w14:textId="77777777" w:rsidR="00C542C2" w:rsidRPr="00377577" w:rsidRDefault="00081A5A" w:rsidP="001B4599">
      <w:pPr>
        <w:spacing w:before="120" w:after="120"/>
        <w:ind w:left="1080"/>
        <w:rPr>
          <w:szCs w:val="22"/>
        </w:rPr>
      </w:pPr>
      <w:r w:rsidRPr="00081A5A">
        <w:rPr>
          <w:b/>
          <w:bCs/>
          <w:szCs w:val="22"/>
        </w:rPr>
        <w:t xml:space="preserve">ONPA or OPG’s Non-Prescribed Assets </w:t>
      </w:r>
      <w:r w:rsidRPr="00081A5A">
        <w:rPr>
          <w:szCs w:val="22"/>
        </w:rPr>
        <w:t xml:space="preserve">are those generation assets operated and controlled by Ontario Power Generation </w:t>
      </w:r>
      <w:r w:rsidRPr="00081A5A">
        <w:rPr>
          <w:bCs/>
          <w:szCs w:val="22"/>
        </w:rPr>
        <w:t>in service as of January 1, 2006</w:t>
      </w:r>
      <w:r w:rsidRPr="00081A5A">
        <w:rPr>
          <w:szCs w:val="22"/>
        </w:rPr>
        <w:t xml:space="preserve">, excluding Lennox Generating Station, and excluding stations whose generation output is subject to a contract with the </w:t>
      </w:r>
      <w:r w:rsidR="007815E3" w:rsidRPr="007815E3">
        <w:rPr>
          <w:i/>
          <w:szCs w:val="22"/>
        </w:rPr>
        <w:t>IESO</w:t>
      </w:r>
      <w:r w:rsidR="007815E3">
        <w:rPr>
          <w:szCs w:val="22"/>
        </w:rPr>
        <w:t xml:space="preserve"> </w:t>
      </w:r>
      <w:r w:rsidRPr="00081A5A">
        <w:rPr>
          <w:szCs w:val="22"/>
        </w:rPr>
        <w:t xml:space="preserve">in the form of a hydroelectric </w:t>
      </w:r>
      <w:r w:rsidR="00C2447D" w:rsidRPr="00C2447D">
        <w:rPr>
          <w:i/>
          <w:szCs w:val="22"/>
        </w:rPr>
        <w:t>energy</w:t>
      </w:r>
      <w:r w:rsidRPr="00081A5A">
        <w:rPr>
          <w:szCs w:val="22"/>
        </w:rPr>
        <w:t xml:space="preserve"> supply agreement </w:t>
      </w:r>
      <w:r w:rsidR="007815E3">
        <w:rPr>
          <w:szCs w:val="22"/>
        </w:rPr>
        <w:t>(</w:t>
      </w:r>
      <w:r w:rsidRPr="00081A5A">
        <w:rPr>
          <w:szCs w:val="22"/>
        </w:rPr>
        <w:t xml:space="preserve">entered into by the </w:t>
      </w:r>
      <w:r w:rsidR="00DC0E09" w:rsidRPr="00DC0E09">
        <w:rPr>
          <w:i/>
          <w:szCs w:val="22"/>
        </w:rPr>
        <w:t>OPA</w:t>
      </w:r>
      <w:r w:rsidRPr="00081A5A">
        <w:rPr>
          <w:szCs w:val="22"/>
        </w:rPr>
        <w:t xml:space="preserve"> and OPG pursuant to a ministerial direction made under section 25.32 of the </w:t>
      </w:r>
      <w:r w:rsidRPr="00081A5A">
        <w:rPr>
          <w:i/>
          <w:szCs w:val="22"/>
        </w:rPr>
        <w:t>Electricity Act, 1998</w:t>
      </w:r>
      <w:r w:rsidR="007815E3">
        <w:rPr>
          <w:szCs w:val="22"/>
        </w:rPr>
        <w:t>)</w:t>
      </w:r>
      <w:r w:rsidRPr="00081A5A">
        <w:rPr>
          <w:szCs w:val="22"/>
        </w:rPr>
        <w:t>, that are not prescribed assets under Section 78.1 of the “</w:t>
      </w:r>
      <w:r w:rsidR="00DA3379" w:rsidRPr="00DA3379">
        <w:rPr>
          <w:i/>
          <w:iCs/>
          <w:szCs w:val="22"/>
        </w:rPr>
        <w:t>Ontario Energy Board Act, 1998</w:t>
      </w:r>
      <w:r w:rsidRPr="00081A5A">
        <w:rPr>
          <w:iCs/>
          <w:szCs w:val="22"/>
        </w:rPr>
        <w:t>”</w:t>
      </w:r>
      <w:r w:rsidRPr="00081A5A">
        <w:rPr>
          <w:szCs w:val="22"/>
        </w:rPr>
        <w:t xml:space="preserve"> as amended by the “</w:t>
      </w:r>
      <w:r w:rsidR="00DA3379" w:rsidRPr="00DA3379">
        <w:rPr>
          <w:i/>
          <w:iCs/>
          <w:szCs w:val="22"/>
        </w:rPr>
        <w:t>Electricity Restructuring Act, 2004</w:t>
      </w:r>
      <w:r w:rsidRPr="00081A5A">
        <w:rPr>
          <w:iCs/>
          <w:szCs w:val="22"/>
        </w:rPr>
        <w:t>”</w:t>
      </w:r>
      <w:r w:rsidRPr="00081A5A">
        <w:rPr>
          <w:szCs w:val="22"/>
        </w:rPr>
        <w:t xml:space="preserve">. </w:t>
      </w:r>
    </w:p>
    <w:p w14:paraId="07FA92CD" w14:textId="77777777" w:rsidR="00C542C2" w:rsidRPr="00377577" w:rsidRDefault="00081A5A" w:rsidP="001B4599">
      <w:pPr>
        <w:spacing w:before="120" w:after="120"/>
        <w:ind w:left="1080"/>
        <w:rPr>
          <w:szCs w:val="22"/>
        </w:rPr>
      </w:pPr>
      <w:r w:rsidRPr="00081A5A">
        <w:rPr>
          <w:b/>
          <w:bCs/>
          <w:szCs w:val="22"/>
        </w:rPr>
        <w:t>HOEP</w:t>
      </w:r>
      <w:r w:rsidRPr="00081A5A">
        <w:rPr>
          <w:szCs w:val="22"/>
        </w:rPr>
        <w:t xml:space="preserve"> is the </w:t>
      </w:r>
      <w:r w:rsidRPr="00081A5A">
        <w:rPr>
          <w:i/>
          <w:szCs w:val="22"/>
        </w:rPr>
        <w:t>Hourly Ontario Energy Price</w:t>
      </w:r>
      <w:r w:rsidRPr="00081A5A">
        <w:rPr>
          <w:szCs w:val="22"/>
        </w:rPr>
        <w:t xml:space="preserve"> as determined by the </w:t>
      </w:r>
      <w:r w:rsidRPr="00081A5A">
        <w:rPr>
          <w:i/>
          <w:szCs w:val="22"/>
        </w:rPr>
        <w:t>IESO</w:t>
      </w:r>
      <w:r w:rsidRPr="00081A5A">
        <w:rPr>
          <w:szCs w:val="22"/>
        </w:rPr>
        <w:t>.</w:t>
      </w:r>
    </w:p>
    <w:p w14:paraId="32DE6B29" w14:textId="77777777" w:rsidR="00C542C2" w:rsidRPr="00377577" w:rsidRDefault="00081A5A" w:rsidP="001B4599">
      <w:pPr>
        <w:spacing w:before="120" w:after="120"/>
        <w:ind w:left="1080"/>
        <w:rPr>
          <w:bCs/>
          <w:szCs w:val="22"/>
        </w:rPr>
      </w:pPr>
      <w:r w:rsidRPr="00081A5A">
        <w:rPr>
          <w:b/>
          <w:bCs/>
          <w:szCs w:val="22"/>
        </w:rPr>
        <w:t>ONPAO</w:t>
      </w:r>
      <w:r w:rsidRPr="00081A5A">
        <w:rPr>
          <w:szCs w:val="22"/>
        </w:rPr>
        <w:t xml:space="preserve"> is the generation output from OPG’s Non-Prescribed Assets, over each hour of the quarter adjusted to take account of volumes sold through forward contracts in effect as of January 1, 2005.  For greater certainty, any output from ONPA resulting from fuel conversion by Ontario Power Generation in ONPA, or incremental output from ONPA resulting from refurbishment or expansion, or that is subject to a contract with the </w:t>
      </w:r>
      <w:r w:rsidR="00DC0E09" w:rsidRPr="00DC0E09">
        <w:rPr>
          <w:i/>
          <w:szCs w:val="22"/>
        </w:rPr>
        <w:t>OPA</w:t>
      </w:r>
      <w:r w:rsidRPr="00081A5A">
        <w:rPr>
          <w:szCs w:val="22"/>
        </w:rPr>
        <w:t xml:space="preserve"> in the form of a hydroelectric </w:t>
      </w:r>
      <w:r w:rsidR="00C2447D" w:rsidRPr="00C2447D">
        <w:rPr>
          <w:i/>
          <w:szCs w:val="22"/>
        </w:rPr>
        <w:t>energy</w:t>
      </w:r>
      <w:r w:rsidRPr="00081A5A">
        <w:rPr>
          <w:szCs w:val="22"/>
        </w:rPr>
        <w:t xml:space="preserve"> supply agreement, [entered into by the </w:t>
      </w:r>
      <w:r w:rsidR="00DC0E09" w:rsidRPr="00DC0E09">
        <w:rPr>
          <w:i/>
          <w:szCs w:val="22"/>
        </w:rPr>
        <w:t>OPA</w:t>
      </w:r>
      <w:r w:rsidRPr="00081A5A">
        <w:rPr>
          <w:szCs w:val="22"/>
        </w:rPr>
        <w:t xml:space="preserve"> and OPG pursuant to a ministerial direction made under section 25.32 of the </w:t>
      </w:r>
      <w:r w:rsidRPr="00081A5A">
        <w:rPr>
          <w:i/>
          <w:szCs w:val="22"/>
        </w:rPr>
        <w:t>Electricity Act, 1998</w:t>
      </w:r>
      <w:r w:rsidRPr="00081A5A">
        <w:rPr>
          <w:szCs w:val="22"/>
        </w:rPr>
        <w:t>] is to be excluded from</w:t>
      </w:r>
      <w:r w:rsidRPr="00081A5A">
        <w:rPr>
          <w:bCs/>
          <w:szCs w:val="22"/>
        </w:rPr>
        <w:t xml:space="preserve"> ONPAO.</w:t>
      </w:r>
    </w:p>
    <w:p w14:paraId="19C1CF93" w14:textId="77777777" w:rsidR="00C542C2" w:rsidRPr="001D383A" w:rsidRDefault="00081A5A" w:rsidP="001B4599">
      <w:pPr>
        <w:autoSpaceDE w:val="0"/>
        <w:autoSpaceDN w:val="0"/>
        <w:adjustRightInd w:val="0"/>
        <w:spacing w:before="120" w:after="120"/>
        <w:ind w:left="1080"/>
        <w:rPr>
          <w:szCs w:val="22"/>
        </w:rPr>
      </w:pPr>
      <w:r w:rsidRPr="00081A5A">
        <w:rPr>
          <w:b/>
          <w:bCs/>
          <w:szCs w:val="22"/>
        </w:rPr>
        <w:t>Incremental Output</w:t>
      </w:r>
      <w:r w:rsidRPr="00081A5A">
        <w:rPr>
          <w:szCs w:val="22"/>
        </w:rPr>
        <w:t xml:space="preserve"> is defined as:</w:t>
      </w:r>
    </w:p>
    <w:p w14:paraId="3B44FF69" w14:textId="77777777" w:rsidR="006D28A0" w:rsidRPr="00377577" w:rsidRDefault="00081A5A" w:rsidP="001B4599">
      <w:pPr>
        <w:autoSpaceDE w:val="0"/>
        <w:autoSpaceDN w:val="0"/>
        <w:adjustRightInd w:val="0"/>
        <w:spacing w:before="120" w:after="120"/>
        <w:ind w:left="1440"/>
        <w:rPr>
          <w:bCs/>
          <w:szCs w:val="22"/>
        </w:rPr>
      </w:pPr>
      <w:r w:rsidRPr="00081A5A">
        <w:rPr>
          <w:bCs/>
          <w:szCs w:val="22"/>
        </w:rPr>
        <w:t>generation output x (new total installed capacity – installed capacity as of January 1, 2006) / new total installed capacity.</w:t>
      </w:r>
    </w:p>
    <w:p w14:paraId="61074425" w14:textId="77777777" w:rsidR="00C542C2" w:rsidRPr="00377577" w:rsidRDefault="00081A5A" w:rsidP="0090794C">
      <w:pPr>
        <w:spacing w:before="240" w:after="120"/>
        <w:ind w:left="1080"/>
        <w:rPr>
          <w:bCs/>
          <w:szCs w:val="22"/>
        </w:rPr>
      </w:pPr>
      <w:r w:rsidRPr="00081A5A">
        <w:rPr>
          <w:b/>
          <w:bCs/>
          <w:szCs w:val="22"/>
        </w:rPr>
        <w:t xml:space="preserve">ORL </w:t>
      </w:r>
      <w:r w:rsidRPr="00081A5A">
        <w:rPr>
          <w:bCs/>
          <w:szCs w:val="22"/>
        </w:rPr>
        <w:t xml:space="preserve">is the Ontario Power Generation Revenue limit. </w:t>
      </w:r>
    </w:p>
    <w:p w14:paraId="6ECE39F2" w14:textId="77777777" w:rsidR="00C542C2" w:rsidRPr="00377577" w:rsidRDefault="00081A5A" w:rsidP="001B4599">
      <w:pPr>
        <w:spacing w:before="120" w:after="120"/>
        <w:ind w:left="1440"/>
        <w:rPr>
          <w:bCs/>
          <w:szCs w:val="22"/>
        </w:rPr>
      </w:pPr>
      <w:r w:rsidRPr="00081A5A">
        <w:rPr>
          <w:bCs/>
          <w:szCs w:val="22"/>
        </w:rPr>
        <w:t>For the period May 1, 2006 to April 30, 2007 ORL is equal to $46/ MWh.</w:t>
      </w:r>
    </w:p>
    <w:p w14:paraId="7891F870" w14:textId="77777777" w:rsidR="00C542C2" w:rsidRPr="00377577" w:rsidRDefault="00081A5A" w:rsidP="001B4599">
      <w:pPr>
        <w:spacing w:before="120" w:after="120"/>
        <w:ind w:left="1440"/>
        <w:rPr>
          <w:bCs/>
          <w:szCs w:val="22"/>
        </w:rPr>
      </w:pPr>
      <w:r w:rsidRPr="00081A5A">
        <w:rPr>
          <w:bCs/>
          <w:szCs w:val="22"/>
        </w:rPr>
        <w:t>For the period May 1, 2007 to April 30, 2008 ORL is equal to $47/ MWh.</w:t>
      </w:r>
    </w:p>
    <w:p w14:paraId="12F4E6E3" w14:textId="77777777" w:rsidR="00C542C2" w:rsidRPr="00377577" w:rsidRDefault="00081A5A" w:rsidP="001B4599">
      <w:pPr>
        <w:spacing w:before="120" w:after="120"/>
        <w:ind w:left="1440"/>
        <w:rPr>
          <w:bCs/>
          <w:szCs w:val="22"/>
        </w:rPr>
      </w:pPr>
      <w:r w:rsidRPr="00081A5A">
        <w:rPr>
          <w:bCs/>
          <w:szCs w:val="22"/>
        </w:rPr>
        <w:t>For the period May 1, 2008 to April 30, 2009 ORL is equal to $48/ MWh.</w:t>
      </w:r>
    </w:p>
    <w:p w14:paraId="584A523A" w14:textId="77777777" w:rsidR="00C542C2" w:rsidRPr="00377577" w:rsidRDefault="00081A5A" w:rsidP="0090794C">
      <w:pPr>
        <w:spacing w:before="240" w:after="120"/>
        <w:ind w:left="1080"/>
        <w:rPr>
          <w:bCs/>
          <w:szCs w:val="22"/>
        </w:rPr>
      </w:pPr>
      <w:r w:rsidRPr="00081A5A">
        <w:rPr>
          <w:b/>
          <w:bCs/>
          <w:szCs w:val="22"/>
        </w:rPr>
        <w:t>PA</w:t>
      </w:r>
      <w:r w:rsidRPr="00081A5A">
        <w:rPr>
          <w:bCs/>
          <w:szCs w:val="22"/>
        </w:rPr>
        <w:t xml:space="preserve"> is the Pilot Auction administered by the </w:t>
      </w:r>
      <w:r w:rsidRPr="00081A5A">
        <w:rPr>
          <w:bCs/>
          <w:i/>
          <w:szCs w:val="22"/>
        </w:rPr>
        <w:t>Ontario Power Authority</w:t>
      </w:r>
      <w:r w:rsidRPr="00081A5A">
        <w:rPr>
          <w:bCs/>
          <w:szCs w:val="22"/>
        </w:rPr>
        <w:t xml:space="preserve"> in the first half of 2006.</w:t>
      </w:r>
    </w:p>
    <w:p w14:paraId="36416B04" w14:textId="77777777" w:rsidR="00C542C2" w:rsidRPr="00377577" w:rsidRDefault="00081A5A" w:rsidP="0090794C">
      <w:pPr>
        <w:spacing w:before="240" w:after="120"/>
        <w:ind w:left="1080"/>
        <w:rPr>
          <w:bCs/>
          <w:szCs w:val="22"/>
        </w:rPr>
      </w:pPr>
      <w:r w:rsidRPr="00081A5A">
        <w:rPr>
          <w:b/>
          <w:bCs/>
          <w:szCs w:val="22"/>
        </w:rPr>
        <w:t>PAA</w:t>
      </w:r>
      <w:r w:rsidRPr="00081A5A">
        <w:rPr>
          <w:bCs/>
          <w:szCs w:val="22"/>
        </w:rPr>
        <w:t xml:space="preserve"> is the volume in MWh over each hour in the quarter that is sold by Ontario Power Generation through the PA. </w:t>
      </w:r>
    </w:p>
    <w:p w14:paraId="06B33A2B" w14:textId="77777777" w:rsidR="00C542C2" w:rsidRPr="00377577" w:rsidRDefault="00081A5A" w:rsidP="0090794C">
      <w:pPr>
        <w:spacing w:before="240" w:after="120"/>
        <w:ind w:left="1080"/>
        <w:rPr>
          <w:szCs w:val="22"/>
        </w:rPr>
      </w:pPr>
      <w:r w:rsidRPr="00081A5A">
        <w:rPr>
          <w:b/>
          <w:szCs w:val="22"/>
        </w:rPr>
        <w:t xml:space="preserve">PAORL </w:t>
      </w:r>
      <w:r w:rsidRPr="00081A5A">
        <w:rPr>
          <w:szCs w:val="22"/>
        </w:rPr>
        <w:t xml:space="preserve">is the Pilot Auction Ontario Power Generation Revenue limit. </w:t>
      </w:r>
    </w:p>
    <w:p w14:paraId="24CB4290" w14:textId="77777777" w:rsidR="00C542C2" w:rsidRPr="00377577" w:rsidRDefault="00081A5A" w:rsidP="001B4599">
      <w:pPr>
        <w:spacing w:before="120" w:after="120"/>
        <w:ind w:left="1440" w:right="-360"/>
        <w:rPr>
          <w:szCs w:val="22"/>
        </w:rPr>
      </w:pPr>
      <w:r w:rsidRPr="00081A5A">
        <w:rPr>
          <w:szCs w:val="22"/>
        </w:rPr>
        <w:t>For the period May 1, 2006 to April 30, 2007 PAORL is equal to $51/ MWh.</w:t>
      </w:r>
    </w:p>
    <w:p w14:paraId="24C557F8" w14:textId="77777777" w:rsidR="00C542C2" w:rsidRPr="00377577" w:rsidRDefault="00081A5A" w:rsidP="001B4599">
      <w:pPr>
        <w:spacing w:before="120" w:after="120"/>
        <w:ind w:left="1440" w:right="-360"/>
        <w:rPr>
          <w:szCs w:val="22"/>
        </w:rPr>
      </w:pPr>
      <w:r w:rsidRPr="00081A5A">
        <w:rPr>
          <w:szCs w:val="22"/>
        </w:rPr>
        <w:t>For the period May 1, 2007 to April 30, 2008 PAORL is equal to $52/ MWh.</w:t>
      </w:r>
    </w:p>
    <w:p w14:paraId="41CC8DC6" w14:textId="77777777" w:rsidR="00C542C2" w:rsidRPr="00377577" w:rsidRDefault="00081A5A" w:rsidP="001B4599">
      <w:pPr>
        <w:spacing w:before="120" w:after="120"/>
        <w:ind w:left="1440" w:right="-360"/>
        <w:rPr>
          <w:szCs w:val="22"/>
        </w:rPr>
      </w:pPr>
      <w:r w:rsidRPr="00081A5A">
        <w:rPr>
          <w:szCs w:val="22"/>
        </w:rPr>
        <w:t>For the period May 1, 2008 to April 30, 2009 PAORL is equal to $53/ MWh.</w:t>
      </w:r>
    </w:p>
    <w:p w14:paraId="5F67C61C" w14:textId="77777777" w:rsidR="00C542C2" w:rsidRDefault="00081A5A" w:rsidP="0090794C">
      <w:pPr>
        <w:spacing w:before="240" w:after="120"/>
        <w:ind w:left="1080"/>
        <w:rPr>
          <w:szCs w:val="22"/>
        </w:rPr>
      </w:pPr>
      <w:r w:rsidRPr="00081A5A">
        <w:rPr>
          <w:b/>
          <w:szCs w:val="22"/>
        </w:rPr>
        <w:t>PAP</w:t>
      </w:r>
      <w:r w:rsidRPr="00081A5A">
        <w:rPr>
          <w:szCs w:val="22"/>
        </w:rPr>
        <w:t xml:space="preserve"> is the weighted average auction price in $/ MWh over each hour of the quarter realized for the PAA by Ontario Power Generation.</w:t>
      </w:r>
    </w:p>
    <w:p w14:paraId="2B281091" w14:textId="77777777" w:rsidR="00EC70CE" w:rsidRPr="00357E28" w:rsidRDefault="00081A5A" w:rsidP="003853C6">
      <w:pPr>
        <w:pStyle w:val="AppendixHead3"/>
        <w:numPr>
          <w:ilvl w:val="8"/>
          <w:numId w:val="24"/>
        </w:numPr>
        <w:rPr>
          <w:lang w:val="en-CA"/>
        </w:rPr>
      </w:pPr>
      <w:r w:rsidRPr="00357E28">
        <w:rPr>
          <w:lang w:val="en-CA"/>
        </w:rPr>
        <w:t>OPG Rebate Payment</w:t>
      </w:r>
    </w:p>
    <w:p w14:paraId="3B104FD6" w14:textId="77777777" w:rsidR="00C542C2" w:rsidRPr="00377577" w:rsidRDefault="00081A5A" w:rsidP="00C542C2">
      <w:pPr>
        <w:pStyle w:val="BodyText"/>
        <w:rPr>
          <w:lang w:val="en-CA"/>
        </w:rPr>
      </w:pPr>
      <w:r w:rsidRPr="00081A5A">
        <w:rPr>
          <w:lang w:val="en-CA"/>
        </w:rPr>
        <w:t xml:space="preserve">If eligible, you will receive a pro rata share of the OPG Rebate Amount based on your allocated quantity of </w:t>
      </w:r>
      <w:r w:rsidRPr="00081A5A">
        <w:rPr>
          <w:i/>
          <w:lang w:val="en-CA"/>
        </w:rPr>
        <w:t>energy</w:t>
      </w:r>
      <w:r w:rsidRPr="00081A5A">
        <w:rPr>
          <w:lang w:val="en-CA"/>
        </w:rPr>
        <w:t xml:space="preserve"> withdrawn for the applicable </w:t>
      </w:r>
      <w:r w:rsidR="00DC0E09" w:rsidRPr="00DC0E09">
        <w:rPr>
          <w:i/>
          <w:lang w:val="en-CA"/>
        </w:rPr>
        <w:t>settlement</w:t>
      </w:r>
      <w:r w:rsidRPr="00081A5A">
        <w:rPr>
          <w:lang w:val="en-CA"/>
        </w:rPr>
        <w:t xml:space="preserve"> period.  Your OPG Rebate payment appears under </w:t>
      </w:r>
      <w:r w:rsidRPr="00081A5A">
        <w:rPr>
          <w:i/>
          <w:lang w:val="en-CA"/>
        </w:rPr>
        <w:t>charge type</w:t>
      </w:r>
      <w:r w:rsidRPr="00081A5A">
        <w:rPr>
          <w:lang w:val="en-CA"/>
        </w:rPr>
        <w:t xml:space="preserve"> 112 “Ontario Power Generation Rebate”.  If the calculated amount of the OPG Rebate is negative, we will not make any rebate payments.</w:t>
      </w:r>
    </w:p>
    <w:p w14:paraId="7BD39151" w14:textId="77777777" w:rsidR="00C542C2" w:rsidRPr="00377577" w:rsidRDefault="00081A5A" w:rsidP="00C542C2">
      <w:pPr>
        <w:pStyle w:val="BodyText"/>
        <w:rPr>
          <w:lang w:val="en-CA"/>
        </w:rPr>
      </w:pPr>
      <w:r w:rsidRPr="00081A5A">
        <w:rPr>
          <w:lang w:val="en-CA"/>
        </w:rPr>
        <w:t xml:space="preserve">Since the OPG Rebate is already included in the Regulated Price Plan rates established by the </w:t>
      </w:r>
      <w:r w:rsidRPr="00081A5A">
        <w:rPr>
          <w:i/>
          <w:lang w:val="en-CA"/>
        </w:rPr>
        <w:t>OEB</w:t>
      </w:r>
      <w:r w:rsidRPr="00081A5A">
        <w:rPr>
          <w:lang w:val="en-CA"/>
        </w:rPr>
        <w:t xml:space="preserve"> for </w:t>
      </w:r>
      <w:r w:rsidRPr="00081A5A">
        <w:rPr>
          <w:i/>
          <w:lang w:val="en-CA"/>
        </w:rPr>
        <w:t>energy</w:t>
      </w:r>
      <w:r w:rsidRPr="00081A5A">
        <w:rPr>
          <w:lang w:val="en-CA"/>
        </w:rPr>
        <w:t>, you will not receive the OPG rebate if:</w:t>
      </w:r>
    </w:p>
    <w:p w14:paraId="7E7AC2B0" w14:textId="77777777" w:rsidR="00C542C2" w:rsidRPr="00377577" w:rsidRDefault="00081A5A" w:rsidP="003853C6">
      <w:pPr>
        <w:pStyle w:val="BodyText"/>
        <w:numPr>
          <w:ilvl w:val="0"/>
          <w:numId w:val="56"/>
        </w:numPr>
        <w:rPr>
          <w:lang w:val="en-CA"/>
        </w:rPr>
      </w:pPr>
      <w:r w:rsidRPr="00081A5A">
        <w:rPr>
          <w:lang w:val="en-CA"/>
        </w:rPr>
        <w:t xml:space="preserve">You are a </w:t>
      </w:r>
      <w:r w:rsidR="00C2447D" w:rsidRPr="00C2447D">
        <w:rPr>
          <w:i/>
          <w:lang w:val="en-CA"/>
        </w:rPr>
        <w:t>market participant</w:t>
      </w:r>
      <w:r w:rsidRPr="00081A5A">
        <w:rPr>
          <w:lang w:val="en-CA"/>
        </w:rPr>
        <w:t xml:space="preserve"> that is a low-volume or designated </w:t>
      </w:r>
      <w:r w:rsidR="00DA3379" w:rsidRPr="00DA3379">
        <w:rPr>
          <w:i/>
          <w:lang w:val="en-CA"/>
        </w:rPr>
        <w:t>consumer</w:t>
      </w:r>
      <w:r w:rsidRPr="00081A5A">
        <w:rPr>
          <w:lang w:val="en-CA"/>
        </w:rPr>
        <w:t>, as defined in the “</w:t>
      </w:r>
      <w:r w:rsidR="00DA3379" w:rsidRPr="00DA3379">
        <w:rPr>
          <w:i/>
          <w:lang w:val="en-CA"/>
        </w:rPr>
        <w:t>Electricity Act</w:t>
      </w:r>
      <w:r w:rsidRPr="00081A5A">
        <w:rPr>
          <w:lang w:val="en-CA"/>
        </w:rPr>
        <w:t>” and its associated regulations; or</w:t>
      </w:r>
    </w:p>
    <w:p w14:paraId="468BDA4A" w14:textId="77777777" w:rsidR="00C542C2" w:rsidRPr="00377577" w:rsidRDefault="00081A5A" w:rsidP="003853C6">
      <w:pPr>
        <w:pStyle w:val="BodyText"/>
        <w:numPr>
          <w:ilvl w:val="0"/>
          <w:numId w:val="56"/>
        </w:numPr>
        <w:rPr>
          <w:lang w:val="en-CA"/>
        </w:rPr>
      </w:pPr>
      <w:r w:rsidRPr="00081A5A">
        <w:rPr>
          <w:lang w:val="en-CA"/>
        </w:rPr>
        <w:t xml:space="preserve">You are a customer of a </w:t>
      </w:r>
      <w:r w:rsidRPr="00081A5A">
        <w:rPr>
          <w:i/>
          <w:lang w:val="en-CA"/>
        </w:rPr>
        <w:t>distributor</w:t>
      </w:r>
      <w:r w:rsidRPr="00081A5A">
        <w:rPr>
          <w:lang w:val="en-CA"/>
        </w:rPr>
        <w:t xml:space="preserve"> and a low-volume or designated </w:t>
      </w:r>
      <w:r w:rsidR="00DA3379" w:rsidRPr="00DA3379">
        <w:rPr>
          <w:i/>
          <w:lang w:val="en-CA"/>
        </w:rPr>
        <w:t>consumer</w:t>
      </w:r>
      <w:r w:rsidRPr="00081A5A">
        <w:rPr>
          <w:lang w:val="en-CA"/>
        </w:rPr>
        <w:t>.</w:t>
      </w:r>
    </w:p>
    <w:p w14:paraId="7E422890" w14:textId="77777777" w:rsidR="00C542C2" w:rsidRPr="00377577" w:rsidRDefault="00081A5A" w:rsidP="00C542C2">
      <w:pPr>
        <w:pStyle w:val="BodyText"/>
        <w:rPr>
          <w:lang w:val="en-CA"/>
        </w:rPr>
      </w:pPr>
      <w:r w:rsidRPr="00081A5A">
        <w:rPr>
          <w:i/>
          <w:lang w:val="en-CA"/>
        </w:rPr>
        <w:t>Distributors</w:t>
      </w:r>
      <w:r w:rsidRPr="00081A5A">
        <w:rPr>
          <w:lang w:val="en-CA"/>
        </w:rPr>
        <w:t xml:space="preserve"> are required to submit information to us in advance of OPG Rebate payments to allow us to determine their OPG Rebate amount.  This submission requirement is described below in Section 1.6.3.3.</w:t>
      </w:r>
    </w:p>
    <w:p w14:paraId="4B1B1ACB" w14:textId="77777777" w:rsidR="00B82BFB" w:rsidRDefault="00B82BFB">
      <w:pPr>
        <w:spacing w:after="0"/>
        <w:rPr>
          <w:rFonts w:ascii="Arial" w:hAnsi="Arial"/>
          <w:b/>
          <w:noProof/>
          <w:sz w:val="26"/>
          <w:lang w:val="en-CA" w:eastAsia="en-US"/>
        </w:rPr>
      </w:pPr>
      <w:r>
        <w:rPr>
          <w:lang w:val="en-CA"/>
        </w:rPr>
        <w:br w:type="page"/>
      </w:r>
    </w:p>
    <w:p w14:paraId="69DFA899" w14:textId="77777777" w:rsidR="00726B5C" w:rsidRPr="00377577" w:rsidRDefault="00081A5A">
      <w:pPr>
        <w:pStyle w:val="AppendixHead3"/>
        <w:tabs>
          <w:tab w:val="clear" w:pos="1080"/>
          <w:tab w:val="left" w:pos="0"/>
        </w:tabs>
        <w:ind w:left="0" w:firstLine="0"/>
        <w:rPr>
          <w:lang w:val="en-CA"/>
        </w:rPr>
      </w:pPr>
      <w:r w:rsidRPr="00081A5A">
        <w:rPr>
          <w:lang w:val="en-CA"/>
        </w:rPr>
        <w:t>F.1.2.1</w:t>
      </w:r>
      <w:r w:rsidRPr="00081A5A">
        <w:rPr>
          <w:lang w:val="en-CA"/>
        </w:rPr>
        <w:tab/>
        <w:t>Distributor Submission Requirement</w:t>
      </w:r>
    </w:p>
    <w:p w14:paraId="4453E107" w14:textId="77777777" w:rsidR="00C542C2" w:rsidRPr="00377577" w:rsidRDefault="00081A5A" w:rsidP="00C542C2">
      <w:pPr>
        <w:pStyle w:val="BodyText"/>
        <w:rPr>
          <w:lang w:val="en-CA"/>
        </w:rPr>
      </w:pPr>
      <w:r w:rsidRPr="00081A5A">
        <w:rPr>
          <w:i/>
          <w:lang w:val="en-CA"/>
        </w:rPr>
        <w:t>Market participants</w:t>
      </w:r>
      <w:r w:rsidRPr="00081A5A">
        <w:rPr>
          <w:lang w:val="en-CA"/>
        </w:rPr>
        <w:t xml:space="preserve"> that are </w:t>
      </w:r>
      <w:r w:rsidRPr="00081A5A">
        <w:rPr>
          <w:i/>
          <w:lang w:val="en-CA"/>
        </w:rPr>
        <w:t>distributors</w:t>
      </w:r>
      <w:r w:rsidRPr="00081A5A">
        <w:rPr>
          <w:lang w:val="en-CA"/>
        </w:rPr>
        <w:t xml:space="preserve"> must submit information to us prior to the distribution of the OPG Rebate.  We use this information to calculate the OPG Rebate amount for the </w:t>
      </w:r>
      <w:r w:rsidRPr="00081A5A">
        <w:rPr>
          <w:i/>
          <w:lang w:val="en-CA"/>
        </w:rPr>
        <w:t>distributor</w:t>
      </w:r>
      <w:r w:rsidRPr="00081A5A">
        <w:rPr>
          <w:lang w:val="en-CA"/>
        </w:rPr>
        <w:t>.</w:t>
      </w:r>
    </w:p>
    <w:p w14:paraId="60ECB583" w14:textId="77777777" w:rsidR="00C542C2" w:rsidRPr="00377577" w:rsidRDefault="00081A5A" w:rsidP="00C542C2">
      <w:pPr>
        <w:pStyle w:val="BodyText"/>
        <w:rPr>
          <w:lang w:val="en-CA"/>
        </w:rPr>
      </w:pPr>
      <w:r w:rsidRPr="00081A5A">
        <w:rPr>
          <w:lang w:val="en-CA"/>
        </w:rPr>
        <w:t xml:space="preserve">For the applicable quarter, </w:t>
      </w:r>
      <w:r w:rsidRPr="00081A5A">
        <w:rPr>
          <w:i/>
          <w:lang w:val="en-CA"/>
        </w:rPr>
        <w:t>distributors</w:t>
      </w:r>
      <w:r w:rsidRPr="00081A5A">
        <w:rPr>
          <w:lang w:val="en-CA"/>
        </w:rPr>
        <w:t xml:space="preserve"> must advise us of the volume of </w:t>
      </w:r>
      <w:r w:rsidRPr="00081A5A">
        <w:rPr>
          <w:i/>
          <w:lang w:val="en-CA"/>
        </w:rPr>
        <w:t>energy</w:t>
      </w:r>
      <w:r w:rsidRPr="00081A5A">
        <w:rPr>
          <w:lang w:val="en-CA"/>
        </w:rPr>
        <w:t xml:space="preserve"> withdrawn from the </w:t>
      </w:r>
      <w:r w:rsidRPr="00081A5A">
        <w:rPr>
          <w:i/>
          <w:lang w:val="en-CA"/>
        </w:rPr>
        <w:t>IESO-controlled grid</w:t>
      </w:r>
      <w:r w:rsidRPr="00081A5A">
        <w:rPr>
          <w:lang w:val="en-CA"/>
        </w:rPr>
        <w:t xml:space="preserve"> that is associated with </w:t>
      </w:r>
      <w:r w:rsidRPr="00081A5A">
        <w:rPr>
          <w:i/>
          <w:lang w:val="en-CA"/>
        </w:rPr>
        <w:t>consumers</w:t>
      </w:r>
      <w:r w:rsidRPr="00081A5A">
        <w:rPr>
          <w:lang w:val="en-CA"/>
        </w:rPr>
        <w:t xml:space="preserve"> who are not being charged the Regulated Price Plan (RPP) price for their electricity consumption</w:t>
      </w:r>
      <w:r w:rsidRPr="00081A5A">
        <w:rPr>
          <w:i/>
          <w:lang w:val="en-CA"/>
        </w:rPr>
        <w:t>.</w:t>
      </w:r>
    </w:p>
    <w:p w14:paraId="73FC58F9" w14:textId="77777777" w:rsidR="00C542C2" w:rsidRPr="00377577" w:rsidRDefault="00081A5A" w:rsidP="00C542C2">
      <w:pPr>
        <w:pStyle w:val="BodyText"/>
        <w:rPr>
          <w:lang w:val="en-CA"/>
        </w:rPr>
      </w:pPr>
      <w:r w:rsidRPr="00081A5A">
        <w:rPr>
          <w:lang w:val="en-CA"/>
        </w:rPr>
        <w:t xml:space="preserve">The quantity provided must account for the volumes associated with any embedded </w:t>
      </w:r>
      <w:r w:rsidRPr="00081A5A">
        <w:rPr>
          <w:i/>
          <w:lang w:val="en-CA"/>
        </w:rPr>
        <w:t>distributors</w:t>
      </w:r>
      <w:r w:rsidRPr="00081A5A">
        <w:rPr>
          <w:lang w:val="en-CA"/>
        </w:rPr>
        <w:t xml:space="preserve"> in the </w:t>
      </w:r>
      <w:r w:rsidRPr="00081A5A">
        <w:rPr>
          <w:i/>
          <w:lang w:val="en-CA"/>
        </w:rPr>
        <w:t>distributor’s</w:t>
      </w:r>
      <w:r w:rsidRPr="00081A5A">
        <w:rPr>
          <w:lang w:val="en-CA"/>
        </w:rPr>
        <w:t xml:space="preserve"> service area.</w:t>
      </w:r>
    </w:p>
    <w:p w14:paraId="32EE485C" w14:textId="2E4851D7" w:rsidR="00C542C2" w:rsidRPr="00377577" w:rsidRDefault="00081A5A" w:rsidP="00C542C2">
      <w:pPr>
        <w:pStyle w:val="BodyText"/>
        <w:rPr>
          <w:lang w:val="en-CA"/>
        </w:rPr>
      </w:pPr>
      <w:r w:rsidRPr="00081A5A">
        <w:rPr>
          <w:lang w:val="en-CA"/>
        </w:rPr>
        <w:t xml:space="preserve">Distributors must submit the Ontario Power Generation Rebate - Quarterly Distributor information to us online.  Table F-1 summarizes the submission deadlines for this information.  Enter these volumes, rounded to the nearest kWh (3 decimal places on an MWh), via the Settlements community within the </w:t>
      </w:r>
      <w:r w:rsidRPr="00081A5A">
        <w:rPr>
          <w:i/>
          <w:lang w:val="en-CA"/>
        </w:rPr>
        <w:t>IESO</w:t>
      </w:r>
      <w:r w:rsidRPr="00081A5A">
        <w:rPr>
          <w:lang w:val="en-CA"/>
        </w:rPr>
        <w:t xml:space="preserve"> </w:t>
      </w:r>
      <w:r w:rsidR="004A7BF5">
        <w:rPr>
          <w:lang w:val="en-CA"/>
        </w:rPr>
        <w:t>Gateway</w:t>
      </w:r>
      <w:r w:rsidRPr="00081A5A">
        <w:rPr>
          <w:lang w:val="en-CA"/>
        </w:rPr>
        <w:t>.</w:t>
      </w:r>
    </w:p>
    <w:p w14:paraId="7A5ACDA8" w14:textId="77777777" w:rsidR="00EC70CE" w:rsidRPr="00377577" w:rsidRDefault="00081A5A" w:rsidP="00EC70CE">
      <w:pPr>
        <w:pStyle w:val="AppendixHead3"/>
        <w:tabs>
          <w:tab w:val="clear" w:pos="1080"/>
          <w:tab w:val="left" w:pos="0"/>
        </w:tabs>
        <w:ind w:left="0" w:firstLine="0"/>
        <w:rPr>
          <w:lang w:val="en-CA"/>
        </w:rPr>
      </w:pPr>
      <w:r w:rsidRPr="00081A5A">
        <w:rPr>
          <w:lang w:val="en-CA"/>
        </w:rPr>
        <w:t>F.1.2.2</w:t>
      </w:r>
      <w:r w:rsidRPr="00081A5A">
        <w:rPr>
          <w:lang w:val="en-CA"/>
        </w:rPr>
        <w:tab/>
        <w:t>Pass-Through of Rebate</w:t>
      </w:r>
    </w:p>
    <w:p w14:paraId="089096E1" w14:textId="2778737B" w:rsidR="00C542C2" w:rsidRPr="00377577" w:rsidRDefault="00081A5A" w:rsidP="00C542C2">
      <w:pPr>
        <w:pStyle w:val="BodyText"/>
        <w:rPr>
          <w:lang w:val="en-CA"/>
        </w:rPr>
      </w:pPr>
      <w:r w:rsidRPr="00081A5A">
        <w:rPr>
          <w:lang w:val="en-CA"/>
        </w:rPr>
        <w:t xml:space="preserve">Some </w:t>
      </w:r>
      <w:r w:rsidRPr="00081A5A">
        <w:rPr>
          <w:i/>
          <w:lang w:val="en-CA"/>
        </w:rPr>
        <w:t>market participants</w:t>
      </w:r>
      <w:r w:rsidRPr="00081A5A">
        <w:rPr>
          <w:lang w:val="en-CA"/>
        </w:rPr>
        <w:t xml:space="preserve"> are required to pass OPG Rebate amounts through to their customers.  If you are required to do this, any pass-through amounts that you are unable to distribute or that are returned to you by your customers must be returned to us.  Please notify us of the amounts to be returned via the ‘OPG Rebate Returned to </w:t>
      </w:r>
      <w:r w:rsidRPr="00081A5A">
        <w:rPr>
          <w:szCs w:val="22"/>
          <w:lang w:val="en-CA"/>
        </w:rPr>
        <w:t>IESO’</w:t>
      </w:r>
      <w:r w:rsidRPr="00081A5A">
        <w:rPr>
          <w:lang w:val="en-CA"/>
        </w:rPr>
        <w:t xml:space="preserve">s </w:t>
      </w:r>
      <w:r w:rsidR="00DC0E09" w:rsidRPr="00DC0E09">
        <w:rPr>
          <w:i/>
          <w:lang w:val="en-CA"/>
        </w:rPr>
        <w:t>settlements</w:t>
      </w:r>
      <w:r w:rsidRPr="00081A5A">
        <w:rPr>
          <w:lang w:val="en-CA"/>
        </w:rPr>
        <w:t xml:space="preserve"> data entry screen of the </w:t>
      </w:r>
      <w:r w:rsidRPr="00081A5A">
        <w:rPr>
          <w:i/>
          <w:lang w:val="en-CA"/>
        </w:rPr>
        <w:t>IESO</w:t>
      </w:r>
      <w:r w:rsidRPr="00081A5A">
        <w:rPr>
          <w:lang w:val="en-CA"/>
        </w:rPr>
        <w:t xml:space="preserve"> </w:t>
      </w:r>
      <w:r w:rsidR="004A7BF5">
        <w:rPr>
          <w:lang w:val="en-CA"/>
        </w:rPr>
        <w:t>Gateway</w:t>
      </w:r>
      <w:r w:rsidRPr="00081A5A">
        <w:rPr>
          <w:lang w:val="en-CA"/>
        </w:rPr>
        <w:t>.</w:t>
      </w:r>
    </w:p>
    <w:p w14:paraId="2DF8D822" w14:textId="77777777" w:rsidR="00C542C2" w:rsidRPr="00377577" w:rsidRDefault="00C542C2" w:rsidP="007C598D">
      <w:pPr>
        <w:pStyle w:val="BodyText"/>
        <w:rPr>
          <w:lang w:val="en-CA"/>
        </w:rPr>
      </w:pPr>
    </w:p>
    <w:p w14:paraId="3E885224" w14:textId="77777777" w:rsidR="00601E5D" w:rsidRPr="00377577" w:rsidRDefault="00601E5D" w:rsidP="00601E5D">
      <w:pPr>
        <w:pStyle w:val="BodyText"/>
        <w:rPr>
          <w:lang w:val="en-CA"/>
        </w:rPr>
      </w:pPr>
    </w:p>
    <w:p w14:paraId="0EC3F4FD" w14:textId="77777777" w:rsidR="00601E5D" w:rsidRPr="00377577" w:rsidRDefault="00601E5D" w:rsidP="00601E5D">
      <w:pPr>
        <w:pStyle w:val="BodyText"/>
        <w:rPr>
          <w:lang w:val="en-CA"/>
        </w:rPr>
        <w:sectPr w:rsidR="00601E5D" w:rsidRPr="00377577" w:rsidSect="0080405F">
          <w:headerReference w:type="default" r:id="rId122"/>
          <w:footerReference w:type="default" r:id="rId123"/>
          <w:pgSz w:w="12240" w:h="15840" w:code="1"/>
          <w:pgMar w:top="1440" w:right="1440" w:bottom="1440" w:left="1800" w:header="720" w:footer="720" w:gutter="0"/>
          <w:pgNumType w:start="1" w:chapStyle="7" w:chapSep="enDash"/>
          <w:cols w:space="720"/>
        </w:sectPr>
      </w:pPr>
    </w:p>
    <w:p w14:paraId="0E9A5372" w14:textId="77777777" w:rsidR="00601E5D" w:rsidRPr="00377577" w:rsidRDefault="00081A5A" w:rsidP="00601E5D">
      <w:pPr>
        <w:pStyle w:val="TableCaption"/>
        <w:rPr>
          <w:lang w:val="en-CA"/>
        </w:rPr>
      </w:pPr>
      <w:bookmarkStart w:id="1660" w:name="_Toc400369611"/>
      <w:bookmarkStart w:id="1661" w:name="_Toc35796448"/>
      <w:bookmarkStart w:id="1662" w:name="_Toc79657857"/>
      <w:r w:rsidRPr="00081A5A">
        <w:rPr>
          <w:lang w:val="en-CA"/>
        </w:rPr>
        <w:t>Table F</w:t>
      </w:r>
      <w:r w:rsidRPr="00081A5A">
        <w:rPr>
          <w:snapToGrid w:val="0"/>
          <w:lang w:val="en-CA"/>
        </w:rPr>
        <w:t>–</w:t>
      </w:r>
      <w:r w:rsidRPr="00081A5A">
        <w:rPr>
          <w:lang w:val="en-CA"/>
        </w:rPr>
        <w:t>1:  Summary of Deadlines</w:t>
      </w:r>
      <w:bookmarkEnd w:id="1660"/>
      <w:bookmarkEnd w:id="1661"/>
      <w:bookmarkEnd w:id="1662"/>
    </w:p>
    <w:tbl>
      <w:tblPr>
        <w:tblW w:w="124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28"/>
        <w:gridCol w:w="2286"/>
        <w:gridCol w:w="2605"/>
        <w:gridCol w:w="2628"/>
        <w:gridCol w:w="3211"/>
      </w:tblGrid>
      <w:tr w:rsidR="00601E5D" w:rsidRPr="00377577" w14:paraId="28FBC037" w14:textId="77777777" w:rsidTr="007B06D7">
        <w:trPr>
          <w:tblHeader/>
          <w:jc w:val="center"/>
        </w:trPr>
        <w:tc>
          <w:tcPr>
            <w:tcW w:w="1728" w:type="dxa"/>
            <w:shd w:val="clear" w:color="auto" w:fill="D9D9D9" w:themeFill="background1" w:themeFillShade="D9"/>
            <w:vAlign w:val="center"/>
          </w:tcPr>
          <w:p w14:paraId="51800578" w14:textId="77777777" w:rsidR="00601E5D" w:rsidRPr="00377577" w:rsidRDefault="00081A5A" w:rsidP="00595572">
            <w:pPr>
              <w:pStyle w:val="TableHead"/>
              <w:rPr>
                <w:lang w:val="en-CA"/>
              </w:rPr>
            </w:pPr>
            <w:r w:rsidRPr="00081A5A">
              <w:rPr>
                <w:lang w:val="en-CA"/>
              </w:rPr>
              <w:t>OPG Rebate for:</w:t>
            </w:r>
          </w:p>
        </w:tc>
        <w:tc>
          <w:tcPr>
            <w:tcW w:w="2286" w:type="dxa"/>
            <w:shd w:val="clear" w:color="auto" w:fill="D9D9D9" w:themeFill="background1" w:themeFillShade="D9"/>
            <w:vAlign w:val="center"/>
          </w:tcPr>
          <w:p w14:paraId="375EAA41" w14:textId="77777777" w:rsidR="00601E5D" w:rsidRPr="00377577" w:rsidRDefault="00081A5A" w:rsidP="00595572">
            <w:pPr>
              <w:pStyle w:val="TableHead"/>
              <w:rPr>
                <w:lang w:val="en-CA"/>
              </w:rPr>
            </w:pPr>
            <w:r w:rsidRPr="00081A5A">
              <w:rPr>
                <w:lang w:val="en-CA"/>
              </w:rPr>
              <w:t>Deadline for Submission of the OPG Rebate Quarterly Distribution Energy Volume</w:t>
            </w:r>
          </w:p>
        </w:tc>
        <w:tc>
          <w:tcPr>
            <w:tcW w:w="2605" w:type="dxa"/>
            <w:shd w:val="clear" w:color="auto" w:fill="D9D9D9" w:themeFill="background1" w:themeFillShade="D9"/>
            <w:vAlign w:val="center"/>
          </w:tcPr>
          <w:p w14:paraId="45B65B67" w14:textId="77777777" w:rsidR="00601E5D" w:rsidRPr="00377577" w:rsidRDefault="00081A5A" w:rsidP="00595572">
            <w:pPr>
              <w:pStyle w:val="TableHead"/>
              <w:rPr>
                <w:lang w:val="en-CA"/>
              </w:rPr>
            </w:pPr>
            <w:r w:rsidRPr="00081A5A">
              <w:rPr>
                <w:lang w:val="en-CA"/>
              </w:rPr>
              <w:t>Applicable Settlement Period (AQEW Totals and Data Required on Form Pertains to):</w:t>
            </w:r>
          </w:p>
        </w:tc>
        <w:tc>
          <w:tcPr>
            <w:tcW w:w="2628" w:type="dxa"/>
            <w:shd w:val="clear" w:color="auto" w:fill="D9D9D9" w:themeFill="background1" w:themeFillShade="D9"/>
            <w:vAlign w:val="center"/>
          </w:tcPr>
          <w:p w14:paraId="7FDD4572" w14:textId="77777777" w:rsidR="00601E5D" w:rsidRPr="00377577" w:rsidRDefault="00081A5A" w:rsidP="00595572">
            <w:pPr>
              <w:pStyle w:val="TableHead"/>
              <w:rPr>
                <w:lang w:val="en-CA"/>
              </w:rPr>
            </w:pPr>
            <w:r w:rsidRPr="00081A5A">
              <w:rPr>
                <w:lang w:val="en-CA"/>
              </w:rPr>
              <w:t>For Distributors: Include Low Volume and Designated Consumers Known as of:</w:t>
            </w:r>
          </w:p>
        </w:tc>
        <w:tc>
          <w:tcPr>
            <w:tcW w:w="3211" w:type="dxa"/>
            <w:shd w:val="clear" w:color="auto" w:fill="D9D9D9" w:themeFill="background1" w:themeFillShade="D9"/>
            <w:vAlign w:val="center"/>
          </w:tcPr>
          <w:p w14:paraId="66BE2E1B" w14:textId="77777777" w:rsidR="00601E5D" w:rsidRPr="00377577" w:rsidRDefault="00081A5A" w:rsidP="00595572">
            <w:pPr>
              <w:pStyle w:val="TableHead"/>
              <w:rPr>
                <w:lang w:val="en-CA"/>
              </w:rPr>
            </w:pPr>
            <w:r w:rsidRPr="00081A5A">
              <w:rPr>
                <w:lang w:val="en-CA"/>
              </w:rPr>
              <w:t>Rebate Payment to Eligible MPs on Settlement Statement for Trading Day (if warranted):</w:t>
            </w:r>
          </w:p>
        </w:tc>
      </w:tr>
      <w:tr w:rsidR="00601E5D" w:rsidRPr="00377577" w14:paraId="4BB8B74A" w14:textId="77777777" w:rsidTr="00595572">
        <w:trPr>
          <w:cantSplit/>
          <w:trHeight w:val="449"/>
          <w:jc w:val="center"/>
        </w:trPr>
        <w:tc>
          <w:tcPr>
            <w:tcW w:w="6619" w:type="dxa"/>
            <w:gridSpan w:val="3"/>
            <w:vAlign w:val="center"/>
          </w:tcPr>
          <w:p w14:paraId="5D09C1DD" w14:textId="77777777" w:rsidR="00601E5D" w:rsidRPr="00377577" w:rsidRDefault="00081A5A" w:rsidP="00595572">
            <w:pPr>
              <w:pStyle w:val="TableText"/>
              <w:rPr>
                <w:b/>
                <w:lang w:val="en-CA"/>
              </w:rPr>
            </w:pPr>
            <w:r w:rsidRPr="00081A5A">
              <w:rPr>
                <w:b/>
                <w:lang w:val="en-CA"/>
              </w:rPr>
              <w:t>For the Period from May 1, 2006 to April 30, 2009:</w:t>
            </w:r>
          </w:p>
        </w:tc>
        <w:tc>
          <w:tcPr>
            <w:tcW w:w="2628" w:type="dxa"/>
          </w:tcPr>
          <w:p w14:paraId="5A5F2ADA" w14:textId="77777777" w:rsidR="00601E5D" w:rsidRPr="00377577" w:rsidRDefault="00601E5D" w:rsidP="00595572">
            <w:pPr>
              <w:pStyle w:val="TableText"/>
              <w:rPr>
                <w:lang w:val="en-CA"/>
              </w:rPr>
            </w:pPr>
          </w:p>
        </w:tc>
        <w:tc>
          <w:tcPr>
            <w:tcW w:w="3211" w:type="dxa"/>
          </w:tcPr>
          <w:p w14:paraId="0FFBD8CC" w14:textId="77777777" w:rsidR="00601E5D" w:rsidRPr="00377577" w:rsidRDefault="00601E5D" w:rsidP="00595572">
            <w:pPr>
              <w:pStyle w:val="TableText"/>
              <w:rPr>
                <w:lang w:val="en-CA"/>
              </w:rPr>
            </w:pPr>
          </w:p>
        </w:tc>
      </w:tr>
      <w:tr w:rsidR="00601E5D" w:rsidRPr="00377577" w14:paraId="4F065EEB" w14:textId="77777777" w:rsidTr="00595572">
        <w:trPr>
          <w:jc w:val="center"/>
        </w:trPr>
        <w:tc>
          <w:tcPr>
            <w:tcW w:w="1728" w:type="dxa"/>
          </w:tcPr>
          <w:p w14:paraId="085C8008" w14:textId="77777777" w:rsidR="00601E5D" w:rsidRPr="00377577" w:rsidRDefault="00081A5A" w:rsidP="00595572">
            <w:pPr>
              <w:pStyle w:val="TableText"/>
              <w:rPr>
                <w:lang w:val="en-CA"/>
              </w:rPr>
            </w:pPr>
            <w:r w:rsidRPr="00081A5A">
              <w:rPr>
                <w:lang w:val="en-CA"/>
              </w:rPr>
              <w:t>Quarters ending July 31</w:t>
            </w:r>
          </w:p>
        </w:tc>
        <w:tc>
          <w:tcPr>
            <w:tcW w:w="2286" w:type="dxa"/>
          </w:tcPr>
          <w:p w14:paraId="5FA866D4" w14:textId="77777777" w:rsidR="00601E5D" w:rsidRPr="00377577" w:rsidRDefault="00081A5A" w:rsidP="00595572">
            <w:pPr>
              <w:pStyle w:val="TableText"/>
              <w:rPr>
                <w:lang w:val="en-CA"/>
              </w:rPr>
            </w:pPr>
            <w:r w:rsidRPr="00081A5A">
              <w:rPr>
                <w:lang w:val="en-CA"/>
              </w:rPr>
              <w:t xml:space="preserve">3 </w:t>
            </w:r>
            <w:r w:rsidRPr="00081A5A">
              <w:rPr>
                <w:i/>
                <w:lang w:val="en-CA"/>
              </w:rPr>
              <w:t>business days</w:t>
            </w:r>
            <w:r w:rsidRPr="00081A5A">
              <w:rPr>
                <w:lang w:val="en-CA"/>
              </w:rPr>
              <w:t xml:space="preserve"> </w:t>
            </w:r>
            <w:r w:rsidRPr="00081A5A">
              <w:rPr>
                <w:lang w:val="en-CA"/>
              </w:rPr>
              <w:br/>
              <w:t>before October 31</w:t>
            </w:r>
          </w:p>
        </w:tc>
        <w:tc>
          <w:tcPr>
            <w:tcW w:w="2605" w:type="dxa"/>
            <w:vAlign w:val="center"/>
          </w:tcPr>
          <w:p w14:paraId="5A7DCE7F" w14:textId="77777777" w:rsidR="00601E5D" w:rsidRPr="00377577" w:rsidRDefault="00081A5A" w:rsidP="00595572">
            <w:pPr>
              <w:pStyle w:val="TableText"/>
              <w:jc w:val="center"/>
              <w:rPr>
                <w:lang w:val="en-CA"/>
              </w:rPr>
            </w:pPr>
            <w:r w:rsidRPr="00081A5A">
              <w:rPr>
                <w:lang w:val="en-CA"/>
              </w:rPr>
              <w:t>May 1 – July 31</w:t>
            </w:r>
          </w:p>
        </w:tc>
        <w:tc>
          <w:tcPr>
            <w:tcW w:w="2628" w:type="dxa"/>
            <w:vAlign w:val="center"/>
          </w:tcPr>
          <w:p w14:paraId="2767C52A" w14:textId="77777777" w:rsidR="00601E5D" w:rsidRPr="00377577" w:rsidRDefault="00081A5A" w:rsidP="00595572">
            <w:pPr>
              <w:pStyle w:val="TableText"/>
              <w:jc w:val="center"/>
              <w:rPr>
                <w:lang w:val="en-CA"/>
              </w:rPr>
            </w:pPr>
            <w:r w:rsidRPr="00081A5A">
              <w:rPr>
                <w:lang w:val="en-CA"/>
              </w:rPr>
              <w:t>mid – October</w:t>
            </w:r>
          </w:p>
        </w:tc>
        <w:tc>
          <w:tcPr>
            <w:tcW w:w="3211" w:type="dxa"/>
            <w:vAlign w:val="center"/>
          </w:tcPr>
          <w:p w14:paraId="5303ACBB" w14:textId="77777777" w:rsidR="00601E5D" w:rsidRPr="00377577" w:rsidRDefault="00081A5A" w:rsidP="00595572">
            <w:pPr>
              <w:pStyle w:val="TableText"/>
              <w:jc w:val="center"/>
              <w:rPr>
                <w:lang w:val="en-CA"/>
              </w:rPr>
            </w:pPr>
            <w:r w:rsidRPr="00081A5A">
              <w:rPr>
                <w:lang w:val="en-CA"/>
              </w:rPr>
              <w:t>October 31</w:t>
            </w:r>
          </w:p>
        </w:tc>
      </w:tr>
      <w:tr w:rsidR="00601E5D" w:rsidRPr="00377577" w14:paraId="38BADD5E" w14:textId="77777777" w:rsidTr="00595572">
        <w:trPr>
          <w:jc w:val="center"/>
        </w:trPr>
        <w:tc>
          <w:tcPr>
            <w:tcW w:w="1728" w:type="dxa"/>
          </w:tcPr>
          <w:p w14:paraId="4274472C" w14:textId="77777777" w:rsidR="00601E5D" w:rsidRPr="00377577" w:rsidRDefault="00081A5A" w:rsidP="00595572">
            <w:pPr>
              <w:pStyle w:val="TableText"/>
              <w:rPr>
                <w:lang w:val="en-CA"/>
              </w:rPr>
            </w:pPr>
            <w:r w:rsidRPr="00081A5A">
              <w:rPr>
                <w:lang w:val="en-CA"/>
              </w:rPr>
              <w:t>Quarters ending October 31</w:t>
            </w:r>
          </w:p>
        </w:tc>
        <w:tc>
          <w:tcPr>
            <w:tcW w:w="2286" w:type="dxa"/>
          </w:tcPr>
          <w:p w14:paraId="01DB28BF" w14:textId="77777777" w:rsidR="00601E5D" w:rsidRPr="00377577" w:rsidRDefault="00081A5A" w:rsidP="00595572">
            <w:pPr>
              <w:pStyle w:val="TableText"/>
              <w:rPr>
                <w:lang w:val="en-CA"/>
              </w:rPr>
            </w:pPr>
            <w:r w:rsidRPr="00081A5A">
              <w:rPr>
                <w:lang w:val="en-CA"/>
              </w:rPr>
              <w:t xml:space="preserve">3 </w:t>
            </w:r>
            <w:r w:rsidRPr="00081A5A">
              <w:rPr>
                <w:i/>
                <w:lang w:val="en-CA"/>
              </w:rPr>
              <w:t>business days</w:t>
            </w:r>
            <w:r w:rsidRPr="00081A5A">
              <w:rPr>
                <w:lang w:val="en-CA"/>
              </w:rPr>
              <w:t xml:space="preserve"> </w:t>
            </w:r>
            <w:r w:rsidRPr="00081A5A">
              <w:rPr>
                <w:lang w:val="en-CA"/>
              </w:rPr>
              <w:br/>
              <w:t>before January 31</w:t>
            </w:r>
          </w:p>
        </w:tc>
        <w:tc>
          <w:tcPr>
            <w:tcW w:w="2605" w:type="dxa"/>
            <w:vAlign w:val="center"/>
          </w:tcPr>
          <w:p w14:paraId="4FB6DEFC" w14:textId="77777777" w:rsidR="00601E5D" w:rsidRPr="00377577" w:rsidRDefault="00081A5A" w:rsidP="00595572">
            <w:pPr>
              <w:pStyle w:val="TableText"/>
              <w:jc w:val="center"/>
              <w:rPr>
                <w:lang w:val="en-CA"/>
              </w:rPr>
            </w:pPr>
            <w:r w:rsidRPr="00081A5A">
              <w:rPr>
                <w:lang w:val="en-CA"/>
              </w:rPr>
              <w:t>August 1 – October 31</w:t>
            </w:r>
          </w:p>
        </w:tc>
        <w:tc>
          <w:tcPr>
            <w:tcW w:w="2628" w:type="dxa"/>
            <w:vAlign w:val="center"/>
          </w:tcPr>
          <w:p w14:paraId="35953AD9" w14:textId="77777777" w:rsidR="00601E5D" w:rsidRPr="00377577" w:rsidRDefault="00081A5A" w:rsidP="00595572">
            <w:pPr>
              <w:pStyle w:val="TableText"/>
              <w:jc w:val="center"/>
              <w:rPr>
                <w:lang w:val="en-CA"/>
              </w:rPr>
            </w:pPr>
            <w:r w:rsidRPr="00081A5A">
              <w:rPr>
                <w:lang w:val="en-CA"/>
              </w:rPr>
              <w:t>mid – January</w:t>
            </w:r>
          </w:p>
        </w:tc>
        <w:tc>
          <w:tcPr>
            <w:tcW w:w="3211" w:type="dxa"/>
            <w:vAlign w:val="center"/>
          </w:tcPr>
          <w:p w14:paraId="38FF6462" w14:textId="77777777" w:rsidR="00601E5D" w:rsidRPr="00377577" w:rsidRDefault="00081A5A" w:rsidP="00595572">
            <w:pPr>
              <w:pStyle w:val="TableText"/>
              <w:jc w:val="center"/>
              <w:rPr>
                <w:lang w:val="en-CA"/>
              </w:rPr>
            </w:pPr>
            <w:r w:rsidRPr="00081A5A">
              <w:rPr>
                <w:lang w:val="en-CA"/>
              </w:rPr>
              <w:t>January 31</w:t>
            </w:r>
          </w:p>
        </w:tc>
      </w:tr>
      <w:tr w:rsidR="00601E5D" w:rsidRPr="00377577" w14:paraId="269EB821" w14:textId="77777777" w:rsidTr="00595572">
        <w:trPr>
          <w:jc w:val="center"/>
        </w:trPr>
        <w:tc>
          <w:tcPr>
            <w:tcW w:w="1728" w:type="dxa"/>
          </w:tcPr>
          <w:p w14:paraId="73CB29D9" w14:textId="77777777" w:rsidR="00601E5D" w:rsidRPr="00377577" w:rsidRDefault="00081A5A" w:rsidP="00595572">
            <w:pPr>
              <w:pStyle w:val="TableText"/>
              <w:rPr>
                <w:lang w:val="en-CA"/>
              </w:rPr>
            </w:pPr>
            <w:r w:rsidRPr="00081A5A">
              <w:rPr>
                <w:lang w:val="en-CA"/>
              </w:rPr>
              <w:t>Quarters ending January 31</w:t>
            </w:r>
          </w:p>
        </w:tc>
        <w:tc>
          <w:tcPr>
            <w:tcW w:w="2286" w:type="dxa"/>
          </w:tcPr>
          <w:p w14:paraId="54116DB4" w14:textId="77777777" w:rsidR="00601E5D" w:rsidRPr="00377577" w:rsidRDefault="00081A5A" w:rsidP="00595572">
            <w:pPr>
              <w:pStyle w:val="TableText"/>
              <w:rPr>
                <w:lang w:val="en-CA"/>
              </w:rPr>
            </w:pPr>
            <w:r w:rsidRPr="00081A5A">
              <w:rPr>
                <w:lang w:val="en-CA"/>
              </w:rPr>
              <w:t xml:space="preserve">3 </w:t>
            </w:r>
            <w:r w:rsidRPr="00081A5A">
              <w:rPr>
                <w:i/>
                <w:lang w:val="en-CA"/>
              </w:rPr>
              <w:t xml:space="preserve">business days </w:t>
            </w:r>
            <w:r w:rsidRPr="00081A5A">
              <w:rPr>
                <w:i/>
                <w:lang w:val="en-CA"/>
              </w:rPr>
              <w:br/>
            </w:r>
            <w:r w:rsidRPr="00081A5A">
              <w:rPr>
                <w:lang w:val="en-CA"/>
              </w:rPr>
              <w:t>before April 30</w:t>
            </w:r>
          </w:p>
        </w:tc>
        <w:tc>
          <w:tcPr>
            <w:tcW w:w="2605" w:type="dxa"/>
            <w:vAlign w:val="center"/>
          </w:tcPr>
          <w:p w14:paraId="3BAA869B" w14:textId="77777777" w:rsidR="00601E5D" w:rsidRPr="00377577" w:rsidRDefault="00081A5A" w:rsidP="00595572">
            <w:pPr>
              <w:pStyle w:val="TableText"/>
              <w:jc w:val="center"/>
              <w:rPr>
                <w:lang w:val="en-CA"/>
              </w:rPr>
            </w:pPr>
            <w:r w:rsidRPr="00081A5A">
              <w:rPr>
                <w:lang w:val="en-CA"/>
              </w:rPr>
              <w:t>November 1 – January 31</w:t>
            </w:r>
          </w:p>
        </w:tc>
        <w:tc>
          <w:tcPr>
            <w:tcW w:w="2628" w:type="dxa"/>
            <w:vAlign w:val="center"/>
          </w:tcPr>
          <w:p w14:paraId="17FAB796" w14:textId="77777777" w:rsidR="00601E5D" w:rsidRPr="00377577" w:rsidRDefault="00081A5A" w:rsidP="00595572">
            <w:pPr>
              <w:pStyle w:val="TableText"/>
              <w:jc w:val="center"/>
              <w:rPr>
                <w:lang w:val="en-CA"/>
              </w:rPr>
            </w:pPr>
            <w:r w:rsidRPr="00081A5A">
              <w:rPr>
                <w:lang w:val="en-CA"/>
              </w:rPr>
              <w:t>mid – April</w:t>
            </w:r>
          </w:p>
        </w:tc>
        <w:tc>
          <w:tcPr>
            <w:tcW w:w="3211" w:type="dxa"/>
            <w:vAlign w:val="center"/>
          </w:tcPr>
          <w:p w14:paraId="0861AFB7" w14:textId="77777777" w:rsidR="00601E5D" w:rsidRPr="00377577" w:rsidRDefault="00081A5A" w:rsidP="00595572">
            <w:pPr>
              <w:pStyle w:val="TableText"/>
              <w:jc w:val="center"/>
              <w:rPr>
                <w:lang w:val="en-CA"/>
              </w:rPr>
            </w:pPr>
            <w:r w:rsidRPr="00081A5A">
              <w:rPr>
                <w:lang w:val="en-CA"/>
              </w:rPr>
              <w:t>April 30</w:t>
            </w:r>
          </w:p>
        </w:tc>
      </w:tr>
      <w:tr w:rsidR="00601E5D" w14:paraId="449A5CD4" w14:textId="77777777" w:rsidTr="00595572">
        <w:trPr>
          <w:jc w:val="center"/>
        </w:trPr>
        <w:tc>
          <w:tcPr>
            <w:tcW w:w="1728" w:type="dxa"/>
          </w:tcPr>
          <w:p w14:paraId="320A89C1" w14:textId="77777777" w:rsidR="00601E5D" w:rsidRPr="00377577" w:rsidRDefault="00081A5A" w:rsidP="00595572">
            <w:pPr>
              <w:pStyle w:val="TableText"/>
              <w:rPr>
                <w:lang w:val="en-CA"/>
              </w:rPr>
            </w:pPr>
            <w:r w:rsidRPr="00081A5A">
              <w:rPr>
                <w:lang w:val="en-CA"/>
              </w:rPr>
              <w:t>Quarters ending April 30</w:t>
            </w:r>
          </w:p>
        </w:tc>
        <w:tc>
          <w:tcPr>
            <w:tcW w:w="2286" w:type="dxa"/>
          </w:tcPr>
          <w:p w14:paraId="59537AB1" w14:textId="77777777" w:rsidR="00601E5D" w:rsidRPr="00377577" w:rsidRDefault="00081A5A" w:rsidP="00595572">
            <w:pPr>
              <w:pStyle w:val="TableText"/>
              <w:rPr>
                <w:lang w:val="en-CA"/>
              </w:rPr>
            </w:pPr>
            <w:r w:rsidRPr="00081A5A">
              <w:rPr>
                <w:lang w:val="en-CA"/>
              </w:rPr>
              <w:t xml:space="preserve">3 </w:t>
            </w:r>
            <w:r w:rsidRPr="00081A5A">
              <w:rPr>
                <w:i/>
                <w:lang w:val="en-CA"/>
              </w:rPr>
              <w:t xml:space="preserve">business days </w:t>
            </w:r>
            <w:r w:rsidRPr="00081A5A">
              <w:rPr>
                <w:i/>
                <w:lang w:val="en-CA"/>
              </w:rPr>
              <w:br/>
            </w:r>
            <w:r w:rsidRPr="00081A5A">
              <w:rPr>
                <w:lang w:val="en-CA"/>
              </w:rPr>
              <w:t>before July 31</w:t>
            </w:r>
          </w:p>
        </w:tc>
        <w:tc>
          <w:tcPr>
            <w:tcW w:w="2605" w:type="dxa"/>
            <w:vAlign w:val="center"/>
          </w:tcPr>
          <w:p w14:paraId="7296C060" w14:textId="77777777" w:rsidR="00601E5D" w:rsidRPr="00377577" w:rsidRDefault="00081A5A" w:rsidP="00595572">
            <w:pPr>
              <w:pStyle w:val="TableText"/>
              <w:jc w:val="center"/>
              <w:rPr>
                <w:lang w:val="en-CA"/>
              </w:rPr>
            </w:pPr>
            <w:r w:rsidRPr="00081A5A">
              <w:rPr>
                <w:lang w:val="en-CA"/>
              </w:rPr>
              <w:t>February 1 – April 30</w:t>
            </w:r>
          </w:p>
        </w:tc>
        <w:tc>
          <w:tcPr>
            <w:tcW w:w="2628" w:type="dxa"/>
            <w:vAlign w:val="center"/>
          </w:tcPr>
          <w:p w14:paraId="1C5F082E" w14:textId="77777777" w:rsidR="00601E5D" w:rsidRPr="00377577" w:rsidRDefault="00081A5A" w:rsidP="00595572">
            <w:pPr>
              <w:pStyle w:val="TableText"/>
              <w:jc w:val="center"/>
              <w:rPr>
                <w:lang w:val="en-CA"/>
              </w:rPr>
            </w:pPr>
            <w:r w:rsidRPr="00081A5A">
              <w:rPr>
                <w:lang w:val="en-CA"/>
              </w:rPr>
              <w:t>mid – July</w:t>
            </w:r>
          </w:p>
        </w:tc>
        <w:tc>
          <w:tcPr>
            <w:tcW w:w="3211" w:type="dxa"/>
            <w:vAlign w:val="center"/>
          </w:tcPr>
          <w:p w14:paraId="04C9965F" w14:textId="77777777" w:rsidR="00601E5D" w:rsidRDefault="00081A5A" w:rsidP="00595572">
            <w:pPr>
              <w:pStyle w:val="TableText"/>
              <w:jc w:val="center"/>
              <w:rPr>
                <w:lang w:val="en-CA"/>
              </w:rPr>
            </w:pPr>
            <w:r w:rsidRPr="00081A5A">
              <w:rPr>
                <w:lang w:val="en-CA"/>
              </w:rPr>
              <w:t>July 31</w:t>
            </w:r>
          </w:p>
        </w:tc>
      </w:tr>
    </w:tbl>
    <w:p w14:paraId="70E81232" w14:textId="77777777" w:rsidR="00601E5D" w:rsidRDefault="00601E5D" w:rsidP="007C598D">
      <w:pPr>
        <w:pStyle w:val="BodyText"/>
        <w:rPr>
          <w:lang w:val="en-CA"/>
        </w:rPr>
      </w:pPr>
    </w:p>
    <w:p w14:paraId="120EF88F" w14:textId="77777777" w:rsidR="00357E28" w:rsidRDefault="00357E28" w:rsidP="007C598D">
      <w:pPr>
        <w:pStyle w:val="BodyText"/>
        <w:rPr>
          <w:lang w:val="en-CA"/>
        </w:rPr>
      </w:pPr>
    </w:p>
    <w:p w14:paraId="63624B1B" w14:textId="5FFFB7DA" w:rsidR="00662B1E" w:rsidRDefault="00662B1E" w:rsidP="00F5232A">
      <w:pPr>
        <w:pStyle w:val="EndofText"/>
      </w:pPr>
      <w:del w:id="1663" w:author="Author">
        <w:r>
          <w:rPr>
            <w:noProof w:val="0"/>
          </w:rPr>
          <w:sym w:font="Symbol" w:char="F02D"/>
        </w:r>
      </w:del>
      <w:ins w:id="1664" w:author="Author">
        <w:r>
          <w:rPr>
            <w:rFonts w:ascii="Symbol" w:eastAsia="Symbol" w:hAnsi="Symbol" w:cs="Symbol"/>
          </w:rPr>
          <w:t></w:t>
        </w:r>
      </w:ins>
      <w:r>
        <w:rPr>
          <w:noProof w:val="0"/>
        </w:rPr>
        <w:t xml:space="preserve"> End of Section </w:t>
      </w:r>
      <w:del w:id="1665" w:author="Author">
        <w:r>
          <w:rPr>
            <w:noProof w:val="0"/>
          </w:rPr>
          <w:sym w:font="Symbol" w:char="F02D"/>
        </w:r>
      </w:del>
      <w:ins w:id="1666" w:author="Author">
        <w:r>
          <w:rPr>
            <w:rFonts w:ascii="Symbol" w:eastAsia="Symbol" w:hAnsi="Symbol" w:cs="Symbol"/>
          </w:rPr>
          <w:t></w:t>
        </w:r>
      </w:ins>
    </w:p>
    <w:p w14:paraId="4CE83DC0" w14:textId="77777777" w:rsidR="00662B1E" w:rsidRDefault="00662B1E" w:rsidP="00662B1E">
      <w:pPr>
        <w:pStyle w:val="BodyText"/>
        <w:rPr>
          <w:lang w:val="en-CA"/>
        </w:rPr>
        <w:sectPr w:rsidR="00662B1E" w:rsidSect="001D3D7C">
          <w:headerReference w:type="even" r:id="rId124"/>
          <w:headerReference w:type="default" r:id="rId125"/>
          <w:footerReference w:type="even" r:id="rId126"/>
          <w:footerReference w:type="default" r:id="rId127"/>
          <w:pgSz w:w="15840" w:h="12240" w:orient="landscape" w:code="1"/>
          <w:pgMar w:top="1800" w:right="1440" w:bottom="1440" w:left="1440" w:header="720" w:footer="720" w:gutter="0"/>
          <w:pgNumType w:start="4" w:chapStyle="7" w:chapSep="enDash"/>
          <w:cols w:space="720"/>
          <w:docGrid w:linePitch="299"/>
        </w:sectPr>
      </w:pPr>
    </w:p>
    <w:p w14:paraId="0495BAA8" w14:textId="77777777" w:rsidR="00855CB7" w:rsidRDefault="00855CB7">
      <w:pPr>
        <w:pStyle w:val="Head1NoNum"/>
        <w:rPr>
          <w:lang w:val="en-CA"/>
        </w:rPr>
      </w:pPr>
      <w:bookmarkStart w:id="1667" w:name="_Toc486126642"/>
      <w:bookmarkStart w:id="1668" w:name="_Toc494078126"/>
      <w:bookmarkStart w:id="1669" w:name="_Toc523718550"/>
      <w:bookmarkStart w:id="1670" w:name="_Toc531403078"/>
      <w:bookmarkStart w:id="1671" w:name="_Toc531403213"/>
      <w:bookmarkStart w:id="1672" w:name="_Toc532969203"/>
      <w:bookmarkStart w:id="1673" w:name="_Toc175383937"/>
      <w:bookmarkStart w:id="1674" w:name="_Toc400369563"/>
      <w:bookmarkStart w:id="1675" w:name="_Toc35796401"/>
      <w:bookmarkStart w:id="1676" w:name="_Toc79658003"/>
      <w:r>
        <w:rPr>
          <w:lang w:val="en-CA"/>
        </w:rPr>
        <w:t>Ref</w:t>
      </w:r>
      <w:bookmarkStart w:id="1677" w:name="_Hlt524943544"/>
      <w:bookmarkEnd w:id="1677"/>
      <w:r>
        <w:rPr>
          <w:lang w:val="en-CA"/>
        </w:rPr>
        <w:t>erences</w:t>
      </w:r>
      <w:bookmarkEnd w:id="1667"/>
      <w:bookmarkEnd w:id="1668"/>
      <w:bookmarkEnd w:id="1669"/>
      <w:bookmarkEnd w:id="1670"/>
      <w:bookmarkEnd w:id="1671"/>
      <w:bookmarkEnd w:id="1672"/>
      <w:bookmarkEnd w:id="1673"/>
      <w:bookmarkEnd w:id="1674"/>
      <w:bookmarkEnd w:id="1675"/>
      <w:bookmarkEnd w:id="167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04"/>
        <w:gridCol w:w="6624"/>
      </w:tblGrid>
      <w:tr w:rsidR="00855CB7" w14:paraId="74D2D8E8" w14:textId="77777777" w:rsidTr="007B06D7">
        <w:trPr>
          <w:tblHeader/>
        </w:trPr>
        <w:tc>
          <w:tcPr>
            <w:tcW w:w="2304" w:type="dxa"/>
            <w:shd w:val="clear" w:color="auto" w:fill="D9D9D9" w:themeFill="background1" w:themeFillShade="D9"/>
            <w:vAlign w:val="center"/>
          </w:tcPr>
          <w:p w14:paraId="7F267294" w14:textId="77777777" w:rsidR="0050452D" w:rsidRDefault="00855CB7">
            <w:pPr>
              <w:pStyle w:val="DocumentControlTableHead"/>
              <w:jc w:val="center"/>
              <w:rPr>
                <w:lang w:val="en-CA"/>
              </w:rPr>
            </w:pPr>
            <w:r>
              <w:rPr>
                <w:lang w:val="en-CA"/>
              </w:rPr>
              <w:t>Document ID</w:t>
            </w:r>
          </w:p>
        </w:tc>
        <w:tc>
          <w:tcPr>
            <w:tcW w:w="6624" w:type="dxa"/>
            <w:shd w:val="clear" w:color="auto" w:fill="D9D9D9" w:themeFill="background1" w:themeFillShade="D9"/>
            <w:vAlign w:val="center"/>
          </w:tcPr>
          <w:p w14:paraId="010696C6" w14:textId="77777777" w:rsidR="0050452D" w:rsidRDefault="00855CB7">
            <w:pPr>
              <w:pStyle w:val="DocumentControlTableHead"/>
              <w:jc w:val="center"/>
              <w:rPr>
                <w:lang w:val="en-CA"/>
              </w:rPr>
            </w:pPr>
            <w:r>
              <w:rPr>
                <w:lang w:val="en-CA"/>
              </w:rPr>
              <w:t>Document Title</w:t>
            </w:r>
          </w:p>
        </w:tc>
      </w:tr>
      <w:tr w:rsidR="00855CB7" w14:paraId="73D4AE8C" w14:textId="77777777" w:rsidTr="001A01BE">
        <w:tc>
          <w:tcPr>
            <w:tcW w:w="2304" w:type="dxa"/>
          </w:tcPr>
          <w:p w14:paraId="57D83836" w14:textId="77777777" w:rsidR="00855CB7" w:rsidRDefault="00855CB7">
            <w:pPr>
              <w:pStyle w:val="DocumentControlTableText"/>
              <w:rPr>
                <w:lang w:val="en-CA"/>
              </w:rPr>
            </w:pPr>
            <w:r>
              <w:rPr>
                <w:lang w:val="en-CA"/>
              </w:rPr>
              <w:t>MDP_RUL_0002</w:t>
            </w:r>
          </w:p>
        </w:tc>
        <w:tc>
          <w:tcPr>
            <w:tcW w:w="6624" w:type="dxa"/>
          </w:tcPr>
          <w:p w14:paraId="1CF165A2" w14:textId="77777777" w:rsidR="00855CB7" w:rsidRDefault="00855CB7">
            <w:pPr>
              <w:pStyle w:val="DocumentControlTableText"/>
              <w:rPr>
                <w:lang w:val="en-CA"/>
              </w:rPr>
            </w:pPr>
            <w:r>
              <w:rPr>
                <w:lang w:val="en-CA"/>
              </w:rPr>
              <w:t>Market Rules for the Ontario Electricity Market</w:t>
            </w:r>
          </w:p>
        </w:tc>
      </w:tr>
      <w:tr w:rsidR="002D6B14" w14:paraId="121FCB95" w14:textId="77777777" w:rsidTr="001A01BE">
        <w:tc>
          <w:tcPr>
            <w:tcW w:w="2304" w:type="dxa"/>
          </w:tcPr>
          <w:p w14:paraId="3B261EBE" w14:textId="1372F5E0" w:rsidR="002D6B14" w:rsidRDefault="002D6B14">
            <w:pPr>
              <w:pStyle w:val="DocumentControlTableText"/>
              <w:rPr>
                <w:lang w:val="en-CA"/>
              </w:rPr>
            </w:pPr>
            <w:r>
              <w:rPr>
                <w:lang w:val="en-CA"/>
              </w:rPr>
              <w:t>PRO-408</w:t>
            </w:r>
          </w:p>
        </w:tc>
        <w:tc>
          <w:tcPr>
            <w:tcW w:w="6624" w:type="dxa"/>
          </w:tcPr>
          <w:p w14:paraId="2B62DBE2" w14:textId="77777777" w:rsidR="002D6B14" w:rsidRDefault="002D6B14">
            <w:pPr>
              <w:pStyle w:val="DocumentControlTableText"/>
              <w:rPr>
                <w:lang w:val="en-CA"/>
              </w:rPr>
            </w:pPr>
            <w:r>
              <w:rPr>
                <w:lang w:val="en-CA"/>
              </w:rPr>
              <w:t>Market Manual 1: Connecting to Ontario’s Power System,</w:t>
            </w:r>
          </w:p>
          <w:p w14:paraId="407636C4" w14:textId="5DA7102A" w:rsidR="002D6B14" w:rsidRDefault="002D6B14">
            <w:pPr>
              <w:pStyle w:val="DocumentControlTableText"/>
              <w:rPr>
                <w:lang w:val="en-CA"/>
              </w:rPr>
            </w:pPr>
            <w:r>
              <w:rPr>
                <w:lang w:val="en-CA"/>
              </w:rPr>
              <w:t>Part 1.5: Market Registration Procedures</w:t>
            </w:r>
          </w:p>
        </w:tc>
      </w:tr>
      <w:tr w:rsidR="00855CB7" w14:paraId="6C900154" w14:textId="77777777" w:rsidTr="001A01BE">
        <w:tc>
          <w:tcPr>
            <w:tcW w:w="2304" w:type="dxa"/>
          </w:tcPr>
          <w:p w14:paraId="41AD9109" w14:textId="77777777" w:rsidR="00855CB7" w:rsidRDefault="00855CB7">
            <w:pPr>
              <w:pStyle w:val="DocumentControlTableText"/>
              <w:rPr>
                <w:lang w:val="en-CA"/>
              </w:rPr>
            </w:pPr>
            <w:r>
              <w:rPr>
                <w:lang w:val="en-CA"/>
              </w:rPr>
              <w:t>MDP_PRO_0017</w:t>
            </w:r>
          </w:p>
        </w:tc>
        <w:tc>
          <w:tcPr>
            <w:tcW w:w="6624" w:type="dxa"/>
          </w:tcPr>
          <w:p w14:paraId="3AA1CF07" w14:textId="77777777" w:rsidR="00855CB7" w:rsidRDefault="00855CB7">
            <w:pPr>
              <w:pStyle w:val="DocumentControlTableText"/>
              <w:rPr>
                <w:lang w:val="en-CA"/>
              </w:rPr>
            </w:pPr>
            <w:r>
              <w:rPr>
                <w:lang w:val="en-CA"/>
              </w:rPr>
              <w:t>Market Manual 2: Market Administration, Part 2.1</w:t>
            </w:r>
            <w:r w:rsidR="008F2690">
              <w:rPr>
                <w:lang w:val="en-CA"/>
              </w:rPr>
              <w:t>:</w:t>
            </w:r>
            <w:r>
              <w:rPr>
                <w:lang w:val="en-CA"/>
              </w:rPr>
              <w:t xml:space="preserve"> Dispute Resolution</w:t>
            </w:r>
          </w:p>
        </w:tc>
      </w:tr>
      <w:tr w:rsidR="00855CB7" w14:paraId="69EA995F" w14:textId="77777777" w:rsidTr="001A01BE">
        <w:tc>
          <w:tcPr>
            <w:tcW w:w="2304" w:type="dxa"/>
          </w:tcPr>
          <w:p w14:paraId="6B8FDFC9" w14:textId="77777777" w:rsidR="00855CB7" w:rsidRDefault="00855CB7">
            <w:pPr>
              <w:pStyle w:val="DocumentControlTableText"/>
              <w:rPr>
                <w:lang w:val="en-CA"/>
              </w:rPr>
            </w:pPr>
            <w:r>
              <w:rPr>
                <w:lang w:val="en-CA"/>
              </w:rPr>
              <w:t>MDP_MAN_0005</w:t>
            </w:r>
          </w:p>
        </w:tc>
        <w:tc>
          <w:tcPr>
            <w:tcW w:w="6624" w:type="dxa"/>
          </w:tcPr>
          <w:p w14:paraId="09890DFF" w14:textId="77777777" w:rsidR="00855CB7" w:rsidRDefault="00855CB7">
            <w:pPr>
              <w:pStyle w:val="DocumentControlTableText"/>
              <w:rPr>
                <w:lang w:val="en-CA"/>
              </w:rPr>
            </w:pPr>
            <w:r>
              <w:rPr>
                <w:lang w:val="en-CA"/>
              </w:rPr>
              <w:t>Market Manual 5: Settlements, Part 5.0: Settlements Overview</w:t>
            </w:r>
          </w:p>
        </w:tc>
      </w:tr>
      <w:tr w:rsidR="00855CB7" w14:paraId="575758CE" w14:textId="77777777" w:rsidTr="001A01BE">
        <w:tc>
          <w:tcPr>
            <w:tcW w:w="2304" w:type="dxa"/>
          </w:tcPr>
          <w:p w14:paraId="680AB204" w14:textId="77777777" w:rsidR="00855CB7" w:rsidRDefault="00855CB7">
            <w:pPr>
              <w:pStyle w:val="DocumentControlTableText"/>
              <w:rPr>
                <w:lang w:val="en-CA"/>
              </w:rPr>
            </w:pPr>
            <w:r>
              <w:rPr>
                <w:lang w:val="en-CA"/>
              </w:rPr>
              <w:t>MDP_PRO_0031</w:t>
            </w:r>
          </w:p>
        </w:tc>
        <w:tc>
          <w:tcPr>
            <w:tcW w:w="6624" w:type="dxa"/>
          </w:tcPr>
          <w:p w14:paraId="7D5C41DB" w14:textId="77777777" w:rsidR="00855CB7" w:rsidRDefault="00855CB7">
            <w:pPr>
              <w:pStyle w:val="DocumentControlTableText"/>
              <w:rPr>
                <w:lang w:val="en-CA"/>
              </w:rPr>
            </w:pPr>
            <w:r>
              <w:rPr>
                <w:lang w:val="en-CA"/>
              </w:rPr>
              <w:t>Market Manual 5: Settlements,</w:t>
            </w:r>
            <w:r w:rsidR="00C13005">
              <w:rPr>
                <w:lang w:val="en-CA"/>
              </w:rPr>
              <w:br/>
            </w:r>
            <w:r>
              <w:rPr>
                <w:lang w:val="en-CA"/>
              </w:rPr>
              <w:t>Part 5.1: Settlement Schedule and Payments Calendars (SSPCs)</w:t>
            </w:r>
          </w:p>
        </w:tc>
      </w:tr>
      <w:tr w:rsidR="00855CB7" w14:paraId="5E58C5C7" w14:textId="77777777" w:rsidTr="001A01BE">
        <w:tc>
          <w:tcPr>
            <w:tcW w:w="2304" w:type="dxa"/>
          </w:tcPr>
          <w:p w14:paraId="4CF6C68E" w14:textId="77777777" w:rsidR="00855CB7" w:rsidRDefault="00855CB7">
            <w:pPr>
              <w:pStyle w:val="DocumentControlTableText"/>
              <w:rPr>
                <w:lang w:val="en-CA"/>
              </w:rPr>
            </w:pPr>
            <w:r>
              <w:rPr>
                <w:lang w:val="en-CA"/>
              </w:rPr>
              <w:t>MDP_PRO_0032</w:t>
            </w:r>
          </w:p>
        </w:tc>
        <w:tc>
          <w:tcPr>
            <w:tcW w:w="6624" w:type="dxa"/>
          </w:tcPr>
          <w:p w14:paraId="322C08C2" w14:textId="77777777" w:rsidR="00855CB7" w:rsidRDefault="00855CB7">
            <w:pPr>
              <w:pStyle w:val="DocumentControlTableText"/>
              <w:rPr>
                <w:lang w:val="en-CA"/>
              </w:rPr>
            </w:pPr>
            <w:r>
              <w:rPr>
                <w:lang w:val="en-CA"/>
              </w:rPr>
              <w:t>Market Manual 5 Settlements</w:t>
            </w:r>
            <w:r w:rsidR="00C13005">
              <w:rPr>
                <w:lang w:val="en-CA"/>
              </w:rPr>
              <w:t>,</w:t>
            </w:r>
            <w:r>
              <w:rPr>
                <w:lang w:val="en-CA"/>
              </w:rPr>
              <w:t xml:space="preserve"> Part 5.2: Metering Data Processing</w:t>
            </w:r>
          </w:p>
        </w:tc>
      </w:tr>
      <w:tr w:rsidR="00F83CB2" w14:paraId="5EB6E1D8" w14:textId="77777777" w:rsidTr="001A01BE">
        <w:tc>
          <w:tcPr>
            <w:tcW w:w="2304" w:type="dxa"/>
          </w:tcPr>
          <w:p w14:paraId="0EA85231" w14:textId="77777777" w:rsidR="00F83CB2" w:rsidRDefault="00F83CB2">
            <w:pPr>
              <w:pStyle w:val="DocumentControlTableText"/>
              <w:rPr>
                <w:lang w:val="en-CA"/>
              </w:rPr>
            </w:pPr>
            <w:r>
              <w:rPr>
                <w:lang w:val="en-CA"/>
              </w:rPr>
              <w:t>MDP_PRO_0034</w:t>
            </w:r>
          </w:p>
        </w:tc>
        <w:tc>
          <w:tcPr>
            <w:tcW w:w="6624" w:type="dxa"/>
          </w:tcPr>
          <w:p w14:paraId="6A65CEAE" w14:textId="77777777" w:rsidR="00F83CB2" w:rsidRDefault="00F83CB2">
            <w:pPr>
              <w:pStyle w:val="DocumentControlTableText"/>
              <w:rPr>
                <w:lang w:val="en-CA"/>
              </w:rPr>
            </w:pPr>
            <w:r>
              <w:t>Market Manual 5, Settlements,</w:t>
            </w:r>
            <w:r>
              <w:br/>
              <w:t>Part 5.3: Submission of Physical Bilateral Contact Data</w:t>
            </w:r>
          </w:p>
        </w:tc>
      </w:tr>
      <w:tr w:rsidR="00855CB7" w14:paraId="235CF631" w14:textId="77777777" w:rsidTr="001A01BE">
        <w:tc>
          <w:tcPr>
            <w:tcW w:w="2304" w:type="dxa"/>
          </w:tcPr>
          <w:p w14:paraId="2903063E" w14:textId="77777777" w:rsidR="00855CB7" w:rsidRDefault="00855CB7">
            <w:pPr>
              <w:pStyle w:val="DocumentControlTableText"/>
              <w:rPr>
                <w:lang w:val="en-CA"/>
              </w:rPr>
            </w:pPr>
            <w:r>
              <w:rPr>
                <w:lang w:val="en-CA"/>
              </w:rPr>
              <w:t>MDP_PRO_0035</w:t>
            </w:r>
          </w:p>
        </w:tc>
        <w:tc>
          <w:tcPr>
            <w:tcW w:w="6624" w:type="dxa"/>
          </w:tcPr>
          <w:p w14:paraId="74134C24" w14:textId="77777777" w:rsidR="00855CB7" w:rsidRDefault="00855CB7">
            <w:pPr>
              <w:pStyle w:val="DocumentControlTableText"/>
              <w:rPr>
                <w:lang w:val="en-CA"/>
              </w:rPr>
            </w:pPr>
            <w:r>
              <w:rPr>
                <w:lang w:val="en-CA"/>
              </w:rPr>
              <w:t>Market Manual 5: Settlements,</w:t>
            </w:r>
            <w:r w:rsidR="00C13005">
              <w:rPr>
                <w:lang w:val="en-CA"/>
              </w:rPr>
              <w:br/>
            </w:r>
            <w:r>
              <w:rPr>
                <w:lang w:val="en-CA"/>
              </w:rPr>
              <w:t>Part 5.6: Physical Markets Settlement Invoicing</w:t>
            </w:r>
          </w:p>
        </w:tc>
      </w:tr>
      <w:tr w:rsidR="00C30AB5" w14:paraId="247E8DE4" w14:textId="77777777" w:rsidTr="001A01BE">
        <w:tc>
          <w:tcPr>
            <w:tcW w:w="2304" w:type="dxa"/>
          </w:tcPr>
          <w:p w14:paraId="405D8C0B" w14:textId="77777777" w:rsidR="00C30AB5" w:rsidRDefault="00C30AB5" w:rsidP="00C9570D">
            <w:pPr>
              <w:pStyle w:val="DocumentControlTableText"/>
              <w:rPr>
                <w:lang w:val="en-CA"/>
              </w:rPr>
            </w:pPr>
            <w:r>
              <w:rPr>
                <w:lang w:val="en-CA"/>
              </w:rPr>
              <w:t>MDP_PRO_0036</w:t>
            </w:r>
          </w:p>
        </w:tc>
        <w:tc>
          <w:tcPr>
            <w:tcW w:w="6624" w:type="dxa"/>
          </w:tcPr>
          <w:p w14:paraId="5FD25E75" w14:textId="77777777" w:rsidR="00C30AB5" w:rsidRDefault="00C30AB5" w:rsidP="00C9570D">
            <w:pPr>
              <w:pStyle w:val="DocumentControlTableText"/>
              <w:rPr>
                <w:lang w:val="en-CA"/>
              </w:rPr>
            </w:pPr>
            <w:r>
              <w:rPr>
                <w:lang w:val="en-CA"/>
              </w:rPr>
              <w:t>Market Manual 5: Settlements,</w:t>
            </w:r>
            <w:r>
              <w:rPr>
                <w:lang w:val="en-CA"/>
              </w:rPr>
              <w:br/>
              <w:t>Part 5.9: Settlement Payment Methods and Schedule</w:t>
            </w:r>
          </w:p>
        </w:tc>
      </w:tr>
      <w:tr w:rsidR="00855CB7" w14:paraId="5BC1D452" w14:textId="77777777" w:rsidTr="001A01BE">
        <w:tc>
          <w:tcPr>
            <w:tcW w:w="2304" w:type="dxa"/>
          </w:tcPr>
          <w:p w14:paraId="26162013" w14:textId="77777777" w:rsidR="00855CB7" w:rsidRDefault="00855CB7">
            <w:pPr>
              <w:pStyle w:val="DocumentControlTableText"/>
              <w:rPr>
                <w:lang w:val="en-CA"/>
              </w:rPr>
            </w:pPr>
            <w:r>
              <w:rPr>
                <w:lang w:val="en-CA"/>
              </w:rPr>
              <w:t>MDP_PRO_0046</w:t>
            </w:r>
          </w:p>
        </w:tc>
        <w:tc>
          <w:tcPr>
            <w:tcW w:w="6624" w:type="dxa"/>
          </w:tcPr>
          <w:p w14:paraId="39D92DE1" w14:textId="77777777" w:rsidR="00855CB7" w:rsidRDefault="00855CB7">
            <w:pPr>
              <w:pStyle w:val="DocumentControlTableText"/>
              <w:rPr>
                <w:lang w:val="en-CA"/>
              </w:rPr>
            </w:pPr>
            <w:r>
              <w:rPr>
                <w:lang w:val="en-CA"/>
              </w:rPr>
              <w:t>Market Manual 5: Settlements,</w:t>
            </w:r>
            <w:r w:rsidR="00C13005">
              <w:rPr>
                <w:lang w:val="en-CA"/>
              </w:rPr>
              <w:br/>
            </w:r>
            <w:r>
              <w:rPr>
                <w:lang w:val="en-CA"/>
              </w:rPr>
              <w:t>Part 5.7: Financial Markets Settlement Statements</w:t>
            </w:r>
          </w:p>
        </w:tc>
      </w:tr>
      <w:tr w:rsidR="00855CB7" w14:paraId="14AD6446" w14:textId="77777777" w:rsidTr="001A01BE">
        <w:tc>
          <w:tcPr>
            <w:tcW w:w="2304" w:type="dxa"/>
          </w:tcPr>
          <w:p w14:paraId="35FB47D9" w14:textId="77777777" w:rsidR="00855CB7" w:rsidRDefault="00855CB7">
            <w:pPr>
              <w:pStyle w:val="DocumentControlTableText"/>
              <w:rPr>
                <w:lang w:val="en-CA"/>
              </w:rPr>
            </w:pPr>
            <w:r>
              <w:rPr>
                <w:lang w:val="en-CA"/>
              </w:rPr>
              <w:t>MDP_PRO_0047</w:t>
            </w:r>
          </w:p>
        </w:tc>
        <w:tc>
          <w:tcPr>
            <w:tcW w:w="6624" w:type="dxa"/>
          </w:tcPr>
          <w:p w14:paraId="0400258E" w14:textId="77777777" w:rsidR="00855CB7" w:rsidRDefault="00855CB7">
            <w:pPr>
              <w:pStyle w:val="DocumentControlTableText"/>
              <w:rPr>
                <w:lang w:val="en-CA"/>
              </w:rPr>
            </w:pPr>
            <w:r>
              <w:rPr>
                <w:lang w:val="en-CA"/>
              </w:rPr>
              <w:t>Market Manual 5: Settlements,</w:t>
            </w:r>
            <w:r w:rsidR="00C13005">
              <w:rPr>
                <w:lang w:val="en-CA"/>
              </w:rPr>
              <w:br/>
            </w:r>
            <w:r>
              <w:rPr>
                <w:lang w:val="en-CA"/>
              </w:rPr>
              <w:t>Part 5.8: Financial Markets Settlement Invoicing</w:t>
            </w:r>
          </w:p>
        </w:tc>
      </w:tr>
      <w:tr w:rsidR="00C5235F" w14:paraId="342C42D3" w14:textId="77777777" w:rsidTr="001A01BE">
        <w:tc>
          <w:tcPr>
            <w:tcW w:w="2304" w:type="dxa"/>
          </w:tcPr>
          <w:p w14:paraId="5AEC80EF" w14:textId="77777777" w:rsidR="00C5235F" w:rsidRDefault="00C5235F" w:rsidP="00C9570D">
            <w:pPr>
              <w:pStyle w:val="DocumentControlTableText"/>
              <w:rPr>
                <w:lang w:val="en-CA"/>
              </w:rPr>
            </w:pPr>
            <w:r>
              <w:rPr>
                <w:lang w:val="en-CA"/>
              </w:rPr>
              <w:t>MDP_PRO_0027</w:t>
            </w:r>
          </w:p>
        </w:tc>
        <w:tc>
          <w:tcPr>
            <w:tcW w:w="6624" w:type="dxa"/>
          </w:tcPr>
          <w:p w14:paraId="3E1B30CF" w14:textId="77777777" w:rsidR="00C5235F" w:rsidRDefault="00C5235F" w:rsidP="00C9570D">
            <w:pPr>
              <w:pStyle w:val="DocumentControlTableText"/>
            </w:pPr>
            <w:r>
              <w:t>Market Manual 4: Market Operations,</w:t>
            </w:r>
            <w:r>
              <w:br/>
              <w:t>Part 4.2: Submission of Dispatch Data in the Real-Time Energy and Operating Reserve Markets</w:t>
            </w:r>
          </w:p>
        </w:tc>
      </w:tr>
      <w:tr w:rsidR="00C5235F" w14:paraId="7C7185BE" w14:textId="77777777" w:rsidTr="001A01BE">
        <w:tc>
          <w:tcPr>
            <w:tcW w:w="2304" w:type="dxa"/>
          </w:tcPr>
          <w:p w14:paraId="210C7963" w14:textId="77777777" w:rsidR="00C5235F" w:rsidRDefault="00C5235F" w:rsidP="00C9570D">
            <w:pPr>
              <w:pStyle w:val="DocumentControlTableText"/>
              <w:rPr>
                <w:lang w:val="en-CA"/>
              </w:rPr>
            </w:pPr>
            <w:r>
              <w:rPr>
                <w:lang w:val="en-CA"/>
              </w:rPr>
              <w:t>IMP_PRO_0034</w:t>
            </w:r>
          </w:p>
        </w:tc>
        <w:tc>
          <w:tcPr>
            <w:tcW w:w="6624" w:type="dxa"/>
          </w:tcPr>
          <w:p w14:paraId="7699918B" w14:textId="77777777" w:rsidR="00C5235F" w:rsidRDefault="00C5235F" w:rsidP="00C9570D">
            <w:pPr>
              <w:pStyle w:val="DocumentControlTableText"/>
              <w:rPr>
                <w:lang w:val="en-CA"/>
              </w:rPr>
            </w:pPr>
            <w:r>
              <w:t>Market Manual 4: Market Operations,</w:t>
            </w:r>
            <w:r>
              <w:br/>
              <w:t>Part 4.3: Real-Time Scheduling of the Physical Markets</w:t>
            </w:r>
          </w:p>
        </w:tc>
      </w:tr>
      <w:tr w:rsidR="00C5235F" w14:paraId="5CA3D0CE" w14:textId="77777777" w:rsidTr="001A01BE">
        <w:tc>
          <w:tcPr>
            <w:tcW w:w="2304" w:type="dxa"/>
          </w:tcPr>
          <w:p w14:paraId="2A24BACB" w14:textId="77777777" w:rsidR="00C5235F" w:rsidRDefault="00C5235F">
            <w:pPr>
              <w:pStyle w:val="DocumentControlTableText"/>
              <w:rPr>
                <w:lang w:val="en-CA"/>
              </w:rPr>
            </w:pPr>
            <w:r>
              <w:rPr>
                <w:lang w:val="en-CA"/>
              </w:rPr>
              <w:t>IMP</w:t>
            </w:r>
            <w:r w:rsidR="008F2690">
              <w:rPr>
                <w:lang w:val="en-CA"/>
              </w:rPr>
              <w:t>_</w:t>
            </w:r>
            <w:r>
              <w:rPr>
                <w:lang w:val="en-CA"/>
              </w:rPr>
              <w:t>PRO_0057</w:t>
            </w:r>
          </w:p>
        </w:tc>
        <w:tc>
          <w:tcPr>
            <w:tcW w:w="6624" w:type="dxa"/>
          </w:tcPr>
          <w:p w14:paraId="5E1EBF75" w14:textId="77777777" w:rsidR="00C5235F" w:rsidRDefault="00C5235F">
            <w:pPr>
              <w:pStyle w:val="DocumentControlTableText"/>
              <w:rPr>
                <w:lang w:val="en-CA"/>
              </w:rPr>
            </w:pPr>
            <w:r>
              <w:rPr>
                <w:lang w:val="en-CA"/>
              </w:rPr>
              <w:t>Market Manual 3: Metering,</w:t>
            </w:r>
            <w:r>
              <w:rPr>
                <w:lang w:val="en-CA"/>
              </w:rPr>
              <w:br/>
              <w:t>Part 3.8 Creating and Maintaining Delivery Point Relationships</w:t>
            </w:r>
          </w:p>
        </w:tc>
      </w:tr>
      <w:tr w:rsidR="008F2690" w14:paraId="57B0C557" w14:textId="77777777" w:rsidTr="001A01BE">
        <w:tc>
          <w:tcPr>
            <w:tcW w:w="2304" w:type="dxa"/>
          </w:tcPr>
          <w:p w14:paraId="138E5EDB" w14:textId="77777777" w:rsidR="008F2690" w:rsidRDefault="008F2690" w:rsidP="00EE03C7">
            <w:pPr>
              <w:pStyle w:val="DocumentControlTableText"/>
              <w:rPr>
                <w:lang w:val="en-CA"/>
              </w:rPr>
            </w:pPr>
            <w:r>
              <w:rPr>
                <w:lang w:val="en-CA"/>
              </w:rPr>
              <w:t>IMO_MAN_0024</w:t>
            </w:r>
          </w:p>
        </w:tc>
        <w:tc>
          <w:tcPr>
            <w:tcW w:w="6624" w:type="dxa"/>
          </w:tcPr>
          <w:p w14:paraId="57D9C03D" w14:textId="77777777" w:rsidR="008F2690" w:rsidRDefault="008F2690" w:rsidP="00EE03C7">
            <w:pPr>
              <w:pStyle w:val="DocumentControlTableText"/>
              <w:rPr>
                <w:lang w:val="en-CA"/>
              </w:rPr>
            </w:pPr>
            <w:r>
              <w:rPr>
                <w:lang w:val="en-CA"/>
              </w:rPr>
              <w:t>Market Manual 6: Participant Technical Reference Manual</w:t>
            </w:r>
          </w:p>
        </w:tc>
      </w:tr>
      <w:tr w:rsidR="00C5235F" w14:paraId="7E47A578" w14:textId="77777777" w:rsidTr="001A01BE">
        <w:tc>
          <w:tcPr>
            <w:tcW w:w="2304" w:type="dxa"/>
          </w:tcPr>
          <w:p w14:paraId="338F8B00" w14:textId="77777777" w:rsidR="00C5235F" w:rsidRDefault="00C5235F" w:rsidP="00894013">
            <w:pPr>
              <w:pStyle w:val="DocumentControlTableText"/>
              <w:rPr>
                <w:lang w:val="en-CA"/>
              </w:rPr>
            </w:pPr>
            <w:r>
              <w:rPr>
                <w:lang w:val="en-CA"/>
              </w:rPr>
              <w:t>IESO_MAN_</w:t>
            </w:r>
            <w:r w:rsidR="00894013">
              <w:rPr>
                <w:lang w:val="en-CA"/>
              </w:rPr>
              <w:t>0080</w:t>
            </w:r>
          </w:p>
        </w:tc>
        <w:tc>
          <w:tcPr>
            <w:tcW w:w="6624" w:type="dxa"/>
          </w:tcPr>
          <w:p w14:paraId="24D44429" w14:textId="77777777" w:rsidR="00C5235F" w:rsidRDefault="00C5235F" w:rsidP="00894013">
            <w:pPr>
              <w:pStyle w:val="DocumentControlTableText"/>
              <w:rPr>
                <w:lang w:val="en-CA"/>
              </w:rPr>
            </w:pPr>
            <w:r>
              <w:rPr>
                <w:lang w:val="en-CA"/>
              </w:rPr>
              <w:t xml:space="preserve">Market Manual 9: </w:t>
            </w:r>
            <w:r w:rsidR="00894013">
              <w:rPr>
                <w:lang w:val="en-CA"/>
              </w:rPr>
              <w:t xml:space="preserve">Part 9.5. </w:t>
            </w:r>
            <w:r>
              <w:rPr>
                <w:lang w:val="en-CA"/>
              </w:rPr>
              <w:t>Settlement</w:t>
            </w:r>
            <w:r w:rsidR="00894013">
              <w:rPr>
                <w:lang w:val="en-CA"/>
              </w:rPr>
              <w:t xml:space="preserve"> for </w:t>
            </w:r>
            <w:r w:rsidR="004E1FCB">
              <w:rPr>
                <w:lang w:val="en-CA"/>
              </w:rPr>
              <w:t>Day-Ahead Commitment Process</w:t>
            </w:r>
          </w:p>
        </w:tc>
      </w:tr>
      <w:tr w:rsidR="008F2690" w14:paraId="5B0038A2" w14:textId="77777777" w:rsidTr="001A01BE">
        <w:tc>
          <w:tcPr>
            <w:tcW w:w="2304" w:type="dxa"/>
          </w:tcPr>
          <w:p w14:paraId="40585FC3" w14:textId="77777777" w:rsidR="008F2690" w:rsidRDefault="008F2690" w:rsidP="00EE03C7">
            <w:pPr>
              <w:pStyle w:val="DocumentControlTableText"/>
              <w:rPr>
                <w:lang w:val="en-CA"/>
              </w:rPr>
            </w:pPr>
            <w:r>
              <w:rPr>
                <w:lang w:val="en-CA"/>
              </w:rPr>
              <w:t>IMP_GDE_0103</w:t>
            </w:r>
          </w:p>
        </w:tc>
        <w:tc>
          <w:tcPr>
            <w:tcW w:w="6624" w:type="dxa"/>
          </w:tcPr>
          <w:p w14:paraId="195E8AD1" w14:textId="77777777" w:rsidR="008F2690" w:rsidRDefault="008F2690" w:rsidP="00EE03C7">
            <w:pPr>
              <w:pStyle w:val="DocumentControlTableText"/>
              <w:rPr>
                <w:lang w:val="en-CA"/>
              </w:rPr>
            </w:pPr>
            <w:r>
              <w:rPr>
                <w:lang w:val="en-CA"/>
              </w:rPr>
              <w:t>The Applications Status Tool: A User Guide</w:t>
            </w:r>
          </w:p>
        </w:tc>
      </w:tr>
      <w:tr w:rsidR="00076ECA" w14:paraId="5002404B" w14:textId="77777777" w:rsidTr="001A01BE">
        <w:tc>
          <w:tcPr>
            <w:tcW w:w="2304" w:type="dxa"/>
          </w:tcPr>
          <w:p w14:paraId="383069A8" w14:textId="77777777" w:rsidR="00076ECA" w:rsidRDefault="00076ECA" w:rsidP="00EE03C7">
            <w:pPr>
              <w:pStyle w:val="DocumentControlTableText"/>
              <w:rPr>
                <w:lang w:val="en-CA"/>
              </w:rPr>
            </w:pPr>
          </w:p>
        </w:tc>
        <w:tc>
          <w:tcPr>
            <w:tcW w:w="6624" w:type="dxa"/>
          </w:tcPr>
          <w:p w14:paraId="34522FD8" w14:textId="77777777" w:rsidR="00076ECA" w:rsidRPr="00076ECA" w:rsidRDefault="00005FA0" w:rsidP="00774D2E">
            <w:pPr>
              <w:pStyle w:val="DocumentControlTableText"/>
              <w:rPr>
                <w:lang w:val="en-CA"/>
              </w:rPr>
            </w:pPr>
            <w:r>
              <w:rPr>
                <w:lang w:val="en-CA"/>
              </w:rPr>
              <w:t>Guide to Settl</w:t>
            </w:r>
            <w:r w:rsidR="00526221">
              <w:rPr>
                <w:lang w:val="en-CA"/>
              </w:rPr>
              <w:t>e</w:t>
            </w:r>
            <w:r>
              <w:rPr>
                <w:lang w:val="en-CA"/>
              </w:rPr>
              <w:t>ment Claims and Data Submissions vi</w:t>
            </w:r>
            <w:r w:rsidR="00774D2E">
              <w:rPr>
                <w:lang w:val="en-CA"/>
              </w:rPr>
              <w:t>a</w:t>
            </w:r>
            <w:r>
              <w:rPr>
                <w:lang w:val="en-CA"/>
              </w:rPr>
              <w:t xml:space="preserve"> Online IESO</w:t>
            </w:r>
          </w:p>
        </w:tc>
      </w:tr>
      <w:tr w:rsidR="00C5235F" w14:paraId="12595E57" w14:textId="77777777" w:rsidTr="001A01BE">
        <w:tc>
          <w:tcPr>
            <w:tcW w:w="2304" w:type="dxa"/>
          </w:tcPr>
          <w:p w14:paraId="01695A63" w14:textId="77777777" w:rsidR="00C5235F" w:rsidRDefault="00C5235F">
            <w:pPr>
              <w:pStyle w:val="DocumentControlTableText"/>
              <w:rPr>
                <w:lang w:val="en-CA"/>
              </w:rPr>
            </w:pPr>
            <w:r>
              <w:rPr>
                <w:lang w:val="en-CA"/>
              </w:rPr>
              <w:t>IMP_LST_0001</w:t>
            </w:r>
          </w:p>
        </w:tc>
        <w:tc>
          <w:tcPr>
            <w:tcW w:w="6624" w:type="dxa"/>
          </w:tcPr>
          <w:p w14:paraId="41BD32F9" w14:textId="77777777" w:rsidR="00C5235F" w:rsidRDefault="00C5235F">
            <w:pPr>
              <w:pStyle w:val="DocumentControlTableText"/>
              <w:rPr>
                <w:lang w:val="en-CA"/>
              </w:rPr>
            </w:pPr>
            <w:r>
              <w:rPr>
                <w:lang w:val="en-CA"/>
              </w:rPr>
              <w:t>IESO Charge Types and Equations</w:t>
            </w:r>
          </w:p>
        </w:tc>
      </w:tr>
      <w:tr w:rsidR="00C5235F" w14:paraId="28728587" w14:textId="77777777" w:rsidTr="001A01BE">
        <w:tc>
          <w:tcPr>
            <w:tcW w:w="2304" w:type="dxa"/>
          </w:tcPr>
          <w:p w14:paraId="0984F36B" w14:textId="77777777" w:rsidR="00C5235F" w:rsidRDefault="00C5235F">
            <w:pPr>
              <w:pStyle w:val="DocumentControlTableText"/>
              <w:rPr>
                <w:lang w:val="en-CA"/>
              </w:rPr>
            </w:pPr>
            <w:r>
              <w:rPr>
                <w:lang w:val="en-CA"/>
              </w:rPr>
              <w:t>IMP_SPEC_0005</w:t>
            </w:r>
          </w:p>
        </w:tc>
        <w:tc>
          <w:tcPr>
            <w:tcW w:w="6624" w:type="dxa"/>
          </w:tcPr>
          <w:p w14:paraId="4C7B121B" w14:textId="77777777" w:rsidR="00C5235F" w:rsidRDefault="00C5235F">
            <w:pPr>
              <w:pStyle w:val="DocumentControlTableText"/>
              <w:rPr>
                <w:lang w:val="en-CA"/>
              </w:rPr>
            </w:pPr>
            <w:r>
              <w:rPr>
                <w:lang w:val="en-CA"/>
              </w:rPr>
              <w:t>Format Specifications for Settlement Statement Files and Data Files</w:t>
            </w:r>
          </w:p>
        </w:tc>
      </w:tr>
      <w:tr w:rsidR="00C5235F" w14:paraId="1880950E" w14:textId="77777777" w:rsidTr="001A01BE">
        <w:tc>
          <w:tcPr>
            <w:tcW w:w="2304" w:type="dxa"/>
          </w:tcPr>
          <w:p w14:paraId="4C795F37" w14:textId="77777777" w:rsidR="00C5235F" w:rsidRDefault="00C5235F">
            <w:pPr>
              <w:pStyle w:val="DocumentControlTableText"/>
              <w:rPr>
                <w:lang w:val="en-CA"/>
              </w:rPr>
            </w:pPr>
            <w:r>
              <w:rPr>
                <w:lang w:val="en-CA"/>
              </w:rPr>
              <w:t>IMP_SPEC_0006</w:t>
            </w:r>
          </w:p>
        </w:tc>
        <w:tc>
          <w:tcPr>
            <w:tcW w:w="6624" w:type="dxa"/>
          </w:tcPr>
          <w:p w14:paraId="67468C48" w14:textId="77777777" w:rsidR="00C5235F" w:rsidRDefault="00C5235F">
            <w:pPr>
              <w:pStyle w:val="DocumentControlTableText"/>
              <w:rPr>
                <w:lang w:val="en-CA"/>
              </w:rPr>
            </w:pPr>
            <w:r>
              <w:rPr>
                <w:lang w:val="en-CA"/>
              </w:rPr>
              <w:t>File Format Specification for Participant Transmission Tariff Data Files</w:t>
            </w:r>
          </w:p>
        </w:tc>
      </w:tr>
      <w:tr w:rsidR="00C5235F" w14:paraId="469FFC8F" w14:textId="77777777" w:rsidTr="001A01BE">
        <w:tc>
          <w:tcPr>
            <w:tcW w:w="2304" w:type="dxa"/>
          </w:tcPr>
          <w:p w14:paraId="17E2E6F9" w14:textId="77777777" w:rsidR="00C5235F" w:rsidRDefault="00C5235F">
            <w:pPr>
              <w:pStyle w:val="DocumentControlTableText"/>
              <w:rPr>
                <w:lang w:val="en-CA"/>
              </w:rPr>
            </w:pPr>
            <w:r>
              <w:rPr>
                <w:lang w:val="en-CA"/>
              </w:rPr>
              <w:t>IMP_SPEC_0007</w:t>
            </w:r>
          </w:p>
        </w:tc>
        <w:tc>
          <w:tcPr>
            <w:tcW w:w="6624" w:type="dxa"/>
          </w:tcPr>
          <w:p w14:paraId="76C38A5D" w14:textId="77777777" w:rsidR="00C5235F" w:rsidRDefault="00C5235F">
            <w:pPr>
              <w:pStyle w:val="DocumentControlTableText"/>
              <w:rPr>
                <w:lang w:val="en-CA"/>
              </w:rPr>
            </w:pPr>
            <w:r>
              <w:rPr>
                <w:lang w:val="en-CA"/>
              </w:rPr>
              <w:t>File Format Specification for Transmitter Transmission Tariff Data File</w:t>
            </w:r>
          </w:p>
        </w:tc>
      </w:tr>
      <w:tr w:rsidR="00C5235F" w14:paraId="33E70D72" w14:textId="77777777" w:rsidTr="001A01BE">
        <w:tc>
          <w:tcPr>
            <w:tcW w:w="2304" w:type="dxa"/>
          </w:tcPr>
          <w:p w14:paraId="02A8CDA6" w14:textId="77777777" w:rsidR="00C5235F" w:rsidRDefault="00C5235F">
            <w:pPr>
              <w:pStyle w:val="DocumentControlTableText"/>
              <w:rPr>
                <w:lang w:val="en-CA"/>
              </w:rPr>
            </w:pPr>
            <w:r>
              <w:rPr>
                <w:lang w:val="en-CA"/>
              </w:rPr>
              <w:t>IMP_SPEC_0008</w:t>
            </w:r>
          </w:p>
        </w:tc>
        <w:tc>
          <w:tcPr>
            <w:tcW w:w="6624" w:type="dxa"/>
          </w:tcPr>
          <w:p w14:paraId="20E608A9" w14:textId="77777777" w:rsidR="00C5235F" w:rsidRDefault="00C5235F">
            <w:pPr>
              <w:pStyle w:val="DocumentControlTableText"/>
              <w:rPr>
                <w:lang w:val="en-CA"/>
              </w:rPr>
            </w:pPr>
            <w:r>
              <w:rPr>
                <w:lang w:val="en-CA"/>
              </w:rPr>
              <w:t>File Format Specification for Transmitter Reconciliation Data File</w:t>
            </w:r>
          </w:p>
        </w:tc>
      </w:tr>
      <w:tr w:rsidR="00966F34" w14:paraId="1A2BED1F" w14:textId="77777777" w:rsidTr="001A01BE">
        <w:tc>
          <w:tcPr>
            <w:tcW w:w="2304" w:type="dxa"/>
          </w:tcPr>
          <w:p w14:paraId="41FB94EC" w14:textId="77777777" w:rsidR="00966F34" w:rsidRDefault="00966F34">
            <w:pPr>
              <w:pStyle w:val="DocumentControlTableText"/>
              <w:keepNext/>
              <w:rPr>
                <w:lang w:val="en-CA"/>
              </w:rPr>
            </w:pPr>
            <w:r>
              <w:rPr>
                <w:lang w:val="en-CA"/>
              </w:rPr>
              <w:t>IMO_SPEC_0100</w:t>
            </w:r>
          </w:p>
        </w:tc>
        <w:tc>
          <w:tcPr>
            <w:tcW w:w="6624" w:type="dxa"/>
          </w:tcPr>
          <w:p w14:paraId="6B8CF8A6" w14:textId="77777777" w:rsidR="00966F34" w:rsidRDefault="00966F34">
            <w:pPr>
              <w:pStyle w:val="DocumentControlTableText"/>
              <w:keepNext/>
              <w:rPr>
                <w:lang w:val="en-CA"/>
              </w:rPr>
            </w:pPr>
            <w:r>
              <w:rPr>
                <w:lang w:val="en-CA"/>
              </w:rPr>
              <w:t>Outbound Automated Document Application Programming Interface</w:t>
            </w:r>
          </w:p>
        </w:tc>
      </w:tr>
      <w:tr w:rsidR="00C5235F" w14:paraId="174B7136" w14:textId="77777777" w:rsidTr="001A01BE">
        <w:tc>
          <w:tcPr>
            <w:tcW w:w="2304" w:type="dxa"/>
          </w:tcPr>
          <w:p w14:paraId="223478A2" w14:textId="77777777" w:rsidR="00C5235F" w:rsidRDefault="00C5235F">
            <w:pPr>
              <w:pStyle w:val="DocumentControlTableText"/>
              <w:rPr>
                <w:lang w:val="en-CA"/>
              </w:rPr>
            </w:pPr>
            <w:r>
              <w:rPr>
                <w:lang w:val="en-CA"/>
              </w:rPr>
              <w:t>IMP_REP_0016</w:t>
            </w:r>
          </w:p>
        </w:tc>
        <w:tc>
          <w:tcPr>
            <w:tcW w:w="6624" w:type="dxa"/>
          </w:tcPr>
          <w:p w14:paraId="5204A56F" w14:textId="77777777" w:rsidR="00C5235F" w:rsidRDefault="00C5235F">
            <w:pPr>
              <w:pStyle w:val="DocumentControlTableText"/>
              <w:rPr>
                <w:lang w:val="en-CA"/>
              </w:rPr>
            </w:pPr>
            <w:r>
              <w:rPr>
                <w:lang w:val="en-CA"/>
              </w:rPr>
              <w:t>Transmission Tariff Peak System Demand Data Report</w:t>
            </w:r>
          </w:p>
        </w:tc>
      </w:tr>
      <w:tr w:rsidR="00C5235F" w14:paraId="5BA6185E" w14:textId="77777777" w:rsidTr="001A01BE">
        <w:tc>
          <w:tcPr>
            <w:tcW w:w="2304" w:type="dxa"/>
          </w:tcPr>
          <w:p w14:paraId="4442EEF2" w14:textId="77777777" w:rsidR="00C5235F" w:rsidRDefault="00C5235F">
            <w:pPr>
              <w:pStyle w:val="DocumentControlTableText"/>
              <w:rPr>
                <w:lang w:val="en-CA"/>
              </w:rPr>
            </w:pPr>
            <w:r>
              <w:rPr>
                <w:lang w:val="en-CA"/>
              </w:rPr>
              <w:t>IMP_AGR_0013</w:t>
            </w:r>
          </w:p>
        </w:tc>
        <w:tc>
          <w:tcPr>
            <w:tcW w:w="6624" w:type="dxa"/>
          </w:tcPr>
          <w:p w14:paraId="56D59AF2" w14:textId="77777777" w:rsidR="00C5235F" w:rsidRDefault="00C5235F">
            <w:pPr>
              <w:pStyle w:val="DocumentControlTableText"/>
              <w:rPr>
                <w:lang w:val="en-CA"/>
              </w:rPr>
            </w:pPr>
            <w:r>
              <w:rPr>
                <w:lang w:val="en-CA"/>
              </w:rPr>
              <w:t>Settlement Agreement between Ontario Power Generation Inc. and the Independent Electricity Market Operator</w:t>
            </w:r>
          </w:p>
        </w:tc>
      </w:tr>
      <w:tr w:rsidR="00C53981" w14:paraId="601559B0" w14:textId="77777777" w:rsidTr="001A01BE">
        <w:tc>
          <w:tcPr>
            <w:tcW w:w="2304" w:type="dxa"/>
          </w:tcPr>
          <w:p w14:paraId="0E01C1EB" w14:textId="77777777" w:rsidR="00C53981" w:rsidRDefault="00C53981">
            <w:pPr>
              <w:pStyle w:val="DocumentControlTableText"/>
              <w:rPr>
                <w:lang w:val="en-CA"/>
              </w:rPr>
            </w:pPr>
            <w:r>
              <w:rPr>
                <w:lang w:val="en-CA"/>
              </w:rPr>
              <w:t>Quick Take 15</w:t>
            </w:r>
          </w:p>
        </w:tc>
        <w:tc>
          <w:tcPr>
            <w:tcW w:w="6624" w:type="dxa"/>
          </w:tcPr>
          <w:p w14:paraId="7478F9D5" w14:textId="77777777" w:rsidR="00C53981" w:rsidRDefault="00C53981">
            <w:pPr>
              <w:pStyle w:val="DocumentControlTableText"/>
              <w:rPr>
                <w:lang w:val="en-CA"/>
              </w:rPr>
            </w:pPr>
            <w:r>
              <w:rPr>
                <w:lang w:val="en-CA"/>
              </w:rPr>
              <w:t>Retrieving Reports via the IESO Reports Site</w:t>
            </w:r>
          </w:p>
        </w:tc>
      </w:tr>
      <w:tr w:rsidR="002245F3" w14:paraId="3FB51DBF" w14:textId="77777777" w:rsidTr="001A01BE">
        <w:tc>
          <w:tcPr>
            <w:tcW w:w="2304" w:type="dxa"/>
          </w:tcPr>
          <w:p w14:paraId="2E1E91C6" w14:textId="77777777" w:rsidR="002245F3" w:rsidRDefault="008C1AB8">
            <w:pPr>
              <w:pStyle w:val="DocumentControlTableText"/>
              <w:rPr>
                <w:lang w:val="en-CA"/>
              </w:rPr>
            </w:pPr>
            <w:r w:rsidRPr="008C1AB8">
              <w:rPr>
                <w:i/>
                <w:lang w:val="en-CA"/>
              </w:rPr>
              <w:t>IESO</w:t>
            </w:r>
            <w:r w:rsidR="002245F3">
              <w:rPr>
                <w:lang w:val="en-CA"/>
              </w:rPr>
              <w:t xml:space="preserve"> Step-by-Step Guide </w:t>
            </w:r>
          </w:p>
        </w:tc>
        <w:tc>
          <w:tcPr>
            <w:tcW w:w="6624" w:type="dxa"/>
          </w:tcPr>
          <w:p w14:paraId="65CB34CA" w14:textId="77777777" w:rsidR="002245F3" w:rsidRDefault="002245F3">
            <w:pPr>
              <w:pStyle w:val="DocumentControlTableText"/>
              <w:rPr>
                <w:lang w:val="en-CA"/>
              </w:rPr>
            </w:pPr>
            <w:r>
              <w:rPr>
                <w:lang w:val="en-CA"/>
              </w:rPr>
              <w:t>IESO Interactions for Unit Sub-Metering Providers</w:t>
            </w:r>
          </w:p>
        </w:tc>
      </w:tr>
      <w:tr w:rsidR="00F057B3" w14:paraId="62BCBB7E" w14:textId="77777777" w:rsidTr="001A01BE">
        <w:tc>
          <w:tcPr>
            <w:tcW w:w="2304" w:type="dxa"/>
          </w:tcPr>
          <w:p w14:paraId="2243059A" w14:textId="77777777" w:rsidR="00F057B3" w:rsidRDefault="00F057B3" w:rsidP="00276C07">
            <w:pPr>
              <w:pStyle w:val="DocumentControlTableText"/>
              <w:rPr>
                <w:lang w:val="en-CA"/>
              </w:rPr>
            </w:pPr>
          </w:p>
        </w:tc>
        <w:tc>
          <w:tcPr>
            <w:tcW w:w="6624" w:type="dxa"/>
          </w:tcPr>
          <w:p w14:paraId="003A96ED" w14:textId="77777777" w:rsidR="00F057B3" w:rsidRPr="00F01D58" w:rsidRDefault="00F057B3" w:rsidP="00276C07">
            <w:pPr>
              <w:pStyle w:val="DocumentControlTableText"/>
              <w:rPr>
                <w:lang w:val="en-CA"/>
              </w:rPr>
            </w:pPr>
            <w:r w:rsidRPr="00F01D58">
              <w:t>OEB Retail Settlement Code</w:t>
            </w:r>
          </w:p>
        </w:tc>
      </w:tr>
      <w:tr w:rsidR="00C5235F" w14:paraId="449546A9" w14:textId="77777777" w:rsidTr="001A01BE">
        <w:tc>
          <w:tcPr>
            <w:tcW w:w="2304" w:type="dxa"/>
          </w:tcPr>
          <w:p w14:paraId="7D71AFDB" w14:textId="77777777" w:rsidR="00C5235F" w:rsidRDefault="00C5235F">
            <w:pPr>
              <w:pStyle w:val="DocumentControlTableText"/>
              <w:rPr>
                <w:lang w:val="en-CA"/>
              </w:rPr>
            </w:pPr>
          </w:p>
        </w:tc>
        <w:tc>
          <w:tcPr>
            <w:tcW w:w="6624" w:type="dxa"/>
          </w:tcPr>
          <w:p w14:paraId="0D74600B" w14:textId="77777777" w:rsidR="00C5235F" w:rsidRDefault="00C5235F">
            <w:pPr>
              <w:pStyle w:val="DocumentControlTableText"/>
              <w:rPr>
                <w:lang w:val="en-CA"/>
              </w:rPr>
            </w:pPr>
            <w:r>
              <w:rPr>
                <w:lang w:val="en-CA"/>
              </w:rPr>
              <w:t>Ontario Energy Board Act, 1998</w:t>
            </w:r>
          </w:p>
        </w:tc>
      </w:tr>
      <w:tr w:rsidR="00C5235F" w14:paraId="113006A7" w14:textId="77777777" w:rsidTr="001A01BE">
        <w:tc>
          <w:tcPr>
            <w:tcW w:w="2304" w:type="dxa"/>
          </w:tcPr>
          <w:p w14:paraId="2DC491DE" w14:textId="77777777" w:rsidR="00C5235F" w:rsidRDefault="00C5235F">
            <w:pPr>
              <w:pStyle w:val="DocumentControlTableText"/>
              <w:rPr>
                <w:lang w:val="en-CA"/>
              </w:rPr>
            </w:pPr>
          </w:p>
        </w:tc>
        <w:tc>
          <w:tcPr>
            <w:tcW w:w="6624" w:type="dxa"/>
          </w:tcPr>
          <w:p w14:paraId="691CCEA2" w14:textId="77777777" w:rsidR="00C5235F" w:rsidRDefault="00C5235F">
            <w:pPr>
              <w:pStyle w:val="DocumentControlTableText"/>
              <w:rPr>
                <w:lang w:val="en-CA"/>
              </w:rPr>
            </w:pPr>
            <w:r>
              <w:rPr>
                <w:lang w:val="en-CA"/>
              </w:rPr>
              <w:t>Legislation Bill 4 “An Act to amend the Ontario Energy Board Act 1998 with respect to energy pricing”.</w:t>
            </w:r>
          </w:p>
        </w:tc>
      </w:tr>
      <w:tr w:rsidR="00F057B3" w14:paraId="03391066" w14:textId="77777777" w:rsidTr="001A01BE">
        <w:tc>
          <w:tcPr>
            <w:tcW w:w="2304" w:type="dxa"/>
          </w:tcPr>
          <w:p w14:paraId="7A7BFA6C" w14:textId="77777777" w:rsidR="00F057B3" w:rsidRDefault="00F057B3" w:rsidP="00276C07">
            <w:pPr>
              <w:pStyle w:val="DocumentControlTableText"/>
              <w:rPr>
                <w:lang w:val="en-CA"/>
              </w:rPr>
            </w:pPr>
          </w:p>
        </w:tc>
        <w:tc>
          <w:tcPr>
            <w:tcW w:w="6624" w:type="dxa"/>
          </w:tcPr>
          <w:p w14:paraId="01430590" w14:textId="77777777" w:rsidR="00F057B3" w:rsidRDefault="00F057B3" w:rsidP="00276C07">
            <w:pPr>
              <w:pStyle w:val="BodyText"/>
            </w:pPr>
            <w:r>
              <w:t xml:space="preserve">Legislation Bill 100 </w:t>
            </w:r>
            <w:r>
              <w:br/>
              <w:t>"</w:t>
            </w:r>
            <w:r w:rsidRPr="00D5782B">
              <w:t>Electricity Restructuring Act, 2004</w:t>
            </w:r>
            <w:r>
              <w:t>"</w:t>
            </w:r>
          </w:p>
        </w:tc>
      </w:tr>
      <w:tr w:rsidR="00C01E4C" w14:paraId="787C9604" w14:textId="77777777" w:rsidTr="001A01BE">
        <w:tc>
          <w:tcPr>
            <w:tcW w:w="2304" w:type="dxa"/>
          </w:tcPr>
          <w:p w14:paraId="3F36DD8A" w14:textId="77777777" w:rsidR="00C01E4C" w:rsidRDefault="00C01E4C">
            <w:pPr>
              <w:pStyle w:val="DocumentControlTableText"/>
              <w:rPr>
                <w:lang w:val="en-CA"/>
              </w:rPr>
            </w:pPr>
          </w:p>
        </w:tc>
        <w:tc>
          <w:tcPr>
            <w:tcW w:w="6624" w:type="dxa"/>
          </w:tcPr>
          <w:p w14:paraId="36DDDD39" w14:textId="77777777" w:rsidR="00C01E4C" w:rsidRDefault="00C01E4C">
            <w:pPr>
              <w:pStyle w:val="DocumentControlTableText"/>
              <w:rPr>
                <w:lang w:val="en-CA"/>
              </w:rPr>
            </w:pPr>
            <w:r>
              <w:rPr>
                <w:lang w:val="en-CA"/>
              </w:rPr>
              <w:t>Order-in-Council 141/2006</w:t>
            </w:r>
          </w:p>
        </w:tc>
      </w:tr>
      <w:tr w:rsidR="00C5235F" w14:paraId="26FB9FAB" w14:textId="77777777" w:rsidTr="001A01BE">
        <w:tc>
          <w:tcPr>
            <w:tcW w:w="2304" w:type="dxa"/>
          </w:tcPr>
          <w:p w14:paraId="5E940E23" w14:textId="77777777" w:rsidR="00C5235F" w:rsidRDefault="00C5235F">
            <w:pPr>
              <w:pStyle w:val="DocumentControlTableText"/>
              <w:rPr>
                <w:lang w:val="en-CA"/>
              </w:rPr>
            </w:pPr>
          </w:p>
        </w:tc>
        <w:tc>
          <w:tcPr>
            <w:tcW w:w="6624" w:type="dxa"/>
          </w:tcPr>
          <w:p w14:paraId="70EF4A20" w14:textId="77777777" w:rsidR="00C5235F" w:rsidRDefault="00C5235F">
            <w:pPr>
              <w:pStyle w:val="DocumentControlTableText"/>
              <w:rPr>
                <w:lang w:val="en-CA"/>
              </w:rPr>
            </w:pPr>
            <w:r>
              <w:rPr>
                <w:lang w:val="en-CA"/>
              </w:rPr>
              <w:t>Regulation 42/04 (Under the Ontario Energy Board Act, 1998)</w:t>
            </w:r>
          </w:p>
        </w:tc>
      </w:tr>
      <w:tr w:rsidR="00C5235F" w14:paraId="5BD6DE33" w14:textId="77777777" w:rsidTr="001A01BE">
        <w:tc>
          <w:tcPr>
            <w:tcW w:w="2304" w:type="dxa"/>
          </w:tcPr>
          <w:p w14:paraId="1E292848" w14:textId="77777777" w:rsidR="00C5235F" w:rsidRDefault="00C5235F">
            <w:pPr>
              <w:pStyle w:val="DocumentControlTableText"/>
              <w:rPr>
                <w:lang w:val="en-CA"/>
              </w:rPr>
            </w:pPr>
          </w:p>
        </w:tc>
        <w:tc>
          <w:tcPr>
            <w:tcW w:w="6624" w:type="dxa"/>
          </w:tcPr>
          <w:p w14:paraId="2BFB1EBC" w14:textId="77777777" w:rsidR="00C5235F" w:rsidRDefault="00C5235F">
            <w:pPr>
              <w:pStyle w:val="DocumentControlTableText"/>
              <w:rPr>
                <w:lang w:val="en-CA"/>
              </w:rPr>
            </w:pPr>
            <w:r>
              <w:rPr>
                <w:lang w:val="en-CA"/>
              </w:rPr>
              <w:t>Regulation 43/04 (Under the Ontario Energy Board Act, 1998)</w:t>
            </w:r>
          </w:p>
        </w:tc>
      </w:tr>
      <w:tr w:rsidR="00C5235F" w14:paraId="6941EA91" w14:textId="77777777" w:rsidTr="001A01BE">
        <w:tc>
          <w:tcPr>
            <w:tcW w:w="2304" w:type="dxa"/>
          </w:tcPr>
          <w:p w14:paraId="5D172471" w14:textId="77777777" w:rsidR="00C5235F" w:rsidRDefault="00C5235F">
            <w:pPr>
              <w:pStyle w:val="DocumentControlTableText"/>
              <w:rPr>
                <w:lang w:val="en-CA"/>
              </w:rPr>
            </w:pPr>
          </w:p>
        </w:tc>
        <w:tc>
          <w:tcPr>
            <w:tcW w:w="6624" w:type="dxa"/>
          </w:tcPr>
          <w:p w14:paraId="5BDDDBB1" w14:textId="77777777" w:rsidR="00C5235F" w:rsidRDefault="00C5235F">
            <w:pPr>
              <w:pStyle w:val="DocumentControlTableText"/>
              <w:rPr>
                <w:lang w:val="en-CA"/>
              </w:rPr>
            </w:pPr>
            <w:r>
              <w:rPr>
                <w:lang w:val="en-CA"/>
              </w:rPr>
              <w:t>Regulation 339/02 (Under the Ontario Energy Board Act, 1998) "Electricity Pricing"</w:t>
            </w:r>
          </w:p>
        </w:tc>
      </w:tr>
      <w:tr w:rsidR="00C5235F" w14:paraId="68C7EAEF" w14:textId="77777777" w:rsidTr="001A01BE">
        <w:tc>
          <w:tcPr>
            <w:tcW w:w="2304" w:type="dxa"/>
          </w:tcPr>
          <w:p w14:paraId="20D0B1A4" w14:textId="77777777" w:rsidR="00C5235F" w:rsidRDefault="00C5235F">
            <w:pPr>
              <w:pStyle w:val="DocumentControlTableText"/>
              <w:rPr>
                <w:lang w:val="en-CA"/>
              </w:rPr>
            </w:pPr>
          </w:p>
        </w:tc>
        <w:tc>
          <w:tcPr>
            <w:tcW w:w="6624" w:type="dxa"/>
          </w:tcPr>
          <w:p w14:paraId="013BA8D0" w14:textId="77777777" w:rsidR="00C5235F" w:rsidRDefault="00C5235F">
            <w:pPr>
              <w:pStyle w:val="DocumentControlTableText"/>
              <w:rPr>
                <w:lang w:val="en-CA"/>
              </w:rPr>
            </w:pPr>
            <w:r>
              <w:rPr>
                <w:lang w:val="en-CA"/>
              </w:rPr>
              <w:t>Regulation 341/02 (Under the Ontario Energy Board Act, 1998) "Compensation and Set-Offs Under Part V of the Act"</w:t>
            </w:r>
          </w:p>
        </w:tc>
      </w:tr>
      <w:tr w:rsidR="00C5235F" w14:paraId="210AA58E" w14:textId="77777777" w:rsidTr="001A01BE">
        <w:tc>
          <w:tcPr>
            <w:tcW w:w="2304" w:type="dxa"/>
          </w:tcPr>
          <w:p w14:paraId="588CB594" w14:textId="77777777" w:rsidR="00C5235F" w:rsidRDefault="00C5235F">
            <w:pPr>
              <w:pStyle w:val="DocumentControlTableText"/>
              <w:rPr>
                <w:lang w:val="en-CA"/>
              </w:rPr>
            </w:pPr>
          </w:p>
        </w:tc>
        <w:tc>
          <w:tcPr>
            <w:tcW w:w="6624" w:type="dxa"/>
          </w:tcPr>
          <w:p w14:paraId="291EE381" w14:textId="77777777" w:rsidR="00C5235F" w:rsidRDefault="00C5235F">
            <w:pPr>
              <w:pStyle w:val="DocumentControlTableText"/>
              <w:rPr>
                <w:lang w:val="en-CA"/>
              </w:rPr>
            </w:pPr>
            <w:r>
              <w:rPr>
                <w:lang w:val="en-CA"/>
              </w:rPr>
              <w:t xml:space="preserve">Regulation 342/02 (Under the Ontario Energy Board Act, 1998) "Payments to the </w:t>
            </w:r>
            <w:r w:rsidR="000B67D9">
              <w:rPr>
                <w:lang w:val="en-CA"/>
              </w:rPr>
              <w:t>IMO</w:t>
            </w:r>
            <w:r>
              <w:rPr>
                <w:lang w:val="en-CA"/>
              </w:rPr>
              <w:t>"</w:t>
            </w:r>
          </w:p>
        </w:tc>
      </w:tr>
      <w:tr w:rsidR="00C5235F" w14:paraId="499A77B6" w14:textId="77777777" w:rsidTr="001A01BE">
        <w:tc>
          <w:tcPr>
            <w:tcW w:w="2304" w:type="dxa"/>
          </w:tcPr>
          <w:p w14:paraId="307DFC53" w14:textId="77777777" w:rsidR="00C5235F" w:rsidRDefault="00C5235F">
            <w:pPr>
              <w:pStyle w:val="DocumentControlTableText"/>
              <w:rPr>
                <w:lang w:val="en-CA"/>
              </w:rPr>
            </w:pPr>
          </w:p>
        </w:tc>
        <w:tc>
          <w:tcPr>
            <w:tcW w:w="6624" w:type="dxa"/>
          </w:tcPr>
          <w:p w14:paraId="6C45B76B" w14:textId="77777777" w:rsidR="00C5235F" w:rsidRDefault="00C5235F">
            <w:pPr>
              <w:pStyle w:val="DocumentControlTableText"/>
              <w:rPr>
                <w:lang w:val="en-CA"/>
              </w:rPr>
            </w:pPr>
            <w:r>
              <w:rPr>
                <w:lang w:val="en-CA"/>
              </w:rPr>
              <w:t>Regulation 433/02 (Under the Ontario Energy Board Act, 1998) "Electricity Pricing"</w:t>
            </w:r>
          </w:p>
        </w:tc>
      </w:tr>
      <w:tr w:rsidR="00C5235F" w14:paraId="7966CA4B" w14:textId="77777777" w:rsidTr="001A01BE">
        <w:trPr>
          <w:cantSplit/>
        </w:trPr>
        <w:tc>
          <w:tcPr>
            <w:tcW w:w="2304" w:type="dxa"/>
          </w:tcPr>
          <w:p w14:paraId="45EF5410" w14:textId="77777777" w:rsidR="00C5235F" w:rsidRDefault="00C5235F">
            <w:pPr>
              <w:pStyle w:val="DocumentControlTableText"/>
              <w:rPr>
                <w:lang w:val="en-CA"/>
              </w:rPr>
            </w:pPr>
          </w:p>
        </w:tc>
        <w:tc>
          <w:tcPr>
            <w:tcW w:w="6624" w:type="dxa"/>
          </w:tcPr>
          <w:p w14:paraId="0978C694" w14:textId="77777777" w:rsidR="00C5235F" w:rsidRDefault="00C5235F">
            <w:pPr>
              <w:pStyle w:val="DocumentControlTableText"/>
              <w:rPr>
                <w:lang w:val="en-CA"/>
              </w:rPr>
            </w:pPr>
            <w:r>
              <w:rPr>
                <w:lang w:val="en-CA"/>
              </w:rPr>
              <w:t>Regulation 435/02 (Under the Ontario Energy Board Act, 1998) "Payments re Section 79.4 of the Act"</w:t>
            </w:r>
          </w:p>
        </w:tc>
      </w:tr>
      <w:tr w:rsidR="00C5235F" w14:paraId="65850A80" w14:textId="77777777" w:rsidTr="001A01BE">
        <w:tc>
          <w:tcPr>
            <w:tcW w:w="2304" w:type="dxa"/>
          </w:tcPr>
          <w:p w14:paraId="776B97BA" w14:textId="77777777" w:rsidR="00C5235F" w:rsidRDefault="00C5235F">
            <w:pPr>
              <w:pStyle w:val="DocumentControlTableText"/>
              <w:rPr>
                <w:lang w:val="en-CA"/>
              </w:rPr>
            </w:pPr>
          </w:p>
        </w:tc>
        <w:tc>
          <w:tcPr>
            <w:tcW w:w="6624" w:type="dxa"/>
          </w:tcPr>
          <w:p w14:paraId="75A8BDC4" w14:textId="77777777" w:rsidR="00C5235F" w:rsidRDefault="00C5235F">
            <w:pPr>
              <w:pStyle w:val="DocumentControlTableText"/>
              <w:rPr>
                <w:lang w:val="en-CA"/>
              </w:rPr>
            </w:pPr>
            <w:r>
              <w:rPr>
                <w:lang w:val="en-CA"/>
              </w:rPr>
              <w:t>Regulation 436/02 (Under the Ontario Energy Board Act, 1998) "Payments re Various Electricity-Related Charges"</w:t>
            </w:r>
          </w:p>
        </w:tc>
      </w:tr>
      <w:tr w:rsidR="00C5235F" w14:paraId="58AED533" w14:textId="77777777" w:rsidTr="001A01BE">
        <w:tc>
          <w:tcPr>
            <w:tcW w:w="2304" w:type="dxa"/>
          </w:tcPr>
          <w:p w14:paraId="3BF0CBE8" w14:textId="77777777" w:rsidR="00C5235F" w:rsidRDefault="00C5235F">
            <w:pPr>
              <w:pStyle w:val="DocumentControlTableText"/>
              <w:rPr>
                <w:lang w:val="en-CA"/>
              </w:rPr>
            </w:pPr>
          </w:p>
        </w:tc>
        <w:tc>
          <w:tcPr>
            <w:tcW w:w="6624" w:type="dxa"/>
          </w:tcPr>
          <w:p w14:paraId="1FCB6357" w14:textId="77777777" w:rsidR="00C5235F" w:rsidRDefault="00C5235F" w:rsidP="00547B84">
            <w:pPr>
              <w:pStyle w:val="BodyText"/>
            </w:pPr>
            <w:r>
              <w:t>Regulation 427/04 “Payments to the Financial Corp. re Section 78.2 of the Act”</w:t>
            </w:r>
          </w:p>
        </w:tc>
      </w:tr>
      <w:tr w:rsidR="00C5235F" w14:paraId="2958A1A2" w14:textId="77777777" w:rsidTr="001A01BE">
        <w:tc>
          <w:tcPr>
            <w:tcW w:w="2304" w:type="dxa"/>
          </w:tcPr>
          <w:p w14:paraId="4635E223" w14:textId="77777777" w:rsidR="00C5235F" w:rsidRDefault="00C5235F">
            <w:pPr>
              <w:pStyle w:val="DocumentControlTableText"/>
              <w:rPr>
                <w:lang w:val="en-CA"/>
              </w:rPr>
            </w:pPr>
          </w:p>
        </w:tc>
        <w:tc>
          <w:tcPr>
            <w:tcW w:w="6624" w:type="dxa"/>
          </w:tcPr>
          <w:p w14:paraId="1C31460A" w14:textId="77777777" w:rsidR="00C5235F" w:rsidRDefault="00C5235F" w:rsidP="00547B84">
            <w:pPr>
              <w:pStyle w:val="BodyText"/>
            </w:pPr>
            <w:r>
              <w:t>Regulation 428/04 “Payments re Section 79.4 of the Act”</w:t>
            </w:r>
          </w:p>
        </w:tc>
      </w:tr>
      <w:tr w:rsidR="00C5235F" w14:paraId="13F07292" w14:textId="77777777" w:rsidTr="001A01BE">
        <w:tc>
          <w:tcPr>
            <w:tcW w:w="2304" w:type="dxa"/>
          </w:tcPr>
          <w:p w14:paraId="483D9FF0" w14:textId="77777777" w:rsidR="00C5235F" w:rsidRDefault="00C5235F">
            <w:pPr>
              <w:pStyle w:val="DocumentControlTableText"/>
              <w:rPr>
                <w:lang w:val="en-CA"/>
              </w:rPr>
            </w:pPr>
          </w:p>
        </w:tc>
        <w:tc>
          <w:tcPr>
            <w:tcW w:w="6624" w:type="dxa"/>
          </w:tcPr>
          <w:p w14:paraId="7F2D9D17" w14:textId="77777777" w:rsidR="00C5235F" w:rsidRDefault="00283250" w:rsidP="00547B84">
            <w:pPr>
              <w:pStyle w:val="BodyText"/>
            </w:pPr>
            <w:r>
              <w:t>Regulation 398/10 enact</w:t>
            </w:r>
            <w:r w:rsidR="00405C98">
              <w:t>ed</w:t>
            </w:r>
            <w:r>
              <w:t xml:space="preserve"> in October 2010 Amending Ontario </w:t>
            </w:r>
            <w:r w:rsidR="00C5235F">
              <w:t>Regulation 429/04 “Adjustments Under Section 25.33 of the Act”</w:t>
            </w:r>
          </w:p>
        </w:tc>
      </w:tr>
      <w:tr w:rsidR="00C5235F" w14:paraId="07C52EF5" w14:textId="77777777" w:rsidTr="001A01BE">
        <w:tc>
          <w:tcPr>
            <w:tcW w:w="2304" w:type="dxa"/>
          </w:tcPr>
          <w:p w14:paraId="0A67FE38" w14:textId="77777777" w:rsidR="00C5235F" w:rsidRDefault="00C5235F">
            <w:pPr>
              <w:pStyle w:val="DocumentControlTableText"/>
              <w:rPr>
                <w:lang w:val="en-CA"/>
              </w:rPr>
            </w:pPr>
          </w:p>
        </w:tc>
        <w:tc>
          <w:tcPr>
            <w:tcW w:w="6624" w:type="dxa"/>
          </w:tcPr>
          <w:p w14:paraId="52906024" w14:textId="77777777" w:rsidR="00C5235F" w:rsidRDefault="00C5235F" w:rsidP="00547B84">
            <w:pPr>
              <w:pStyle w:val="BodyText"/>
            </w:pPr>
            <w:r>
              <w:t>Regulation 430/04 “Payments re Section 25.33 of the Act”</w:t>
            </w:r>
          </w:p>
        </w:tc>
      </w:tr>
      <w:tr w:rsidR="00C5235F" w14:paraId="3EAA7995" w14:textId="77777777" w:rsidTr="001A01BE">
        <w:tc>
          <w:tcPr>
            <w:tcW w:w="2304" w:type="dxa"/>
          </w:tcPr>
          <w:p w14:paraId="32A7135E" w14:textId="77777777" w:rsidR="00C5235F" w:rsidRDefault="00C5235F">
            <w:pPr>
              <w:pStyle w:val="DocumentControlTableText"/>
              <w:rPr>
                <w:lang w:val="en-CA"/>
              </w:rPr>
            </w:pPr>
          </w:p>
        </w:tc>
        <w:tc>
          <w:tcPr>
            <w:tcW w:w="6624" w:type="dxa"/>
          </w:tcPr>
          <w:p w14:paraId="4E9ED6FD" w14:textId="77777777" w:rsidR="00C5235F" w:rsidRDefault="00C5235F" w:rsidP="00547B84">
            <w:pPr>
              <w:pStyle w:val="BodyText"/>
            </w:pPr>
            <w:r>
              <w:t>Regulation 431/04 “Payments re Section 25.34 of the Act”</w:t>
            </w:r>
          </w:p>
        </w:tc>
      </w:tr>
      <w:tr w:rsidR="00C5235F" w14:paraId="4EA19E3F" w14:textId="77777777" w:rsidTr="001A01BE">
        <w:tc>
          <w:tcPr>
            <w:tcW w:w="2304" w:type="dxa"/>
          </w:tcPr>
          <w:p w14:paraId="2D072285" w14:textId="77777777" w:rsidR="00C5235F" w:rsidRDefault="00C5235F">
            <w:pPr>
              <w:pStyle w:val="DocumentControlTableText"/>
              <w:rPr>
                <w:lang w:val="en-CA"/>
              </w:rPr>
            </w:pPr>
          </w:p>
        </w:tc>
        <w:tc>
          <w:tcPr>
            <w:tcW w:w="6624" w:type="dxa"/>
          </w:tcPr>
          <w:p w14:paraId="05C4168C" w14:textId="77777777" w:rsidR="00C5235F" w:rsidRDefault="00C5235F" w:rsidP="00547B84">
            <w:pPr>
              <w:pStyle w:val="BodyText"/>
            </w:pPr>
            <w:r>
              <w:t>Section 78.3 of the (Ontario Energy Board) Act</w:t>
            </w:r>
          </w:p>
        </w:tc>
      </w:tr>
      <w:tr w:rsidR="00C5235F" w14:paraId="54CFE329" w14:textId="77777777" w:rsidTr="001A01BE">
        <w:tc>
          <w:tcPr>
            <w:tcW w:w="2304" w:type="dxa"/>
          </w:tcPr>
          <w:p w14:paraId="2940C93B" w14:textId="77777777" w:rsidR="00C5235F" w:rsidRDefault="00C5235F">
            <w:pPr>
              <w:pStyle w:val="DocumentControlTableText"/>
              <w:rPr>
                <w:lang w:val="en-CA"/>
              </w:rPr>
            </w:pPr>
          </w:p>
        </w:tc>
        <w:tc>
          <w:tcPr>
            <w:tcW w:w="6624" w:type="dxa"/>
          </w:tcPr>
          <w:p w14:paraId="357496F4" w14:textId="77777777" w:rsidR="00C5235F" w:rsidRDefault="00C5235F" w:rsidP="00547B84">
            <w:pPr>
              <w:pStyle w:val="BodyText"/>
            </w:pPr>
            <w:r>
              <w:t>Section 78.4 of the (Ontario Energy Board) Act</w:t>
            </w:r>
          </w:p>
        </w:tc>
      </w:tr>
      <w:tr w:rsidR="00CE667D" w14:paraId="63139F9B" w14:textId="77777777" w:rsidTr="001A01BE">
        <w:tc>
          <w:tcPr>
            <w:tcW w:w="2304" w:type="dxa"/>
          </w:tcPr>
          <w:p w14:paraId="464A718A" w14:textId="77777777" w:rsidR="00CE667D" w:rsidRDefault="00CE667D">
            <w:pPr>
              <w:pStyle w:val="DocumentControlTableText"/>
              <w:rPr>
                <w:lang w:val="en-CA"/>
              </w:rPr>
            </w:pPr>
          </w:p>
        </w:tc>
        <w:tc>
          <w:tcPr>
            <w:tcW w:w="6624" w:type="dxa"/>
          </w:tcPr>
          <w:p w14:paraId="30F28636" w14:textId="77777777" w:rsidR="00CE667D" w:rsidRDefault="00CE667D" w:rsidP="00547B84">
            <w:pPr>
              <w:pStyle w:val="BodyText"/>
            </w:pPr>
            <w:r>
              <w:t>Section 78.5 of the (Ontario Energy Board) Act</w:t>
            </w:r>
          </w:p>
        </w:tc>
      </w:tr>
      <w:tr w:rsidR="00C5235F" w14:paraId="0A2A614C" w14:textId="77777777" w:rsidTr="001A01BE">
        <w:tc>
          <w:tcPr>
            <w:tcW w:w="2304" w:type="dxa"/>
          </w:tcPr>
          <w:p w14:paraId="02DEDCEC" w14:textId="77777777" w:rsidR="00C5235F" w:rsidRDefault="00C5235F">
            <w:pPr>
              <w:pStyle w:val="DocumentControlTableText"/>
              <w:rPr>
                <w:lang w:val="en-CA"/>
              </w:rPr>
            </w:pPr>
          </w:p>
        </w:tc>
        <w:tc>
          <w:tcPr>
            <w:tcW w:w="6624" w:type="dxa"/>
          </w:tcPr>
          <w:p w14:paraId="3ACDF485" w14:textId="77777777" w:rsidR="00C5235F" w:rsidRDefault="00C5235F" w:rsidP="00547B84">
            <w:pPr>
              <w:pStyle w:val="BodyText"/>
            </w:pPr>
            <w:r>
              <w:rPr>
                <w:lang w:val="en-CA"/>
              </w:rPr>
              <w:t>R</w:t>
            </w:r>
            <w:r w:rsidRPr="00E20C6F">
              <w:rPr>
                <w:lang w:val="en-CA"/>
              </w:rPr>
              <w:t>egulation 53/05 made under “OEB Act, 1998” re “Payments under Section 78.1 of the Act”</w:t>
            </w:r>
          </w:p>
        </w:tc>
      </w:tr>
      <w:tr w:rsidR="00EF4607" w14:paraId="12B0276B" w14:textId="77777777" w:rsidTr="001A01BE">
        <w:tc>
          <w:tcPr>
            <w:tcW w:w="2304" w:type="dxa"/>
          </w:tcPr>
          <w:p w14:paraId="16E355F6" w14:textId="77777777" w:rsidR="00EF4607" w:rsidRDefault="00EF4607">
            <w:pPr>
              <w:pStyle w:val="DocumentControlTableText"/>
              <w:rPr>
                <w:lang w:val="en-CA"/>
              </w:rPr>
            </w:pPr>
          </w:p>
        </w:tc>
        <w:tc>
          <w:tcPr>
            <w:tcW w:w="6624" w:type="dxa"/>
          </w:tcPr>
          <w:p w14:paraId="2A657E6F" w14:textId="77777777" w:rsidR="00EF4607" w:rsidRDefault="00EF4607" w:rsidP="00547B84">
            <w:pPr>
              <w:pStyle w:val="BodyText"/>
              <w:rPr>
                <w:lang w:val="en-CA"/>
              </w:rPr>
            </w:pPr>
            <w:r>
              <w:rPr>
                <w:lang w:val="en-CA"/>
              </w:rPr>
              <w:t>R</w:t>
            </w:r>
            <w:r w:rsidRPr="00E20C6F">
              <w:rPr>
                <w:lang w:val="en-CA"/>
              </w:rPr>
              <w:t xml:space="preserve">egulation </w:t>
            </w:r>
            <w:r>
              <w:rPr>
                <w:lang w:val="en-CA"/>
              </w:rPr>
              <w:t>95</w:t>
            </w:r>
            <w:r w:rsidRPr="00E20C6F">
              <w:rPr>
                <w:lang w:val="en-CA"/>
              </w:rPr>
              <w:t>/05 made under “OEB Act, 1998” re “</w:t>
            </w:r>
            <w:r>
              <w:rPr>
                <w:lang w:val="en-CA"/>
              </w:rPr>
              <w:t>Classes of Consumers and Determination of Rates</w:t>
            </w:r>
            <w:r w:rsidRPr="00E20C6F">
              <w:rPr>
                <w:lang w:val="en-CA"/>
              </w:rPr>
              <w:t>”</w:t>
            </w:r>
          </w:p>
        </w:tc>
      </w:tr>
      <w:tr w:rsidR="00C5235F" w14:paraId="4E817E08" w14:textId="77777777" w:rsidTr="001A01BE">
        <w:tc>
          <w:tcPr>
            <w:tcW w:w="2304" w:type="dxa"/>
          </w:tcPr>
          <w:p w14:paraId="0AE4E51A" w14:textId="77777777" w:rsidR="00C5235F" w:rsidRDefault="00C5235F">
            <w:pPr>
              <w:pStyle w:val="DocumentControlTableText"/>
              <w:rPr>
                <w:lang w:val="en-CA"/>
              </w:rPr>
            </w:pPr>
          </w:p>
        </w:tc>
        <w:tc>
          <w:tcPr>
            <w:tcW w:w="6624" w:type="dxa"/>
          </w:tcPr>
          <w:p w14:paraId="0A35D6E3" w14:textId="77777777" w:rsidR="00C5235F" w:rsidRDefault="00C5235F" w:rsidP="00547B84">
            <w:pPr>
              <w:pStyle w:val="BodyText"/>
            </w:pPr>
            <w:r>
              <w:rPr>
                <w:lang w:val="en-CA"/>
              </w:rPr>
              <w:t>R</w:t>
            </w:r>
            <w:r w:rsidRPr="00E20C6F">
              <w:rPr>
                <w:lang w:val="en-CA"/>
              </w:rPr>
              <w:t>egulation 98/05 made under “OEB Act, 1998” re “Payments re Various Electricity-Related Charges”</w:t>
            </w:r>
          </w:p>
        </w:tc>
      </w:tr>
      <w:tr w:rsidR="00F672C3" w14:paraId="68ADA734" w14:textId="77777777" w:rsidTr="001A01BE">
        <w:tc>
          <w:tcPr>
            <w:tcW w:w="2304" w:type="dxa"/>
          </w:tcPr>
          <w:p w14:paraId="58CCE241" w14:textId="77777777" w:rsidR="00F672C3" w:rsidRDefault="00F672C3">
            <w:pPr>
              <w:pStyle w:val="DocumentControlTableText"/>
              <w:rPr>
                <w:lang w:val="en-CA"/>
              </w:rPr>
            </w:pPr>
          </w:p>
        </w:tc>
        <w:tc>
          <w:tcPr>
            <w:tcW w:w="6624" w:type="dxa"/>
          </w:tcPr>
          <w:p w14:paraId="4710C04A" w14:textId="77777777" w:rsidR="00F672C3" w:rsidRDefault="00F672C3" w:rsidP="00F672C3">
            <w:pPr>
              <w:pStyle w:val="BodyText"/>
              <w:rPr>
                <w:lang w:val="en-CA"/>
              </w:rPr>
            </w:pPr>
            <w:r>
              <w:rPr>
                <w:lang w:val="en-CA"/>
              </w:rPr>
              <w:t>Regulation 330/09 made under “OEB Act, 1998” re “Cost recovery regarding section 79.1 of the Act”</w:t>
            </w:r>
          </w:p>
        </w:tc>
      </w:tr>
      <w:tr w:rsidR="00646B78" w14:paraId="45416D76" w14:textId="77777777" w:rsidTr="001A01BE">
        <w:tc>
          <w:tcPr>
            <w:tcW w:w="2304" w:type="dxa"/>
          </w:tcPr>
          <w:p w14:paraId="68F46B4D" w14:textId="77777777" w:rsidR="00646B78" w:rsidRDefault="00646B78">
            <w:pPr>
              <w:pStyle w:val="DocumentControlTableText"/>
              <w:rPr>
                <w:lang w:val="en-CA"/>
              </w:rPr>
            </w:pPr>
          </w:p>
        </w:tc>
        <w:tc>
          <w:tcPr>
            <w:tcW w:w="6624" w:type="dxa"/>
          </w:tcPr>
          <w:p w14:paraId="03C55B04" w14:textId="77777777" w:rsidR="00646B78" w:rsidRDefault="00646B78" w:rsidP="00F672C3">
            <w:pPr>
              <w:pStyle w:val="BodyText"/>
              <w:rPr>
                <w:lang w:val="en-CA"/>
              </w:rPr>
            </w:pPr>
            <w:r>
              <w:rPr>
                <w:lang w:val="en-CA"/>
              </w:rPr>
              <w:t>Regulation 66/10 made under “OEB Act, 1998” re “Assessments for Ministry of Energy and Infrastructure Conservation and Renewable Energy Program Costs”.</w:t>
            </w:r>
          </w:p>
        </w:tc>
      </w:tr>
      <w:tr w:rsidR="002245F3" w14:paraId="313146C6" w14:textId="77777777" w:rsidTr="001A01BE">
        <w:tc>
          <w:tcPr>
            <w:tcW w:w="2304" w:type="dxa"/>
          </w:tcPr>
          <w:p w14:paraId="7A112CDE" w14:textId="77777777" w:rsidR="002245F3" w:rsidRDefault="002245F3">
            <w:pPr>
              <w:pStyle w:val="DocumentControlTableText"/>
              <w:rPr>
                <w:lang w:val="en-CA"/>
              </w:rPr>
            </w:pPr>
          </w:p>
        </w:tc>
        <w:tc>
          <w:tcPr>
            <w:tcW w:w="6624" w:type="dxa"/>
          </w:tcPr>
          <w:p w14:paraId="7FF33B27" w14:textId="77777777" w:rsidR="002245F3" w:rsidRDefault="002245F3" w:rsidP="00F672C3">
            <w:pPr>
              <w:pStyle w:val="BodyText"/>
              <w:rPr>
                <w:lang w:val="en-CA"/>
              </w:rPr>
            </w:pPr>
            <w:r>
              <w:rPr>
                <w:lang w:val="en-CA"/>
              </w:rPr>
              <w:t>Regulation 495/10 made under “Ontario Clean Energy Benefit Act, 2010”.</w:t>
            </w:r>
          </w:p>
        </w:tc>
      </w:tr>
      <w:tr w:rsidR="00C3594C" w14:paraId="1AEF0A65" w14:textId="77777777" w:rsidTr="00C3594C">
        <w:tc>
          <w:tcPr>
            <w:tcW w:w="2304" w:type="dxa"/>
            <w:tcBorders>
              <w:top w:val="single" w:sz="4" w:space="0" w:color="auto"/>
              <w:left w:val="single" w:sz="4" w:space="0" w:color="auto"/>
              <w:bottom w:val="single" w:sz="4" w:space="0" w:color="auto"/>
              <w:right w:val="single" w:sz="4" w:space="0" w:color="auto"/>
            </w:tcBorders>
          </w:tcPr>
          <w:p w14:paraId="4A687608" w14:textId="77777777" w:rsidR="00C3594C" w:rsidRDefault="00C3594C" w:rsidP="00AC006E">
            <w:pPr>
              <w:pStyle w:val="DocumentControlTableText"/>
              <w:rPr>
                <w:lang w:val="en-CA"/>
              </w:rPr>
            </w:pPr>
          </w:p>
        </w:tc>
        <w:tc>
          <w:tcPr>
            <w:tcW w:w="6624" w:type="dxa"/>
            <w:tcBorders>
              <w:top w:val="single" w:sz="4" w:space="0" w:color="auto"/>
              <w:left w:val="single" w:sz="4" w:space="0" w:color="auto"/>
              <w:bottom w:val="single" w:sz="4" w:space="0" w:color="auto"/>
              <w:right w:val="single" w:sz="4" w:space="0" w:color="auto"/>
            </w:tcBorders>
          </w:tcPr>
          <w:p w14:paraId="2484EFC4" w14:textId="474865B2" w:rsidR="00C3594C" w:rsidRDefault="00C3594C" w:rsidP="00C3594C">
            <w:pPr>
              <w:pStyle w:val="BodyText"/>
              <w:rPr>
                <w:lang w:val="en-CA"/>
              </w:rPr>
            </w:pPr>
            <w:r>
              <w:rPr>
                <w:lang w:val="en-CA"/>
              </w:rPr>
              <w:t>Regulation 363/16 made under “</w:t>
            </w:r>
            <w:r w:rsidRPr="00C3594C">
              <w:rPr>
                <w:szCs w:val="22"/>
              </w:rPr>
              <w:t>Ontario Rebate for Electricity Consumers Act, 2016</w:t>
            </w:r>
            <w:r>
              <w:rPr>
                <w:lang w:val="en-CA"/>
              </w:rPr>
              <w:t>”.</w:t>
            </w:r>
          </w:p>
        </w:tc>
      </w:tr>
      <w:tr w:rsidR="00C3594C" w14:paraId="2ED8EB55" w14:textId="77777777" w:rsidTr="00C3594C">
        <w:tc>
          <w:tcPr>
            <w:tcW w:w="2304" w:type="dxa"/>
            <w:tcBorders>
              <w:top w:val="single" w:sz="4" w:space="0" w:color="auto"/>
              <w:left w:val="single" w:sz="4" w:space="0" w:color="auto"/>
              <w:bottom w:val="single" w:sz="4" w:space="0" w:color="auto"/>
              <w:right w:val="single" w:sz="4" w:space="0" w:color="auto"/>
            </w:tcBorders>
          </w:tcPr>
          <w:p w14:paraId="296AB300" w14:textId="77777777" w:rsidR="00C3594C" w:rsidRDefault="00C3594C" w:rsidP="00AC006E">
            <w:pPr>
              <w:pStyle w:val="DocumentControlTableText"/>
              <w:rPr>
                <w:lang w:val="en-CA"/>
              </w:rPr>
            </w:pPr>
          </w:p>
        </w:tc>
        <w:tc>
          <w:tcPr>
            <w:tcW w:w="6624" w:type="dxa"/>
            <w:tcBorders>
              <w:top w:val="single" w:sz="4" w:space="0" w:color="auto"/>
              <w:left w:val="single" w:sz="4" w:space="0" w:color="auto"/>
              <w:bottom w:val="single" w:sz="4" w:space="0" w:color="auto"/>
              <w:right w:val="single" w:sz="4" w:space="0" w:color="auto"/>
            </w:tcBorders>
          </w:tcPr>
          <w:p w14:paraId="7D61DFF0" w14:textId="4E9E6C5E" w:rsidR="00C3594C" w:rsidRDefault="00C3594C" w:rsidP="00C3594C">
            <w:pPr>
              <w:pStyle w:val="BodyText"/>
              <w:rPr>
                <w:lang w:val="en-CA"/>
              </w:rPr>
            </w:pPr>
            <w:r>
              <w:rPr>
                <w:lang w:val="en-CA"/>
              </w:rPr>
              <w:t>Regulation 364/16 made under “</w:t>
            </w:r>
            <w:r w:rsidRPr="00C3594C">
              <w:rPr>
                <w:szCs w:val="22"/>
              </w:rPr>
              <w:t>Ontario Rebate for Electricity Consumers Act, 2016</w:t>
            </w:r>
            <w:r>
              <w:rPr>
                <w:lang w:val="en-CA"/>
              </w:rPr>
              <w:t>”.</w:t>
            </w:r>
          </w:p>
        </w:tc>
      </w:tr>
    </w:tbl>
    <w:p w14:paraId="4A74DA4B" w14:textId="77777777" w:rsidR="008D6AD0" w:rsidRPr="00B82BFB" w:rsidRDefault="008D6AD0" w:rsidP="00051FA4">
      <w:pPr>
        <w:pStyle w:val="EndofText"/>
        <w:spacing w:before="120"/>
        <w:rPr>
          <w:szCs w:val="22"/>
        </w:rPr>
      </w:pPr>
    </w:p>
    <w:p w14:paraId="7FE74A35" w14:textId="77777777" w:rsidR="00F70997" w:rsidRPr="00B82BFB" w:rsidRDefault="005541EB">
      <w:pPr>
        <w:pStyle w:val="EndofText"/>
        <w:rPr>
          <w:szCs w:val="22"/>
        </w:rPr>
      </w:pPr>
      <w:r w:rsidRPr="00B82BFB">
        <w:rPr>
          <w:szCs w:val="22"/>
        </w:rPr>
        <w:t>- End of Document -</w:t>
      </w:r>
    </w:p>
    <w:sectPr w:rsidR="00F70997" w:rsidRPr="00B82BFB" w:rsidSect="001D3D7C">
      <w:headerReference w:type="even" r:id="rId128"/>
      <w:headerReference w:type="default" r:id="rId129"/>
      <w:footerReference w:type="even" r:id="rId130"/>
      <w:footerReference w:type="default" r:id="rId131"/>
      <w:pgSz w:w="12240" w:h="15840" w:code="1"/>
      <w:pgMar w:top="1440" w:right="1440" w:bottom="1440" w:left="1800" w:header="720" w:footer="720" w:gutter="0"/>
      <w:pgNumType w:start="1" w:chapSep="enDash"/>
      <w:cols w:space="720"/>
      <w:docGrid w:linePitch="360"/>
    </w:sectPr>
  </w:body>
</w:document>
</file>

<file path=word/commentsExtensible.xml><?xml version="1.0" encoding="utf-8"?>
<w16cex:commentsExtensible xmlns:w16="http://schemas.microsoft.com/office/word/2018/wordml" xmlns:w16cex="http://schemas.microsoft.com/office/word/2018/wordml/cex" xmlns:mc="http://schemas.openxmlformats.org/markup-compatibility/2006" mc:Ignorable="w16 w16cex">
  <w16cex:commentExtensible w16cex:durableId="5265E8F8" w16cex:dateUtc="2021-10-25T16:36:26.803Z"/>
  <w16cex:commentExtensible w16cex:durableId="476FF7A6" w16cex:dateUtc="2021-11-05T15:14:46.849Z"/>
  <w16cex:commentExtensible w16cex:durableId="330877E6" w16cex:dateUtc="2021-11-05T15:20:46.195Z"/>
  <w16cex:commentExtensible w16cex:durableId="6A32C04F" w16cex:dateUtc="2021-11-19T15:35:11.024Z"/>
  <w16cex:commentExtensible w16cex:durableId="2A1597F5" w16cex:dateUtc="2021-11-19T15:36:03.359Z"/>
  <w16cex:commentExtensible w16cex:durableId="130801D0" w16cex:dateUtc="2021-11-19T15:37:48.452Z"/>
  <w16cex:commentExtensible w16cex:durableId="5200960C" w16cex:dateUtc="2021-11-19T15:48:37.474Z"/>
</w16cex:commentsExtensible>
</file>

<file path=word/commentsIds.xml><?xml version="1.0" encoding="utf-8"?>
<w16cid:commentsIds xmlns:mc="http://schemas.openxmlformats.org/markup-compatibility/2006" xmlns:w16cid="http://schemas.microsoft.com/office/word/2016/wordml/cid" mc:Ignorable="w16cid">
  <w16cid:commentId w16cid:paraId="11F48724" w16cid:durableId="7CDE338E"/>
  <w16cid:commentId w16cid:paraId="69EF2FB8" w16cid:durableId="3E13876F"/>
  <w16cid:commentId w16cid:paraId="2052E11B" w16cid:durableId="10069CD1"/>
  <w16cid:commentId w16cid:paraId="5D8B4E26" w16cid:durableId="2EB5D6D5"/>
  <w16cid:commentId w16cid:paraId="735113CE" w16cid:durableId="0BCF1630"/>
  <w16cid:commentId w16cid:paraId="479EB631" w16cid:durableId="56E9CE7C"/>
  <w16cid:commentId w16cid:paraId="0441ACCE" w16cid:durableId="61CA9861"/>
  <w16cid:commentId w16cid:paraId="00B8F346" w16cid:durableId="479D7F2A"/>
  <w16cid:commentId w16cid:paraId="32EC9E55" w16cid:durableId="67575C5E"/>
  <w16cid:commentId w16cid:paraId="24B21187" w16cid:durableId="49019526"/>
  <w16cid:commentId w16cid:paraId="677DEA53" w16cid:durableId="2C88ABBF"/>
  <w16cid:commentId w16cid:paraId="0847F54D" w16cid:durableId="5CDE7E25"/>
  <w16cid:commentId w16cid:paraId="5278E3A7" w16cid:durableId="4A1BD8FC"/>
  <w16cid:commentId w16cid:paraId="7DE69D25" w16cid:durableId="7462B9C8"/>
  <w16cid:commentId w16cid:paraId="2CC8FAA8" w16cid:durableId="0124022D"/>
  <w16cid:commentId w16cid:paraId="0AC43E90" w16cid:durableId="5C9AB56F"/>
  <w16cid:commentId w16cid:paraId="43FCBB5C" w16cid:durableId="542E2191"/>
  <w16cid:commentId w16cid:paraId="07460CAE" w16cid:durableId="5265E8F8"/>
  <w16cid:commentId w16cid:paraId="3DA8C2C2" w16cid:durableId="5B5D43F6"/>
  <w16cid:commentId w16cid:paraId="2E600680" w16cid:durableId="6E18A01A"/>
  <w16cid:commentId w16cid:paraId="698740FC" w16cid:durableId="3001651A"/>
  <w16cid:commentId w16cid:paraId="318C53F9" w16cid:durableId="7597FC08"/>
  <w16cid:commentId w16cid:paraId="030D515E" w16cid:durableId="3B342154"/>
  <w16cid:commentId w16cid:paraId="1EFE46D9" w16cid:durableId="27AEA052"/>
  <w16cid:commentId w16cid:paraId="5A4741BF" w16cid:durableId="18C9D6D9"/>
  <w16cid:commentId w16cid:paraId="36042C8A" w16cid:durableId="605C1777"/>
  <w16cid:commentId w16cid:paraId="7AD1619B" w16cid:durableId="5F7F3E8D"/>
  <w16cid:commentId w16cid:paraId="32AA9056" w16cid:durableId="7244740B"/>
  <w16cid:commentId w16cid:paraId="77AE1E11" w16cid:durableId="0F6DDA14"/>
  <w16cid:commentId w16cid:paraId="27FF6906" w16cid:durableId="075F4170"/>
  <w16cid:commentId w16cid:paraId="16149F48" w16cid:durableId="471E38C6"/>
  <w16cid:commentId w16cid:paraId="31BBA443" w16cid:durableId="5F5247DC"/>
  <w16cid:commentId w16cid:paraId="574334DF" w16cid:durableId="31BB4D58"/>
  <w16cid:commentId w16cid:paraId="525C5F70" w16cid:durableId="714021F7"/>
  <w16cid:commentId w16cid:paraId="61E0F0CD" w16cid:durableId="55F15215"/>
  <w16cid:commentId w16cid:paraId="284D44EB" w16cid:durableId="546959E7"/>
  <w16cid:commentId w16cid:paraId="604FBFC4" w16cid:durableId="476FF7A6"/>
  <w16cid:commentId w16cid:paraId="5AB5C42E" w16cid:durableId="330877E6"/>
  <w16cid:commentId w16cid:paraId="29989E82" w16cid:durableId="609AED86"/>
  <w16cid:commentId w16cid:paraId="600F34F7" w16cid:durableId="27118E59"/>
  <w16cid:commentId w16cid:paraId="009B3A30" w16cid:durableId="6A32C04F"/>
  <w16cid:commentId w16cid:paraId="4032FCA3" w16cid:durableId="2A1597F5"/>
  <w16cid:commentId w16cid:paraId="7D17F31C" w16cid:durableId="130801D0"/>
  <w16cid:commentId w16cid:paraId="245EB7AA" w16cid:durableId="5200960C"/>
  <w16cid:commentId w16cid:paraId="7ACB4695" w16cid:durableId="13E0E5CA"/>
  <w16cid:commentId w16cid:paraId="69669900" w16cid:durableId="52FD8848"/>
  <w16cid:commentId w16cid:paraId="1C06A12D" w16cid:durableId="429974DC"/>
  <w16cid:commentId w16cid:paraId="506758DA" w16cid:durableId="4F5737C9"/>
  <w16cid:commentId w16cid:paraId="74A89BD2" w16cid:durableId="3BCEEA7D"/>
  <w16cid:commentId w16cid:paraId="63D9C234" w16cid:durableId="3E4F1AE7"/>
  <w16cid:commentId w16cid:paraId="3EB33E24" w16cid:durableId="180EA370"/>
  <w16cid:commentId w16cid:paraId="60AE1452" w16cid:durableId="14739D09"/>
  <w16cid:commentId w16cid:paraId="6A5C27A6" w16cid:durableId="2D15958D"/>
  <w16cid:commentId w16cid:paraId="70A156E6" w16cid:durableId="15A9B185"/>
  <w16cid:commentId w16cid:paraId="3B009AAB" w16cid:durableId="18F75CF2"/>
  <w16cid:commentId w16cid:paraId="1851C685" w16cid:durableId="7024AD62"/>
  <w16cid:commentId w16cid:paraId="4F4D958D" w16cid:durableId="5A81AA69"/>
  <w16cid:commentId w16cid:paraId="517D5B13" w16cid:durableId="0E6F6357"/>
  <w16cid:commentId w16cid:paraId="5C201DC1" w16cid:durableId="758A6D04"/>
  <w16cid:commentId w16cid:paraId="0AF61A5E" w16cid:durableId="6DB22FF1"/>
  <w16cid:commentId w16cid:paraId="56AD7668" w16cid:durableId="3C63DC95"/>
  <w16cid:commentId w16cid:paraId="6D8720AD" w16cid:durableId="213C43F9"/>
  <w16cid:commentId w16cid:paraId="6F82D212" w16cid:durableId="3F39D62D"/>
  <w16cid:commentId w16cid:paraId="12BB35B8" w16cid:durableId="4209AAC1"/>
  <w16cid:commentId w16cid:paraId="59A21031" w16cid:durableId="03544D12"/>
  <w16cid:commentId w16cid:paraId="36DB6849" w16cid:durableId="68B4709A"/>
  <w16cid:commentId w16cid:paraId="4B5F5FA8" w16cid:durableId="2FC178FB"/>
  <w16cid:commentId w16cid:paraId="2C7ABA35" w16cid:durableId="1F5A5FA8"/>
  <w16cid:commentId w16cid:paraId="282C308D" w16cid:durableId="65160C7F"/>
  <w16cid:commentId w16cid:paraId="4DD7DA54" w16cid:durableId="37CCA8CB"/>
  <w16cid:commentId w16cid:paraId="66B6A4EB" w16cid:durableId="293C3749"/>
  <w16cid:commentId w16cid:paraId="401E0BAC" w16cid:durableId="1FF41CB5"/>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9CAEC6C" w14:textId="77777777" w:rsidR="00851C01" w:rsidRDefault="00851C01">
      <w:r>
        <w:separator/>
      </w:r>
    </w:p>
  </w:endnote>
  <w:endnote w:type="continuationSeparator" w:id="0">
    <w:p w14:paraId="4F1E4F67" w14:textId="77777777" w:rsidR="00851C01" w:rsidRDefault="00851C01">
      <w:r>
        <w:continuationSeparator/>
      </w:r>
    </w:p>
  </w:endnote>
  <w:endnote w:type="continuationNotice" w:id="1">
    <w:p w14:paraId="15B45446" w14:textId="77777777" w:rsidR="00851C01" w:rsidRDefault="00851C01">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embedRegular r:id="rId1" w:fontKey="{F46D9E20-A490-41CE-BF29-AC93FA093392}"/>
    <w:embedBold r:id="rId2" w:fontKey="{2F2D49D1-C716-4522-A159-3C15EA2B1A20}"/>
  </w:font>
  <w:font w:name="Times New Roman">
    <w:panose1 w:val="02020603050405020304"/>
    <w:charset w:val="00"/>
    <w:family w:val="roman"/>
    <w:pitch w:val="variable"/>
    <w:sig w:usb0="E0002AFF" w:usb1="C0007843" w:usb2="00000009" w:usb3="00000000" w:csb0="000001FF" w:csb1="00000000"/>
    <w:embedRegular r:id="rId3" w:fontKey="{F5F90840-FA56-400E-862F-90F710DCD74F}"/>
    <w:embedBold r:id="rId4" w:fontKey="{99E9C130-898F-4BA2-BE81-79793E589C93}"/>
    <w:embedItalic r:id="rId5" w:fontKey="{CA78DA71-2C74-4AF3-90C5-5BC77637CF8B}"/>
    <w:embedBoldItalic r:id="rId6" w:fontKey="{628BEAE9-D0AD-4FCB-9848-CB035C504855}"/>
  </w:font>
  <w:font w:name="Courier New">
    <w:panose1 w:val="02070309020205020404"/>
    <w:charset w:val="00"/>
    <w:family w:val="modern"/>
    <w:pitch w:val="fixed"/>
    <w:sig w:usb0="E0002EFF" w:usb1="C0007843" w:usb2="00000009" w:usb3="00000000" w:csb0="000001FF" w:csb1="00000000"/>
    <w:embedRegular r:id="rId7" w:fontKey="{75D7F681-50F3-4D3E-8794-42B05B4DA943}"/>
  </w:font>
  <w:font w:name="Wingdings">
    <w:panose1 w:val="05000000000000000000"/>
    <w:charset w:val="02"/>
    <w:family w:val="auto"/>
    <w:pitch w:val="variable"/>
    <w:sig w:usb0="00000000" w:usb1="10000000" w:usb2="00000000" w:usb3="00000000" w:csb0="80000000" w:csb1="00000000"/>
    <w:embedRegular r:id="rId8" w:fontKey="{223305F4-70F6-45A3-8DA9-C53752F63CF4}"/>
  </w:font>
  <w:font w:name="Arial">
    <w:panose1 w:val="020B0604020202020204"/>
    <w:charset w:val="00"/>
    <w:family w:val="swiss"/>
    <w:pitch w:val="variable"/>
    <w:sig w:usb0="E0002AFF" w:usb1="C0007843" w:usb2="00000009" w:usb3="00000000" w:csb0="000001FF" w:csb1="00000000"/>
    <w:embedRegular r:id="rId9" w:fontKey="{588E6704-F304-4F10-B485-BDB8E7AE2D3C}"/>
    <w:embedBold r:id="rId10" w:fontKey="{D2E7F678-90D3-433A-896F-7A97C68C25E4}"/>
    <w:embedItalic r:id="rId11" w:fontKey="{55EA7560-C513-47CD-AB05-D7DE21B009DC}"/>
    <w:embedBoldItalic r:id="rId12" w:fontKey="{5F8E25AC-7F7B-44E5-AFA0-30F84A7B7F93}"/>
  </w:font>
  <w:font w:name="Arial Narrow">
    <w:panose1 w:val="020B0606020202030204"/>
    <w:charset w:val="00"/>
    <w:family w:val="swiss"/>
    <w:pitch w:val="variable"/>
    <w:sig w:usb0="00000287" w:usb1="00000800" w:usb2="00000000" w:usb3="00000000" w:csb0="0000009F" w:csb1="00000000"/>
    <w:embedBold r:id="rId13" w:fontKey="{80F0770E-1DD1-413A-A083-91AA4568E517}"/>
  </w:font>
  <w:font w:name="Tahoma">
    <w:panose1 w:val="020B0604030504040204"/>
    <w:charset w:val="00"/>
    <w:family w:val="swiss"/>
    <w:pitch w:val="variable"/>
    <w:sig w:usb0="E1002EFF" w:usb1="C000605B" w:usb2="00000029" w:usb3="00000000" w:csb0="000101FF" w:csb1="00000000"/>
    <w:embedRegular r:id="rId14" w:fontKey="{4569B427-266D-49F4-90C5-20C1EBBBB615}"/>
    <w:embedItalic r:id="rId15" w:fontKey="{B335957A-7D1F-4E76-A600-6FD1E1757557}"/>
  </w:font>
  <w:font w:name="Calibri">
    <w:panose1 w:val="020F0502020204030204"/>
    <w:charset w:val="00"/>
    <w:family w:val="swiss"/>
    <w:pitch w:val="variable"/>
    <w:sig w:usb0="E00002FF" w:usb1="4000ACFF" w:usb2="00000001" w:usb3="00000000" w:csb0="0000019F" w:csb1="00000000"/>
    <w:embedRegular r:id="rId16" w:fontKey="{43A7036A-D0C2-4C77-B938-6B66779E3F64}"/>
    <w:embedBold r:id="rId17" w:fontKey="{E8F0036E-B56A-40BF-B8E7-6B58FFA93070}"/>
    <w:embedItalic r:id="rId18" w:fontKey="{F5DB0466-DA54-4E05-B13D-403D64829C0B}"/>
  </w:font>
  <w:font w:name="Cambria">
    <w:panose1 w:val="02040503050406030204"/>
    <w:charset w:val="00"/>
    <w:family w:val="roman"/>
    <w:pitch w:val="variable"/>
    <w:sig w:usb0="A00002EF" w:usb1="4000004B" w:usb2="00000000" w:usb3="00000000" w:csb0="0000009F" w:csb1="00000000"/>
    <w:embedRegular r:id="rId19" w:fontKey="{5A0BE07F-B028-4D15-BFB2-1A18816E52F4}"/>
    <w:embedBold r:id="rId20" w:fontKey="{2BB970BB-24F4-46A5-8A06-39F236CE2E21}"/>
  </w:font>
  <w:font w:name="SimSun">
    <w:altName w:val="宋体"/>
    <w:panose1 w:val="02010600030101010101"/>
    <w:charset w:val="86"/>
    <w:family w:val="auto"/>
    <w:pitch w:val="variable"/>
    <w:sig w:usb0="00000003" w:usb1="288F0000" w:usb2="00000016" w:usb3="00000000" w:csb0="00040001" w:csb1="00000000"/>
  </w:font>
  <w:font w:name="Times New (W1)">
    <w:altName w:val="Times New Roman"/>
    <w:panose1 w:val="00000000000000000000"/>
    <w:charset w:val="00"/>
    <w:family w:val="roman"/>
    <w:notTrueType/>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embedRegular r:id="rId21" w:fontKey="{F63F8536-0937-47BA-9366-FE7EF26282E2}"/>
    <w:embedBold r:id="rId22" w:fontKey="{44CBFED1-BEE2-48C6-8414-33281EC4E132}"/>
    <w:embedItalic r:id="rId23" w:fontKey="{754FABE1-5217-4095-BB29-F72EF665696D}"/>
    <w:embedBoldItalic r:id="rId24" w:fontKey="{986080F3-1838-4E49-A764-EECB188E3DB0}"/>
  </w:font>
  <w:font w:name="Palatino Linotype">
    <w:panose1 w:val="02040502050505030304"/>
    <w:charset w:val="00"/>
    <w:family w:val="roman"/>
    <w:pitch w:val="variable"/>
    <w:sig w:usb0="E0000287" w:usb1="40000013" w:usb2="00000000" w:usb3="00000000" w:csb0="0000019F" w:csb1="00000000"/>
    <w:embedRegular r:id="rId25" w:fontKey="{92D05C62-1BAA-48A2-9242-9080BAC7991B}"/>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FE7EE3" w14:textId="77777777" w:rsidR="00851C01" w:rsidRDefault="00851C01">
    <w:pPr>
      <w:pStyle w:val="FooterCopyright"/>
      <w:pBdr>
        <w:top w:val="none" w:sz="0" w:space="0" w:color="auto"/>
      </w:pBdr>
      <w:rPr>
        <w:b w:val="0"/>
      </w:rPr>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B3D184" w14:textId="374DA887" w:rsidR="00851C01" w:rsidRDefault="005C5CD4" w:rsidP="00482A2E">
    <w:pPr>
      <w:pStyle w:val="Footer"/>
      <w:tabs>
        <w:tab w:val="clear" w:pos="4824"/>
        <w:tab w:val="center" w:pos="4500"/>
      </w:tabs>
    </w:pPr>
    <w:r>
      <w:fldChar w:fldCharType="begin"/>
    </w:r>
    <w:r>
      <w:instrText>DOCPROPERTY  Category  \* MERGEFORMAT</w:instrText>
    </w:r>
    <w:r>
      <w:fldChar w:fldCharType="separate"/>
    </w:r>
    <w:r w:rsidR="00851C01">
      <w:t>Issue 84.0</w:t>
    </w:r>
    <w:r>
      <w:fldChar w:fldCharType="end"/>
    </w:r>
    <w:r w:rsidR="00851C01">
      <w:t xml:space="preserve"> – </w:t>
    </w:r>
    <w:r>
      <w:fldChar w:fldCharType="begin"/>
    </w:r>
    <w:r>
      <w:instrText>COMMENTS  \* MERGEFORMAT</w:instrText>
    </w:r>
    <w:r>
      <w:fldChar w:fldCharType="separate"/>
    </w:r>
    <w:r w:rsidR="00851C01">
      <w:t>September 15, 2021</w:t>
    </w:r>
    <w:r>
      <w:fldChar w:fldCharType="end"/>
    </w:r>
    <w:r w:rsidR="00851C01">
      <w:tab/>
    </w:r>
    <w:r>
      <w:fldChar w:fldCharType="begin"/>
    </w:r>
    <w:r>
      <w:instrText>SUBJECT  \* MERGEFORMAT</w:instrText>
    </w:r>
    <w:r>
      <w:fldChar w:fldCharType="separate"/>
    </w:r>
    <w:r w:rsidR="00851C01">
      <w:t>Public</w:t>
    </w:r>
    <w:r>
      <w:fldChar w:fldCharType="end"/>
    </w:r>
    <w:r w:rsidR="00851C01">
      <w:tab/>
    </w:r>
    <w:r w:rsidR="00851C01">
      <w:rPr>
        <w:rStyle w:val="PageNumber"/>
      </w:rPr>
      <w:fldChar w:fldCharType="begin"/>
    </w:r>
    <w:r w:rsidR="00851C01">
      <w:rPr>
        <w:rStyle w:val="PageNumber"/>
      </w:rPr>
      <w:instrText xml:space="preserve"> PAGE </w:instrText>
    </w:r>
    <w:r w:rsidR="00851C01">
      <w:rPr>
        <w:rStyle w:val="PageNumber"/>
      </w:rPr>
      <w:fldChar w:fldCharType="separate"/>
    </w:r>
    <w:r>
      <w:rPr>
        <w:rStyle w:val="PageNumber"/>
        <w:noProof/>
      </w:rPr>
      <w:t>15</w:t>
    </w:r>
    <w:r w:rsidR="00851C01">
      <w:rPr>
        <w:rStyle w:val="PageNumber"/>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BAD800" w14:textId="5B98A855" w:rsidR="00851C01" w:rsidRDefault="005C5CD4" w:rsidP="00E873D8">
    <w:pPr>
      <w:pStyle w:val="Footer"/>
      <w:tabs>
        <w:tab w:val="clear" w:pos="4824"/>
        <w:tab w:val="center" w:pos="4500"/>
      </w:tabs>
    </w:pPr>
    <w:r>
      <w:fldChar w:fldCharType="begin"/>
    </w:r>
    <w:r>
      <w:instrText>DOCPROPERTY "Category"  \* MERGEFORMAT</w:instrText>
    </w:r>
    <w:r>
      <w:fldChar w:fldCharType="separate"/>
    </w:r>
    <w:r w:rsidR="00851C01">
      <w:t>Issue 82.0</w:t>
    </w:r>
    <w:r>
      <w:fldChar w:fldCharType="end"/>
    </w:r>
    <w:r w:rsidR="00851C01" w:rsidRPr="009A53F0">
      <w:t xml:space="preserve"> – </w:t>
    </w:r>
    <w:r>
      <w:fldChar w:fldCharType="begin"/>
    </w:r>
    <w:r>
      <w:instrText>COMMENTS  \* MERGEFORMAT</w:instrText>
    </w:r>
    <w:r>
      <w:fldChar w:fldCharType="separate"/>
    </w:r>
    <w:r w:rsidR="00851C01">
      <w:t>February 26, 2021</w:t>
    </w:r>
    <w:r>
      <w:fldChar w:fldCharType="end"/>
    </w:r>
    <w:r w:rsidR="00851C01" w:rsidRPr="00AB3E90">
      <w:tab/>
    </w:r>
    <w:r>
      <w:fldChar w:fldCharType="begin"/>
    </w:r>
    <w:r>
      <w:instrText>SUBJECT  \* MERGEFORMAT</w:instrText>
    </w:r>
    <w:r>
      <w:fldChar w:fldCharType="separate"/>
    </w:r>
    <w:r w:rsidR="00851C01">
      <w:t>Public</w:t>
    </w:r>
    <w:r>
      <w:fldChar w:fldCharType="end"/>
    </w:r>
    <w:r w:rsidR="00851C01" w:rsidRPr="00AB3E90">
      <w:tab/>
      <w:t xml:space="preserve"> </w:t>
    </w:r>
    <w:r w:rsidR="00851C01">
      <w:fldChar w:fldCharType="begin"/>
    </w:r>
    <w:r w:rsidR="00851C01">
      <w:instrText xml:space="preserve"> PAGE   \* MERGEFORMAT </w:instrText>
    </w:r>
    <w:r w:rsidR="00851C01">
      <w:fldChar w:fldCharType="separate"/>
    </w:r>
    <w:r w:rsidR="00851C01">
      <w:rPr>
        <w:noProof/>
      </w:rPr>
      <w:t>84</w:t>
    </w:r>
    <w:r w:rsidR="00851C01">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164A5E" w14:textId="23C2AA0C" w:rsidR="00851C01" w:rsidRDefault="005C5CD4" w:rsidP="002B7F1A">
    <w:pPr>
      <w:pStyle w:val="Footer"/>
      <w:tabs>
        <w:tab w:val="clear" w:pos="4824"/>
        <w:tab w:val="center" w:pos="4500"/>
      </w:tabs>
    </w:pPr>
    <w:r>
      <w:fldChar w:fldCharType="begin"/>
    </w:r>
    <w:r>
      <w:instrText>DOCPROPERTY  Category  \* MERGEFORMAT</w:instrText>
    </w:r>
    <w:r>
      <w:fldChar w:fldCharType="separate"/>
    </w:r>
    <w:r w:rsidR="00851C01">
      <w:t>Issue 84.0</w:t>
    </w:r>
    <w:r>
      <w:fldChar w:fldCharType="end"/>
    </w:r>
    <w:r w:rsidR="00851C01">
      <w:t xml:space="preserve"> – </w:t>
    </w:r>
    <w:r>
      <w:fldChar w:fldCharType="begin"/>
    </w:r>
    <w:r>
      <w:instrText>COMMENTS  \* MERGEFORMAT</w:instrText>
    </w:r>
    <w:r>
      <w:fldChar w:fldCharType="separate"/>
    </w:r>
    <w:r w:rsidR="00851C01">
      <w:t>September 15, 2021</w:t>
    </w:r>
    <w:r>
      <w:fldChar w:fldCharType="end"/>
    </w:r>
    <w:r w:rsidR="00851C01">
      <w:tab/>
    </w:r>
    <w:r>
      <w:fldChar w:fldCharType="begin"/>
    </w:r>
    <w:r>
      <w:instrText>SUBJECT  \* MERGEFORMAT</w:instrText>
    </w:r>
    <w:r>
      <w:fldChar w:fldCharType="separate"/>
    </w:r>
    <w:r w:rsidR="00851C01">
      <w:t>Public</w:t>
    </w:r>
    <w:r>
      <w:fldChar w:fldCharType="end"/>
    </w:r>
    <w:r w:rsidR="00851C01">
      <w:tab/>
    </w:r>
    <w:r w:rsidR="00851C01">
      <w:rPr>
        <w:rStyle w:val="PageNumber"/>
      </w:rPr>
      <w:fldChar w:fldCharType="begin"/>
    </w:r>
    <w:r w:rsidR="00851C01">
      <w:rPr>
        <w:rStyle w:val="PageNumber"/>
      </w:rPr>
      <w:instrText xml:space="preserve"> PAGE </w:instrText>
    </w:r>
    <w:r w:rsidR="00851C01">
      <w:rPr>
        <w:rStyle w:val="PageNumber"/>
      </w:rPr>
      <w:fldChar w:fldCharType="separate"/>
    </w:r>
    <w:r>
      <w:rPr>
        <w:rStyle w:val="PageNumber"/>
        <w:noProof/>
      </w:rPr>
      <w:t>33</w:t>
    </w:r>
    <w:r w:rsidR="00851C01">
      <w:rPr>
        <w:rStyle w:val="PageNumber"/>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9E5ABE" w14:textId="56776764" w:rsidR="00851C01" w:rsidRDefault="00851C01" w:rsidP="002B7F1A">
    <w:pPr>
      <w:pStyle w:val="Footer"/>
      <w:tabs>
        <w:tab w:val="clear" w:pos="4824"/>
        <w:tab w:val="center" w:pos="4500"/>
        <w:tab w:val="right" w:pos="13950"/>
      </w:tabs>
    </w:pPr>
    <w:r>
      <w:fldChar w:fldCharType="begin"/>
    </w:r>
    <w:r>
      <w:instrText xml:space="preserve">PAGE  </w:instrText>
    </w:r>
    <w:r>
      <w:fldChar w:fldCharType="separate"/>
    </w:r>
    <w:r>
      <w:rPr>
        <w:noProof/>
      </w:rPr>
      <w:t>86</w:t>
    </w:r>
    <w:r>
      <w:rPr>
        <w:noProof/>
      </w:rPr>
      <w:fldChar w:fldCharType="end"/>
    </w:r>
    <w:r>
      <w:tab/>
    </w:r>
    <w:r w:rsidR="005C5CD4">
      <w:fldChar w:fldCharType="begin"/>
    </w:r>
    <w:r w:rsidR="005C5CD4">
      <w:instrText>SUBJECT  \* MERGEFORMAT</w:instrText>
    </w:r>
    <w:r w:rsidR="005C5CD4">
      <w:fldChar w:fldCharType="separate"/>
    </w:r>
    <w:r>
      <w:t>Public</w:t>
    </w:r>
    <w:r w:rsidR="005C5CD4">
      <w:fldChar w:fldCharType="end"/>
    </w:r>
    <w:r>
      <w:tab/>
    </w:r>
    <w:r w:rsidR="005C5CD4">
      <w:fldChar w:fldCharType="begin"/>
    </w:r>
    <w:r w:rsidR="005C5CD4">
      <w:instrText>DOCPROPERTY "Category"  \* MERGEFORMAT</w:instrText>
    </w:r>
    <w:r w:rsidR="005C5CD4">
      <w:fldChar w:fldCharType="separate"/>
    </w:r>
    <w:r>
      <w:t>Issue 82.0</w:t>
    </w:r>
    <w:r w:rsidR="005C5CD4">
      <w:fldChar w:fldCharType="end"/>
    </w:r>
    <w:r>
      <w:t xml:space="preserve"> – </w:t>
    </w:r>
    <w:r w:rsidR="005C5CD4">
      <w:fldChar w:fldCharType="begin"/>
    </w:r>
    <w:r w:rsidR="005C5CD4">
      <w:instrText>COMMENTS  \* MERGEFORMAT</w:instrText>
    </w:r>
    <w:r w:rsidR="005C5CD4">
      <w:fldChar w:fldCharType="separate"/>
    </w:r>
    <w:r>
      <w:t>February 26, 2021</w:t>
    </w:r>
    <w:r w:rsidR="005C5CD4">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9B9C00" w14:textId="1DBA026F" w:rsidR="00851C01" w:rsidRDefault="005C5CD4" w:rsidP="00164EE9">
    <w:pPr>
      <w:pStyle w:val="Footer"/>
      <w:pBdr>
        <w:top w:val="single" w:sz="4" w:space="3" w:color="auto"/>
      </w:pBdr>
      <w:tabs>
        <w:tab w:val="clear" w:pos="4824"/>
        <w:tab w:val="center" w:pos="4500"/>
      </w:tabs>
    </w:pPr>
    <w:r>
      <w:fldChar w:fldCharType="begin"/>
    </w:r>
    <w:r>
      <w:instrText>DOCPROPERTY  Category  \* MERGEFORMAT</w:instrText>
    </w:r>
    <w:r>
      <w:fldChar w:fldCharType="separate"/>
    </w:r>
    <w:r w:rsidR="00851C01">
      <w:t>Issue 84.0</w:t>
    </w:r>
    <w:r>
      <w:fldChar w:fldCharType="end"/>
    </w:r>
    <w:r w:rsidR="00851C01">
      <w:t xml:space="preserve"> – </w:t>
    </w:r>
    <w:r>
      <w:fldChar w:fldCharType="begin"/>
    </w:r>
    <w:r>
      <w:instrText>COMMENTS  \* MERGEFORMAT</w:instrText>
    </w:r>
    <w:r>
      <w:fldChar w:fldCharType="separate"/>
    </w:r>
    <w:r w:rsidR="00851C01">
      <w:t>September 15, 2021</w:t>
    </w:r>
    <w:r>
      <w:fldChar w:fldCharType="end"/>
    </w:r>
    <w:r w:rsidR="00851C01">
      <w:tab/>
    </w:r>
    <w:r>
      <w:fldChar w:fldCharType="begin"/>
    </w:r>
    <w:r>
      <w:instrText>SUBJECT  \* MERGEFORMAT</w:instrText>
    </w:r>
    <w:r>
      <w:fldChar w:fldCharType="separate"/>
    </w:r>
    <w:r w:rsidR="00851C01">
      <w:t>Public</w:t>
    </w:r>
    <w:r>
      <w:fldChar w:fldCharType="end"/>
    </w:r>
    <w:r w:rsidR="00851C01">
      <w:tab/>
    </w:r>
    <w:r w:rsidR="00851C01">
      <w:rPr>
        <w:rStyle w:val="PageNumber"/>
      </w:rPr>
      <w:fldChar w:fldCharType="begin"/>
    </w:r>
    <w:r w:rsidR="00851C01">
      <w:rPr>
        <w:rStyle w:val="PageNumber"/>
      </w:rPr>
      <w:instrText xml:space="preserve"> PAGE </w:instrText>
    </w:r>
    <w:r w:rsidR="00851C01">
      <w:rPr>
        <w:rStyle w:val="PageNumber"/>
      </w:rPr>
      <w:fldChar w:fldCharType="separate"/>
    </w:r>
    <w:r w:rsidR="004537B8">
      <w:rPr>
        <w:rStyle w:val="PageNumber"/>
        <w:noProof/>
      </w:rPr>
      <w:t>90</w:t>
    </w:r>
    <w:r w:rsidR="00851C01">
      <w:rPr>
        <w:rStyle w:val="PageNumber"/>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D87FC7" w14:textId="6F292CC3" w:rsidR="00851C01" w:rsidRDefault="00851C01" w:rsidP="00BB05B3">
    <w:pPr>
      <w:pStyle w:val="Footer"/>
    </w:pPr>
    <w:r>
      <w:rPr>
        <w:rStyle w:val="PageNumber"/>
      </w:rPr>
      <w:fldChar w:fldCharType="begin"/>
    </w:r>
    <w:r>
      <w:rPr>
        <w:rStyle w:val="PageNumber"/>
      </w:rPr>
      <w:instrText xml:space="preserve"> PAGE </w:instrText>
    </w:r>
    <w:r>
      <w:rPr>
        <w:rStyle w:val="PageNumber"/>
      </w:rPr>
      <w:fldChar w:fldCharType="separate"/>
    </w:r>
    <w:r>
      <w:rPr>
        <w:rStyle w:val="PageNumber"/>
        <w:noProof/>
      </w:rPr>
      <w:t>102</w:t>
    </w:r>
    <w:r>
      <w:rPr>
        <w:rStyle w:val="PageNumber"/>
      </w:rPr>
      <w:fldChar w:fldCharType="end"/>
    </w:r>
    <w:r>
      <w:tab/>
    </w:r>
    <w:r w:rsidR="005C5CD4">
      <w:fldChar w:fldCharType="begin"/>
    </w:r>
    <w:r w:rsidR="005C5CD4">
      <w:instrText>SUBJECT  \* MERGEFORMAT</w:instrText>
    </w:r>
    <w:r w:rsidR="005C5CD4">
      <w:fldChar w:fldCharType="separate"/>
    </w:r>
    <w:r>
      <w:t>Public</w:t>
    </w:r>
    <w:r w:rsidR="005C5CD4">
      <w:fldChar w:fldCharType="end"/>
    </w:r>
    <w:r>
      <w:tab/>
    </w:r>
    <w:r w:rsidR="005C5CD4">
      <w:fldChar w:fldCharType="begin"/>
    </w:r>
    <w:r w:rsidR="005C5CD4">
      <w:instrText>DOCPROPERTY "Category"  \* MERGEFORMAT</w:instrText>
    </w:r>
    <w:r w:rsidR="005C5CD4">
      <w:fldChar w:fldCharType="separate"/>
    </w:r>
    <w:r>
      <w:t>Issue 82.0</w:t>
    </w:r>
    <w:r w:rsidR="005C5CD4">
      <w:fldChar w:fldCharType="end"/>
    </w:r>
    <w:r>
      <w:t xml:space="preserve"> – </w:t>
    </w:r>
    <w:r w:rsidR="005C5CD4">
      <w:fldChar w:fldCharType="begin"/>
    </w:r>
    <w:r w:rsidR="005C5CD4">
      <w:instrText>COMMENTS  \* MERGE</w:instrText>
    </w:r>
    <w:r w:rsidR="005C5CD4">
      <w:instrText>FORMAT</w:instrText>
    </w:r>
    <w:r w:rsidR="005C5CD4">
      <w:fldChar w:fldCharType="separate"/>
    </w:r>
    <w:r>
      <w:t>February 26, 2021</w:t>
    </w:r>
    <w:r w:rsidR="005C5CD4">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6CBB7E" w14:textId="13148721" w:rsidR="00851C01" w:rsidRDefault="005C5CD4" w:rsidP="000B7319">
    <w:pPr>
      <w:pStyle w:val="Footer"/>
    </w:pPr>
    <w:r>
      <w:fldChar w:fldCharType="begin"/>
    </w:r>
    <w:r>
      <w:instrText>DOCPROPERTY  Category  \* MERGEFORMAT</w:instrText>
    </w:r>
    <w:r>
      <w:fldChar w:fldCharType="separate"/>
    </w:r>
    <w:r w:rsidR="00851C01">
      <w:t>Issue 84.0</w:t>
    </w:r>
    <w:r>
      <w:fldChar w:fldCharType="end"/>
    </w:r>
    <w:r w:rsidR="00851C01">
      <w:t xml:space="preserve"> – </w:t>
    </w:r>
    <w:r>
      <w:fldChar w:fldCharType="begin"/>
    </w:r>
    <w:r>
      <w:instrText>COMMENTS  \* MERGEFORMAT</w:instrText>
    </w:r>
    <w:r>
      <w:fldChar w:fldCharType="separate"/>
    </w:r>
    <w:r w:rsidR="00851C01">
      <w:t>September 15, 2021</w:t>
    </w:r>
    <w:r>
      <w:fldChar w:fldCharType="end"/>
    </w:r>
    <w:r w:rsidR="00851C01">
      <w:tab/>
    </w:r>
    <w:r>
      <w:fldChar w:fldCharType="begin"/>
    </w:r>
    <w:r>
      <w:instrText>SUBJECT  \* MERGEFORMAT</w:instrText>
    </w:r>
    <w:r>
      <w:fldChar w:fldCharType="separate"/>
    </w:r>
    <w:r w:rsidR="00851C01">
      <w:t>Public</w:t>
    </w:r>
    <w:r>
      <w:fldChar w:fldCharType="end"/>
    </w:r>
    <w:r w:rsidR="00851C01">
      <w:t xml:space="preserve"> </w:t>
    </w:r>
    <w:r w:rsidR="00851C01">
      <w:tab/>
    </w:r>
    <w:r w:rsidR="00851C01">
      <w:rPr>
        <w:rStyle w:val="PageNumber"/>
      </w:rPr>
      <w:fldChar w:fldCharType="begin"/>
    </w:r>
    <w:r w:rsidR="00851C01">
      <w:rPr>
        <w:rStyle w:val="PageNumber"/>
      </w:rPr>
      <w:instrText xml:space="preserve"> PAGE </w:instrText>
    </w:r>
    <w:r w:rsidR="00851C01">
      <w:rPr>
        <w:rStyle w:val="PageNumber"/>
      </w:rPr>
      <w:fldChar w:fldCharType="separate"/>
    </w:r>
    <w:r w:rsidR="004537B8">
      <w:rPr>
        <w:rStyle w:val="PageNumber"/>
        <w:noProof/>
      </w:rPr>
      <w:t>91</w:t>
    </w:r>
    <w:r w:rsidR="00851C01">
      <w:rPr>
        <w:rStyle w:val="PageNumber"/>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48224B" w14:textId="77777777" w:rsidR="00851C01" w:rsidRDefault="00851C01" w:rsidP="00D0568D">
    <w:pPr>
      <w:pStyle w:val="FooterLandscape"/>
      <w:pBdr>
        <w:top w:val="single" w:sz="6" w:space="0" w:color="auto"/>
      </w:pBdr>
      <w:tabs>
        <w:tab w:val="clear" w:pos="6120"/>
        <w:tab w:val="center" w:pos="6480"/>
      </w:tabs>
    </w:pPr>
    <w:r>
      <w:rPr>
        <w:rStyle w:val="PageNumber"/>
      </w:rPr>
      <w:fldChar w:fldCharType="begin"/>
    </w:r>
    <w:r>
      <w:rPr>
        <w:rStyle w:val="PageNumber"/>
      </w:rPr>
      <w:instrText xml:space="preserve"> PAGE </w:instrText>
    </w:r>
    <w:r>
      <w:rPr>
        <w:rStyle w:val="PageNumber"/>
      </w:rPr>
      <w:fldChar w:fldCharType="separate"/>
    </w:r>
    <w:r>
      <w:rPr>
        <w:rStyle w:val="PageNumber"/>
        <w:noProof/>
      </w:rPr>
      <w:t>126</w:t>
    </w:r>
    <w:r>
      <w:rPr>
        <w:rStyle w:val="PageNumber"/>
      </w:rPr>
      <w:fldChar w:fldCharType="end"/>
    </w:r>
    <w:r>
      <w:tab/>
    </w:r>
    <w:r w:rsidR="005C5CD4">
      <w:fldChar w:fldCharType="begin"/>
    </w:r>
    <w:r w:rsidR="005C5CD4">
      <w:instrText>SUBJECT  \* MERGEFORMAT</w:instrText>
    </w:r>
    <w:r w:rsidR="005C5CD4">
      <w:fldChar w:fldCharType="separate"/>
    </w:r>
    <w:r>
      <w:t>Public</w:t>
    </w:r>
    <w:r w:rsidR="005C5CD4">
      <w:fldChar w:fldCharType="end"/>
    </w:r>
    <w:r>
      <w:tab/>
    </w:r>
    <w:r w:rsidR="005C5CD4">
      <w:fldChar w:fldCharType="begin"/>
    </w:r>
    <w:r w:rsidR="005C5CD4">
      <w:instrText>DOCPROPER</w:instrText>
    </w:r>
    <w:r w:rsidR="005C5CD4">
      <w:instrText>TY "Category"  \* MERGEFORMAT</w:instrText>
    </w:r>
    <w:r w:rsidR="005C5CD4">
      <w:fldChar w:fldCharType="separate"/>
    </w:r>
    <w:r>
      <w:t>Issue 73.0</w:t>
    </w:r>
    <w:r w:rsidR="005C5CD4">
      <w:fldChar w:fldCharType="end"/>
    </w:r>
    <w:r>
      <w:t xml:space="preserve"> – </w:t>
    </w:r>
    <w:r w:rsidR="005C5CD4">
      <w:fldChar w:fldCharType="begin"/>
    </w:r>
    <w:r w:rsidR="005C5CD4">
      <w:instrText>COMMENTS  \* MERGEFORMAT</w:instrText>
    </w:r>
    <w:r w:rsidR="005C5CD4">
      <w:fldChar w:fldCharType="separate"/>
    </w:r>
    <w:r>
      <w:t>June 5 2019</w:t>
    </w:r>
    <w:r w:rsidR="005C5CD4">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E848C9" w14:textId="77B3DDDF" w:rsidR="00851C01" w:rsidRDefault="005C5CD4" w:rsidP="00E873D8">
    <w:pPr>
      <w:pStyle w:val="FooterLandscape"/>
      <w:tabs>
        <w:tab w:val="clear" w:pos="6120"/>
        <w:tab w:val="center" w:pos="6480"/>
      </w:tabs>
    </w:pPr>
    <w:r>
      <w:fldChar w:fldCharType="begin"/>
    </w:r>
    <w:r>
      <w:instrText>DOCPROPERTY "Category"  \* MERGEFORMAT</w:instrText>
    </w:r>
    <w:r>
      <w:fldChar w:fldCharType="separate"/>
    </w:r>
    <w:r w:rsidR="00851C01">
      <w:t>Issue 84.0</w:t>
    </w:r>
    <w:r>
      <w:fldChar w:fldCharType="end"/>
    </w:r>
    <w:r w:rsidR="00851C01">
      <w:t xml:space="preserve"> – </w:t>
    </w:r>
    <w:r>
      <w:fldChar w:fldCharType="begin"/>
    </w:r>
    <w:r>
      <w:instrText>COMMENTS  \* MERGEFORMAT</w:instrText>
    </w:r>
    <w:r>
      <w:fldChar w:fldCharType="separate"/>
    </w:r>
    <w:r w:rsidR="00851C01">
      <w:t>September 15, 2021</w:t>
    </w:r>
    <w:r>
      <w:fldChar w:fldCharType="end"/>
    </w:r>
    <w:r w:rsidR="00851C01">
      <w:tab/>
    </w:r>
    <w:r>
      <w:fldChar w:fldCharType="begin"/>
    </w:r>
    <w:r>
      <w:instrText>SUBJECT  \* MERGEFORMAT</w:instrText>
    </w:r>
    <w:r>
      <w:fldChar w:fldCharType="separate"/>
    </w:r>
    <w:r w:rsidR="00851C01">
      <w:t>Public</w:t>
    </w:r>
    <w:r>
      <w:fldChar w:fldCharType="end"/>
    </w:r>
    <w:r w:rsidR="00851C01">
      <w:tab/>
    </w:r>
    <w:r w:rsidR="00851C01">
      <w:rPr>
        <w:rStyle w:val="PageNumber"/>
      </w:rPr>
      <w:fldChar w:fldCharType="begin"/>
    </w:r>
    <w:r w:rsidR="00851C01">
      <w:rPr>
        <w:rStyle w:val="PageNumber"/>
      </w:rPr>
      <w:instrText xml:space="preserve"> PAGE </w:instrText>
    </w:r>
    <w:r w:rsidR="00851C01">
      <w:rPr>
        <w:rStyle w:val="PageNumber"/>
      </w:rPr>
      <w:fldChar w:fldCharType="separate"/>
    </w:r>
    <w:r w:rsidR="004537B8">
      <w:rPr>
        <w:rStyle w:val="PageNumber"/>
        <w:noProof/>
      </w:rPr>
      <w:t>116</w:t>
    </w:r>
    <w:r w:rsidR="00851C01">
      <w:rPr>
        <w:rStyle w:val="PageNumber"/>
      </w:rPr>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8852BF" w14:textId="5BB40B35" w:rsidR="00851C01" w:rsidRDefault="00851C01" w:rsidP="00E873D8">
    <w:pPr>
      <w:pStyle w:val="Footer"/>
      <w:tabs>
        <w:tab w:val="clear" w:pos="4824"/>
        <w:tab w:val="center" w:pos="4500"/>
      </w:tabs>
    </w:pPr>
    <w:r>
      <w:rPr>
        <w:rStyle w:val="PageNumber"/>
      </w:rPr>
      <w:fldChar w:fldCharType="begin"/>
    </w:r>
    <w:r>
      <w:rPr>
        <w:rStyle w:val="PageNumber"/>
      </w:rPr>
      <w:instrText xml:space="preserve"> PAGE </w:instrText>
    </w:r>
    <w:r>
      <w:rPr>
        <w:rStyle w:val="PageNumber"/>
      </w:rPr>
      <w:fldChar w:fldCharType="separate"/>
    </w:r>
    <w:r>
      <w:rPr>
        <w:rStyle w:val="PageNumber"/>
        <w:noProof/>
      </w:rPr>
      <w:t>A–2</w:t>
    </w:r>
    <w:r>
      <w:rPr>
        <w:rStyle w:val="PageNumber"/>
      </w:rPr>
      <w:fldChar w:fldCharType="end"/>
    </w:r>
    <w:r>
      <w:tab/>
    </w:r>
    <w:r w:rsidR="005C5CD4">
      <w:fldChar w:fldCharType="begin"/>
    </w:r>
    <w:r w:rsidR="005C5CD4">
      <w:instrText>SUBJECT  \* MERGEFORMAT</w:instrText>
    </w:r>
    <w:r w:rsidR="005C5CD4">
      <w:fldChar w:fldCharType="separate"/>
    </w:r>
    <w:r>
      <w:t>Public</w:t>
    </w:r>
    <w:r w:rsidR="005C5CD4">
      <w:fldChar w:fldCharType="end"/>
    </w:r>
    <w:r>
      <w:tab/>
    </w:r>
    <w:r w:rsidR="005C5CD4">
      <w:fldChar w:fldCharType="begin"/>
    </w:r>
    <w:r w:rsidR="005C5CD4">
      <w:instrText>DOCPROPERTY "Category"  \* MERGEFORMAT</w:instrText>
    </w:r>
    <w:r w:rsidR="005C5CD4">
      <w:fldChar w:fldCharType="separate"/>
    </w:r>
    <w:r>
      <w:t>Issue 82.0</w:t>
    </w:r>
    <w:r w:rsidR="005C5CD4">
      <w:fldChar w:fldCharType="end"/>
    </w:r>
    <w:r>
      <w:t xml:space="preserve"> – </w:t>
    </w:r>
    <w:r w:rsidR="005C5CD4">
      <w:fldChar w:fldCharType="begin"/>
    </w:r>
    <w:r w:rsidR="005C5CD4">
      <w:instrText>COMMENTS  \* MERGEFORMAT</w:instrText>
    </w:r>
    <w:r w:rsidR="005C5CD4">
      <w:fldChar w:fldCharType="separate"/>
    </w:r>
    <w:r>
      <w:t>February 26, 2021</w:t>
    </w:r>
    <w:r w:rsidR="005C5CD4">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F8755C" w14:textId="77777777" w:rsidR="00851C01" w:rsidRDefault="00851C01" w:rsidP="000B29A5">
    <w:pPr>
      <w:pStyle w:val="Footer"/>
      <w:pBdr>
        <w:top w:val="none" w:sz="0" w:space="0" w:color="auto"/>
      </w:pBdr>
    </w:pPr>
  </w:p>
</w:ftr>
</file>

<file path=word/footer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985D4E" w14:textId="46CF432C" w:rsidR="00851C01" w:rsidRDefault="005C5CD4" w:rsidP="00E873D8">
    <w:pPr>
      <w:pStyle w:val="Footer"/>
      <w:tabs>
        <w:tab w:val="clear" w:pos="4824"/>
        <w:tab w:val="center" w:pos="4500"/>
      </w:tabs>
    </w:pPr>
    <w:r>
      <w:fldChar w:fldCharType="begin"/>
    </w:r>
    <w:r>
      <w:instrText>DOCPROPERTY  Category  \* MERGEFORMAT</w:instrText>
    </w:r>
    <w:r>
      <w:fldChar w:fldCharType="separate"/>
    </w:r>
    <w:r w:rsidR="00851C01">
      <w:t>Issue 84.0</w:t>
    </w:r>
    <w:r>
      <w:fldChar w:fldCharType="end"/>
    </w:r>
    <w:r w:rsidR="00851C01">
      <w:t xml:space="preserve"> – </w:t>
    </w:r>
    <w:r>
      <w:fldChar w:fldCharType="begin"/>
    </w:r>
    <w:r>
      <w:instrText>COMMENTS  \* MERGEFORMAT</w:instrText>
    </w:r>
    <w:r>
      <w:fldChar w:fldCharType="separate"/>
    </w:r>
    <w:r w:rsidR="00851C01">
      <w:t>September 15, 2021</w:t>
    </w:r>
    <w:r>
      <w:fldChar w:fldCharType="end"/>
    </w:r>
    <w:r w:rsidR="00851C01">
      <w:tab/>
    </w:r>
    <w:r>
      <w:fldChar w:fldCharType="begin"/>
    </w:r>
    <w:r>
      <w:instrText>SUBJECT  \* MERGEFORMAT</w:instrText>
    </w:r>
    <w:r>
      <w:fldChar w:fldCharType="separate"/>
    </w:r>
    <w:r w:rsidR="00851C01">
      <w:t>Public</w:t>
    </w:r>
    <w:r>
      <w:fldChar w:fldCharType="end"/>
    </w:r>
    <w:r w:rsidR="00851C01">
      <w:tab/>
    </w:r>
    <w:r w:rsidR="00851C01">
      <w:rPr>
        <w:rStyle w:val="PageNumber"/>
      </w:rPr>
      <w:fldChar w:fldCharType="begin"/>
    </w:r>
    <w:r w:rsidR="00851C01">
      <w:rPr>
        <w:rStyle w:val="PageNumber"/>
      </w:rPr>
      <w:instrText xml:space="preserve"> PAGE </w:instrText>
    </w:r>
    <w:r w:rsidR="00851C01">
      <w:rPr>
        <w:rStyle w:val="PageNumber"/>
      </w:rPr>
      <w:fldChar w:fldCharType="separate"/>
    </w:r>
    <w:r w:rsidR="004537B8">
      <w:rPr>
        <w:rStyle w:val="PageNumber"/>
        <w:noProof/>
      </w:rPr>
      <w:t>A–2</w:t>
    </w:r>
    <w:r w:rsidR="00851C01">
      <w:rPr>
        <w:rStyle w:val="PageNumber"/>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D4D550" w14:textId="2E52E955" w:rsidR="00851C01" w:rsidRDefault="00851C01" w:rsidP="00E873D8">
    <w:pPr>
      <w:pStyle w:val="Footer"/>
      <w:tabs>
        <w:tab w:val="clear" w:pos="4824"/>
        <w:tab w:val="center" w:pos="4500"/>
      </w:tabs>
    </w:pPr>
    <w:r>
      <w:rPr>
        <w:rStyle w:val="PageNumber"/>
      </w:rPr>
      <w:fldChar w:fldCharType="begin"/>
    </w:r>
    <w:r>
      <w:rPr>
        <w:rStyle w:val="PageNumber"/>
      </w:rPr>
      <w:instrText xml:space="preserve"> PAGE </w:instrText>
    </w:r>
    <w:r>
      <w:rPr>
        <w:rStyle w:val="PageNumber"/>
      </w:rPr>
      <w:fldChar w:fldCharType="separate"/>
    </w:r>
    <w:r>
      <w:rPr>
        <w:rStyle w:val="PageNumber"/>
        <w:noProof/>
      </w:rPr>
      <w:t>A–2</w:t>
    </w:r>
    <w:r>
      <w:rPr>
        <w:rStyle w:val="PageNumber"/>
      </w:rPr>
      <w:fldChar w:fldCharType="end"/>
    </w:r>
    <w:r>
      <w:tab/>
    </w:r>
    <w:r w:rsidR="005C5CD4">
      <w:fldChar w:fldCharType="begin"/>
    </w:r>
    <w:r w:rsidR="005C5CD4">
      <w:instrText>SUBJECT  \* MERGEFORMAT</w:instrText>
    </w:r>
    <w:r w:rsidR="005C5CD4">
      <w:fldChar w:fldCharType="separate"/>
    </w:r>
    <w:r>
      <w:t>Public</w:t>
    </w:r>
    <w:r w:rsidR="005C5CD4">
      <w:fldChar w:fldCharType="end"/>
    </w:r>
    <w:r>
      <w:tab/>
    </w:r>
    <w:r w:rsidR="005C5CD4">
      <w:fldChar w:fldCharType="begin"/>
    </w:r>
    <w:r w:rsidR="005C5CD4">
      <w:instrText>DOCPROPERTY "Category"  \* MERGEFORMAT</w:instrText>
    </w:r>
    <w:r w:rsidR="005C5CD4">
      <w:fldChar w:fldCharType="separate"/>
    </w:r>
    <w:r>
      <w:t>Issue 82.0</w:t>
    </w:r>
    <w:r w:rsidR="005C5CD4">
      <w:fldChar w:fldCharType="end"/>
    </w:r>
    <w:r>
      <w:t xml:space="preserve"> – </w:t>
    </w:r>
    <w:r w:rsidR="005C5CD4">
      <w:fldChar w:fldCharType="begin"/>
    </w:r>
    <w:r w:rsidR="005C5CD4">
      <w:instrText>COMMENTS  \* MERGEFORMAT</w:instrText>
    </w:r>
    <w:r w:rsidR="005C5CD4">
      <w:fldChar w:fldCharType="separate"/>
    </w:r>
    <w:r>
      <w:t>February 26, 2021</w:t>
    </w:r>
    <w:r w:rsidR="005C5CD4">
      <w:fldChar w:fldCharType="end"/>
    </w:r>
  </w:p>
</w:ftr>
</file>

<file path=word/footer2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F9F141" w14:textId="3D472EF1" w:rsidR="00851C01" w:rsidRDefault="005C5CD4" w:rsidP="00E873D8">
    <w:pPr>
      <w:pStyle w:val="Footer"/>
      <w:tabs>
        <w:tab w:val="clear" w:pos="4824"/>
        <w:tab w:val="center" w:pos="4500"/>
      </w:tabs>
    </w:pPr>
    <w:r>
      <w:fldChar w:fldCharType="begin"/>
    </w:r>
    <w:r>
      <w:instrText>DOCPROPERTY  Category  \* MERGEFORMAT</w:instrText>
    </w:r>
    <w:r>
      <w:fldChar w:fldCharType="separate"/>
    </w:r>
    <w:r w:rsidR="00851C01">
      <w:t>Issue 84.0</w:t>
    </w:r>
    <w:r>
      <w:fldChar w:fldCharType="end"/>
    </w:r>
    <w:r w:rsidR="00851C01">
      <w:t xml:space="preserve"> – </w:t>
    </w:r>
    <w:r>
      <w:fldChar w:fldCharType="begin"/>
    </w:r>
    <w:r>
      <w:instrText>COMMENTS  \* MERGEFORMAT</w:instrText>
    </w:r>
    <w:r>
      <w:fldChar w:fldCharType="separate"/>
    </w:r>
    <w:r w:rsidR="00851C01">
      <w:t>September 15, 2021</w:t>
    </w:r>
    <w:r>
      <w:fldChar w:fldCharType="end"/>
    </w:r>
    <w:r w:rsidR="00851C01">
      <w:tab/>
    </w:r>
    <w:r>
      <w:fldChar w:fldCharType="begin"/>
    </w:r>
    <w:r>
      <w:instrText>SUBJECT  \* MERGEFORMAT</w:instrText>
    </w:r>
    <w:r>
      <w:fldChar w:fldCharType="separate"/>
    </w:r>
    <w:r w:rsidR="00851C01">
      <w:t>Public</w:t>
    </w:r>
    <w:r>
      <w:fldChar w:fldCharType="end"/>
    </w:r>
    <w:r w:rsidR="00851C01">
      <w:tab/>
    </w:r>
    <w:r w:rsidR="00851C01">
      <w:rPr>
        <w:rStyle w:val="PageNumber"/>
      </w:rPr>
      <w:fldChar w:fldCharType="begin"/>
    </w:r>
    <w:r w:rsidR="00851C01">
      <w:rPr>
        <w:rStyle w:val="PageNumber"/>
      </w:rPr>
      <w:instrText xml:space="preserve"> PAGE </w:instrText>
    </w:r>
    <w:r w:rsidR="00851C01">
      <w:rPr>
        <w:rStyle w:val="PageNumber"/>
      </w:rPr>
      <w:fldChar w:fldCharType="separate"/>
    </w:r>
    <w:r w:rsidR="004537B8">
      <w:rPr>
        <w:rStyle w:val="PageNumber"/>
        <w:noProof/>
      </w:rPr>
      <w:t>B–4</w:t>
    </w:r>
    <w:r w:rsidR="00851C01">
      <w:rPr>
        <w:rStyle w:val="PageNumber"/>
      </w:rPr>
      <w:fldChar w:fldCharType="end"/>
    </w:r>
  </w:p>
</w:ftr>
</file>

<file path=word/footer2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425EDA" w14:textId="4B900461" w:rsidR="00851C01" w:rsidRDefault="00851C01" w:rsidP="00E873D8">
    <w:pPr>
      <w:pStyle w:val="Footer"/>
      <w:tabs>
        <w:tab w:val="clear" w:pos="4824"/>
        <w:tab w:val="center" w:pos="4500"/>
      </w:tabs>
    </w:pPr>
    <w:r>
      <w:rPr>
        <w:rStyle w:val="PageNumber"/>
      </w:rPr>
      <w:fldChar w:fldCharType="begin"/>
    </w:r>
    <w:r>
      <w:rPr>
        <w:rStyle w:val="PageNumber"/>
      </w:rPr>
      <w:instrText xml:space="preserve"> PAGE </w:instrText>
    </w:r>
    <w:r>
      <w:rPr>
        <w:rStyle w:val="PageNumber"/>
      </w:rPr>
      <w:fldChar w:fldCharType="separate"/>
    </w:r>
    <w:r>
      <w:rPr>
        <w:rStyle w:val="PageNumber"/>
        <w:noProof/>
      </w:rPr>
      <w:t>D–2</w:t>
    </w:r>
    <w:r>
      <w:rPr>
        <w:rStyle w:val="PageNumber"/>
      </w:rPr>
      <w:fldChar w:fldCharType="end"/>
    </w:r>
    <w:r>
      <w:tab/>
    </w:r>
    <w:r w:rsidR="005C5CD4">
      <w:fldChar w:fldCharType="begin"/>
    </w:r>
    <w:r w:rsidR="005C5CD4">
      <w:instrText>SUBJECT  \* MERGEFORMAT</w:instrText>
    </w:r>
    <w:r w:rsidR="005C5CD4">
      <w:fldChar w:fldCharType="separate"/>
    </w:r>
    <w:r>
      <w:t>Public</w:t>
    </w:r>
    <w:r w:rsidR="005C5CD4">
      <w:fldChar w:fldCharType="end"/>
    </w:r>
    <w:r>
      <w:tab/>
    </w:r>
    <w:r w:rsidR="005C5CD4">
      <w:fldChar w:fldCharType="begin"/>
    </w:r>
    <w:r w:rsidR="005C5CD4">
      <w:instrText>DOCPROPERTY "Category"  \* MERGEFORMAT</w:instrText>
    </w:r>
    <w:r w:rsidR="005C5CD4">
      <w:fldChar w:fldCharType="separate"/>
    </w:r>
    <w:r>
      <w:t>Issue 82.0</w:t>
    </w:r>
    <w:r w:rsidR="005C5CD4">
      <w:fldChar w:fldCharType="end"/>
    </w:r>
    <w:r>
      <w:t xml:space="preserve"> – </w:t>
    </w:r>
    <w:r w:rsidR="005C5CD4">
      <w:fldChar w:fldCharType="begin"/>
    </w:r>
    <w:r w:rsidR="005C5CD4">
      <w:instrText>COMMENTS  \* MERGEFORMAT</w:instrText>
    </w:r>
    <w:r w:rsidR="005C5CD4">
      <w:fldChar w:fldCharType="separate"/>
    </w:r>
    <w:r>
      <w:t>February 26, 2021</w:t>
    </w:r>
    <w:r w:rsidR="005C5CD4">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01B9F5" w14:textId="6D3A0F83" w:rsidR="00851C01" w:rsidRDefault="005C5CD4" w:rsidP="00E873D8">
    <w:pPr>
      <w:pStyle w:val="Footer"/>
      <w:tabs>
        <w:tab w:val="clear" w:pos="4824"/>
        <w:tab w:val="center" w:pos="4500"/>
      </w:tabs>
    </w:pPr>
    <w:r>
      <w:fldChar w:fldCharType="begin"/>
    </w:r>
    <w:r>
      <w:instrText>DOCPROPERTY  Category  \* MERGEFORMAT</w:instrText>
    </w:r>
    <w:r>
      <w:fldChar w:fldCharType="separate"/>
    </w:r>
    <w:r w:rsidR="00851C01">
      <w:t>Issue 84.0</w:t>
    </w:r>
    <w:r>
      <w:fldChar w:fldCharType="end"/>
    </w:r>
    <w:r w:rsidR="00851C01">
      <w:t xml:space="preserve"> – </w:t>
    </w:r>
    <w:r>
      <w:fldChar w:fldCharType="begin"/>
    </w:r>
    <w:r>
      <w:instrText>COMMENTS  \* MERGEFORMAT</w:instrText>
    </w:r>
    <w:r>
      <w:fldChar w:fldCharType="separate"/>
    </w:r>
    <w:r w:rsidR="00851C01">
      <w:t>September 15, 2021</w:t>
    </w:r>
    <w:r>
      <w:fldChar w:fldCharType="end"/>
    </w:r>
    <w:r w:rsidR="00851C01">
      <w:tab/>
    </w:r>
    <w:r>
      <w:fldChar w:fldCharType="begin"/>
    </w:r>
    <w:r>
      <w:instrText>SUBJECT  \* MERGEFORMAT</w:instrText>
    </w:r>
    <w:r>
      <w:fldChar w:fldCharType="separate"/>
    </w:r>
    <w:r w:rsidR="00851C01">
      <w:t>Public</w:t>
    </w:r>
    <w:r>
      <w:fldChar w:fldCharType="end"/>
    </w:r>
    <w:r w:rsidR="00851C01">
      <w:tab/>
    </w:r>
    <w:r w:rsidR="00851C01">
      <w:rPr>
        <w:rStyle w:val="PageNumber"/>
      </w:rPr>
      <w:fldChar w:fldCharType="begin"/>
    </w:r>
    <w:r w:rsidR="00851C01">
      <w:rPr>
        <w:rStyle w:val="PageNumber"/>
      </w:rPr>
      <w:instrText xml:space="preserve"> PAGE </w:instrText>
    </w:r>
    <w:r w:rsidR="00851C01">
      <w:rPr>
        <w:rStyle w:val="PageNumber"/>
      </w:rPr>
      <w:fldChar w:fldCharType="separate"/>
    </w:r>
    <w:r w:rsidR="004537B8">
      <w:rPr>
        <w:rStyle w:val="PageNumber"/>
        <w:noProof/>
      </w:rPr>
      <w:t>D–2</w:t>
    </w:r>
    <w:r w:rsidR="00851C01">
      <w:rPr>
        <w:rStyle w:val="PageNumber"/>
      </w:rPr>
      <w:fldChar w:fldCharType="end"/>
    </w:r>
  </w:p>
</w:ftr>
</file>

<file path=word/footer2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98F188" w14:textId="4B50DCC3" w:rsidR="00851C01" w:rsidRDefault="00851C01" w:rsidP="00E873D8">
    <w:pPr>
      <w:pStyle w:val="Footer"/>
      <w:pBdr>
        <w:top w:val="single" w:sz="4" w:space="0" w:color="auto"/>
      </w:pBdr>
      <w:tabs>
        <w:tab w:val="clear" w:pos="4824"/>
        <w:tab w:val="center" w:pos="4500"/>
      </w:tabs>
    </w:pPr>
    <w:r w:rsidRPr="00AB3E90">
      <w:rPr>
        <w:rStyle w:val="PageNumber"/>
      </w:rPr>
      <w:fldChar w:fldCharType="begin"/>
    </w:r>
    <w:r w:rsidRPr="00AB3E90">
      <w:rPr>
        <w:rStyle w:val="PageNumber"/>
      </w:rPr>
      <w:instrText xml:space="preserve"> PAGE </w:instrText>
    </w:r>
    <w:r w:rsidRPr="00AB3E90">
      <w:rPr>
        <w:rStyle w:val="PageNumber"/>
      </w:rPr>
      <w:fldChar w:fldCharType="separate"/>
    </w:r>
    <w:r>
      <w:rPr>
        <w:rStyle w:val="PageNumber"/>
        <w:noProof/>
      </w:rPr>
      <w:t>E–12</w:t>
    </w:r>
    <w:r w:rsidRPr="00AB3E90">
      <w:rPr>
        <w:rStyle w:val="PageNumber"/>
      </w:rPr>
      <w:fldChar w:fldCharType="end"/>
    </w:r>
    <w:r w:rsidRPr="00AB3E90">
      <w:tab/>
    </w:r>
    <w:r w:rsidR="005C5CD4">
      <w:fldChar w:fldCharType="begin"/>
    </w:r>
    <w:r w:rsidR="005C5CD4">
      <w:instrText>SUBJECT  \* MERGEFORMAT</w:instrText>
    </w:r>
    <w:r w:rsidR="005C5CD4">
      <w:fldChar w:fldCharType="separate"/>
    </w:r>
    <w:r>
      <w:t>Public</w:t>
    </w:r>
    <w:r w:rsidR="005C5CD4">
      <w:fldChar w:fldCharType="end"/>
    </w:r>
    <w:r w:rsidRPr="00AB3E90">
      <w:tab/>
    </w:r>
    <w:r w:rsidR="005C5CD4">
      <w:fldChar w:fldCharType="begin"/>
    </w:r>
    <w:r w:rsidR="005C5CD4">
      <w:instrText>DOCPROPERTY "Category"  \* MERGEFORMAT</w:instrText>
    </w:r>
    <w:r w:rsidR="005C5CD4">
      <w:fldChar w:fldCharType="separate"/>
    </w:r>
    <w:r>
      <w:t>Issue 82.0</w:t>
    </w:r>
    <w:r w:rsidR="005C5CD4">
      <w:fldChar w:fldCharType="end"/>
    </w:r>
    <w:r w:rsidRPr="00AB3E90">
      <w:t xml:space="preserve"> – </w:t>
    </w:r>
    <w:r w:rsidR="005C5CD4">
      <w:fldChar w:fldCharType="begin"/>
    </w:r>
    <w:r w:rsidR="005C5CD4">
      <w:instrText>COMMENTS  \* MERGEFORMAT</w:instrText>
    </w:r>
    <w:r w:rsidR="005C5CD4">
      <w:fldChar w:fldCharType="separate"/>
    </w:r>
    <w:r>
      <w:t>February 26, 2021</w:t>
    </w:r>
    <w:r w:rsidR="005C5CD4">
      <w:fldChar w:fldCharType="end"/>
    </w:r>
  </w:p>
</w:ftr>
</file>

<file path=word/footer2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F9F1A2" w14:textId="2B1C041E" w:rsidR="00851C01" w:rsidRDefault="005C5CD4" w:rsidP="00E873D8">
    <w:pPr>
      <w:pStyle w:val="Footer"/>
      <w:tabs>
        <w:tab w:val="clear" w:pos="4824"/>
        <w:tab w:val="center" w:pos="4500"/>
      </w:tabs>
    </w:pPr>
    <w:r>
      <w:fldChar w:fldCharType="begin"/>
    </w:r>
    <w:r>
      <w:instrText>DOCPROPERTY  Category  \* MERGEFORMAT</w:instrText>
    </w:r>
    <w:r>
      <w:fldChar w:fldCharType="separate"/>
    </w:r>
    <w:r w:rsidR="00851C01">
      <w:t>Issue 84.0</w:t>
    </w:r>
    <w:r>
      <w:fldChar w:fldCharType="end"/>
    </w:r>
    <w:r w:rsidR="00851C01">
      <w:t xml:space="preserve"> – </w:t>
    </w:r>
    <w:r>
      <w:fldChar w:fldCharType="begin"/>
    </w:r>
    <w:r>
      <w:instrText>COMMENTS  \* MERGEFORMAT</w:instrText>
    </w:r>
    <w:r>
      <w:fldChar w:fldCharType="separate"/>
    </w:r>
    <w:r w:rsidR="00851C01">
      <w:t>September 15, 2021</w:t>
    </w:r>
    <w:r>
      <w:fldChar w:fldCharType="end"/>
    </w:r>
    <w:r w:rsidR="00851C01">
      <w:tab/>
    </w:r>
    <w:r>
      <w:fldChar w:fldCharType="begin"/>
    </w:r>
    <w:r>
      <w:instrText>SUBJECT  \* MERGEFORMAT</w:instrText>
    </w:r>
    <w:r>
      <w:fldChar w:fldCharType="separate"/>
    </w:r>
    <w:r w:rsidR="00851C01">
      <w:t>Public</w:t>
    </w:r>
    <w:r>
      <w:fldChar w:fldCharType="end"/>
    </w:r>
    <w:r w:rsidR="00851C01">
      <w:tab/>
    </w:r>
    <w:r w:rsidR="00851C01">
      <w:rPr>
        <w:rStyle w:val="PageNumber"/>
      </w:rPr>
      <w:fldChar w:fldCharType="begin"/>
    </w:r>
    <w:r w:rsidR="00851C01">
      <w:rPr>
        <w:rStyle w:val="PageNumber"/>
      </w:rPr>
      <w:instrText xml:space="preserve"> PAGE </w:instrText>
    </w:r>
    <w:r w:rsidR="00851C01">
      <w:rPr>
        <w:rStyle w:val="PageNumber"/>
      </w:rPr>
      <w:fldChar w:fldCharType="separate"/>
    </w:r>
    <w:r w:rsidR="004537B8">
      <w:rPr>
        <w:rStyle w:val="PageNumber"/>
        <w:noProof/>
      </w:rPr>
      <w:t>E–16</w:t>
    </w:r>
    <w:r w:rsidR="00851C01">
      <w:rPr>
        <w:rStyle w:val="PageNumber"/>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506C49" w14:textId="21C496AF" w:rsidR="00851C01" w:rsidRDefault="00851C01" w:rsidP="00577DFC">
    <w:pPr>
      <w:pStyle w:val="FooterLandscape"/>
      <w:tabs>
        <w:tab w:val="clear" w:pos="6120"/>
        <w:tab w:val="center" w:pos="6480"/>
      </w:tabs>
    </w:pPr>
    <w:r w:rsidRPr="00AB3E90">
      <w:rPr>
        <w:rStyle w:val="PageNumber"/>
      </w:rPr>
      <w:fldChar w:fldCharType="begin"/>
    </w:r>
    <w:r w:rsidRPr="00AB3E90">
      <w:rPr>
        <w:rStyle w:val="PageNumber"/>
      </w:rPr>
      <w:instrText xml:space="preserve"> PAGE </w:instrText>
    </w:r>
    <w:r w:rsidRPr="00AB3E90">
      <w:rPr>
        <w:rStyle w:val="PageNumber"/>
      </w:rPr>
      <w:fldChar w:fldCharType="separate"/>
    </w:r>
    <w:r>
      <w:rPr>
        <w:rStyle w:val="PageNumber"/>
        <w:noProof/>
      </w:rPr>
      <w:t>E–20</w:t>
    </w:r>
    <w:r w:rsidRPr="00AB3E90">
      <w:rPr>
        <w:rStyle w:val="PageNumber"/>
      </w:rPr>
      <w:fldChar w:fldCharType="end"/>
    </w:r>
    <w:r w:rsidRPr="00AB3E90">
      <w:tab/>
    </w:r>
    <w:r w:rsidR="005C5CD4">
      <w:fldChar w:fldCharType="begin"/>
    </w:r>
    <w:r w:rsidR="005C5CD4">
      <w:instrText>SUBJECT  \* MERGEFORMAT</w:instrText>
    </w:r>
    <w:r w:rsidR="005C5CD4">
      <w:fldChar w:fldCharType="separate"/>
    </w:r>
    <w:r>
      <w:t>Public</w:t>
    </w:r>
    <w:r w:rsidR="005C5CD4">
      <w:fldChar w:fldCharType="end"/>
    </w:r>
    <w:r w:rsidRPr="00AB3E90">
      <w:tab/>
    </w:r>
    <w:r w:rsidR="005C5CD4">
      <w:fldChar w:fldCharType="begin"/>
    </w:r>
    <w:r w:rsidR="005C5CD4">
      <w:instrText>DOCPROPERTY "Category"  \* MERGEFORMAT</w:instrText>
    </w:r>
    <w:r w:rsidR="005C5CD4">
      <w:fldChar w:fldCharType="separate"/>
    </w:r>
    <w:r>
      <w:t>Issue 82.0</w:t>
    </w:r>
    <w:r w:rsidR="005C5CD4">
      <w:fldChar w:fldCharType="end"/>
    </w:r>
    <w:r w:rsidRPr="00AB3E90">
      <w:t xml:space="preserve"> – </w:t>
    </w:r>
    <w:r w:rsidR="005C5CD4">
      <w:fldChar w:fldCharType="begin"/>
    </w:r>
    <w:r w:rsidR="005C5CD4">
      <w:instrText>COMMENTS  \* MERGEFORMAT</w:instrText>
    </w:r>
    <w:r w:rsidR="005C5CD4">
      <w:fldChar w:fldCharType="separate"/>
    </w:r>
    <w:r>
      <w:t>February 26, 2021</w:t>
    </w:r>
    <w:r w:rsidR="005C5CD4">
      <w:fldChar w:fldCharType="end"/>
    </w:r>
  </w:p>
</w:ftr>
</file>

<file path=word/footer2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A3E640" w14:textId="129DC18B" w:rsidR="00851C01" w:rsidRDefault="005C5CD4" w:rsidP="004A3C74">
    <w:pPr>
      <w:pStyle w:val="FooterLandscape"/>
    </w:pPr>
    <w:r>
      <w:fldChar w:fldCharType="begin"/>
    </w:r>
    <w:r>
      <w:instrText>DOCPROPERTY  Category  \</w:instrText>
    </w:r>
    <w:r>
      <w:instrText>* MERGEFORMAT</w:instrText>
    </w:r>
    <w:r>
      <w:fldChar w:fldCharType="separate"/>
    </w:r>
    <w:r w:rsidR="00851C01">
      <w:t>Issue 84.0</w:t>
    </w:r>
    <w:r>
      <w:fldChar w:fldCharType="end"/>
    </w:r>
    <w:r w:rsidR="00851C01">
      <w:t xml:space="preserve"> – </w:t>
    </w:r>
    <w:r>
      <w:fldChar w:fldCharType="begin"/>
    </w:r>
    <w:r>
      <w:instrText>COMMENTS  \* MERGEFORMAT</w:instrText>
    </w:r>
    <w:r>
      <w:fldChar w:fldCharType="separate"/>
    </w:r>
    <w:r w:rsidR="00851C01">
      <w:t>September 15, 2021</w:t>
    </w:r>
    <w:r>
      <w:fldChar w:fldCharType="end"/>
    </w:r>
    <w:r w:rsidR="00851C01">
      <w:tab/>
    </w:r>
    <w:r>
      <w:fldChar w:fldCharType="begin"/>
    </w:r>
    <w:r>
      <w:instrText>SUBJECT  \* MERGEFORMAT</w:instrText>
    </w:r>
    <w:r>
      <w:fldChar w:fldCharType="separate"/>
    </w:r>
    <w:r w:rsidR="00851C01">
      <w:t>Public</w:t>
    </w:r>
    <w:r>
      <w:fldChar w:fldCharType="end"/>
    </w:r>
    <w:r w:rsidR="00851C01">
      <w:tab/>
    </w:r>
    <w:r w:rsidR="00851C01">
      <w:rPr>
        <w:rStyle w:val="PageNumber"/>
      </w:rPr>
      <w:fldChar w:fldCharType="begin"/>
    </w:r>
    <w:r w:rsidR="00851C01">
      <w:rPr>
        <w:rStyle w:val="PageNumber"/>
      </w:rPr>
      <w:instrText xml:space="preserve"> PAGE </w:instrText>
    </w:r>
    <w:r w:rsidR="00851C01">
      <w:rPr>
        <w:rStyle w:val="PageNumber"/>
      </w:rPr>
      <w:fldChar w:fldCharType="separate"/>
    </w:r>
    <w:r w:rsidR="004537B8">
      <w:rPr>
        <w:rStyle w:val="PageNumber"/>
        <w:noProof/>
      </w:rPr>
      <w:t>E–20</w:t>
    </w:r>
    <w:r w:rsidR="00851C01">
      <w:rPr>
        <w:rStyle w:val="PageNumber"/>
      </w:rPr>
      <w:fldChar w:fldCharType="end"/>
    </w:r>
  </w:p>
</w:ftr>
</file>

<file path=word/footer2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9BD049" w14:textId="59869114" w:rsidR="00851C01" w:rsidRDefault="005C5CD4" w:rsidP="000D2924">
    <w:pPr>
      <w:pStyle w:val="Footer"/>
    </w:pPr>
    <w:r>
      <w:fldChar w:fldCharType="begin"/>
    </w:r>
    <w:r>
      <w:instrText>DOCPROPERTY  Category  \* MERGEFORMAT</w:instrText>
    </w:r>
    <w:r>
      <w:fldChar w:fldCharType="separate"/>
    </w:r>
    <w:r w:rsidR="00851C01">
      <w:t>Issue 84.0</w:t>
    </w:r>
    <w:r>
      <w:fldChar w:fldCharType="end"/>
    </w:r>
    <w:r w:rsidR="00851C01">
      <w:t xml:space="preserve"> – </w:t>
    </w:r>
    <w:r>
      <w:fldChar w:fldCharType="begin"/>
    </w:r>
    <w:r>
      <w:instrText>COMMENTS  \* MERGEFORMAT</w:instrText>
    </w:r>
    <w:r>
      <w:fldChar w:fldCharType="separate"/>
    </w:r>
    <w:r w:rsidR="00851C01">
      <w:t>September 15, 2021</w:t>
    </w:r>
    <w:r>
      <w:fldChar w:fldCharType="end"/>
    </w:r>
    <w:r w:rsidR="00851C01">
      <w:tab/>
    </w:r>
    <w:r>
      <w:fldChar w:fldCharType="begin"/>
    </w:r>
    <w:r>
      <w:instrText>SUBJECT  \* MERGEFORMAT</w:instrText>
    </w:r>
    <w:r>
      <w:fldChar w:fldCharType="separate"/>
    </w:r>
    <w:r w:rsidR="00851C01">
      <w:t>Public</w:t>
    </w:r>
    <w:r>
      <w:fldChar w:fldCharType="end"/>
    </w:r>
    <w:r w:rsidR="00851C01">
      <w:tab/>
    </w:r>
    <w:r w:rsidR="00851C01">
      <w:rPr>
        <w:rStyle w:val="PageNumber"/>
      </w:rPr>
      <w:fldChar w:fldCharType="begin"/>
    </w:r>
    <w:r w:rsidR="00851C01">
      <w:rPr>
        <w:rStyle w:val="PageNumber"/>
      </w:rPr>
      <w:instrText xml:space="preserve"> PAGE </w:instrText>
    </w:r>
    <w:r w:rsidR="00851C01">
      <w:rPr>
        <w:rStyle w:val="PageNumber"/>
      </w:rPr>
      <w:fldChar w:fldCharType="separate"/>
    </w:r>
    <w:r w:rsidR="004537B8">
      <w:rPr>
        <w:rStyle w:val="PageNumber"/>
        <w:noProof/>
      </w:rPr>
      <w:t>E–40</w:t>
    </w:r>
    <w:r w:rsidR="00851C01">
      <w:rPr>
        <w:rStyle w:val="PageNumber"/>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3EA7C0" w14:textId="77777777" w:rsidR="00851C01" w:rsidRDefault="00851C01">
    <w:pPr>
      <w:pStyle w:val="Footer"/>
      <w:pBdr>
        <w:top w:val="none" w:sz="0" w:space="0" w:color="auto"/>
      </w:pBdr>
    </w:pPr>
  </w:p>
</w:ftr>
</file>

<file path=word/footer3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D1EDF5" w14:textId="4052D072" w:rsidR="00851C01" w:rsidRDefault="005C5CD4" w:rsidP="00217655">
    <w:pPr>
      <w:pStyle w:val="FooterLandscape"/>
      <w:tabs>
        <w:tab w:val="clear" w:pos="6120"/>
        <w:tab w:val="center" w:pos="6480"/>
      </w:tabs>
    </w:pPr>
    <w:r>
      <w:fldChar w:fldCharType="begin"/>
    </w:r>
    <w:r>
      <w:instrText>DOCPROPERTY  Category  \* MERGEFORMAT</w:instrText>
    </w:r>
    <w:r>
      <w:fldChar w:fldCharType="separate"/>
    </w:r>
    <w:r w:rsidR="00851C01">
      <w:t>Issue 84.0</w:t>
    </w:r>
    <w:r>
      <w:fldChar w:fldCharType="end"/>
    </w:r>
    <w:r w:rsidR="00851C01">
      <w:t xml:space="preserve"> – </w:t>
    </w:r>
    <w:r>
      <w:fldChar w:fldCharType="begin"/>
    </w:r>
    <w:r>
      <w:instrText>COMMENTS  \* MERGEFORMAT</w:instrText>
    </w:r>
    <w:r>
      <w:fldChar w:fldCharType="separate"/>
    </w:r>
    <w:r w:rsidR="00851C01">
      <w:t>September 15, 2021</w:t>
    </w:r>
    <w:r>
      <w:fldChar w:fldCharType="end"/>
    </w:r>
    <w:r w:rsidR="00851C01">
      <w:tab/>
    </w:r>
    <w:r>
      <w:fldChar w:fldCharType="begin"/>
    </w:r>
    <w:r>
      <w:instrText>SUBJECT  \* MERGEFORMAT</w:instrText>
    </w:r>
    <w:r>
      <w:fldChar w:fldCharType="separate"/>
    </w:r>
    <w:r w:rsidR="00851C01">
      <w:t>Public</w:t>
    </w:r>
    <w:r>
      <w:fldChar w:fldCharType="end"/>
    </w:r>
    <w:r w:rsidR="00851C01">
      <w:tab/>
    </w:r>
    <w:r w:rsidR="00851C01">
      <w:rPr>
        <w:rStyle w:val="PageNumber"/>
      </w:rPr>
      <w:fldChar w:fldCharType="begin"/>
    </w:r>
    <w:r w:rsidR="00851C01">
      <w:rPr>
        <w:rStyle w:val="PageNumber"/>
      </w:rPr>
      <w:instrText xml:space="preserve"> PAGE </w:instrText>
    </w:r>
    <w:r w:rsidR="00851C01">
      <w:rPr>
        <w:rStyle w:val="PageNumber"/>
      </w:rPr>
      <w:fldChar w:fldCharType="separate"/>
    </w:r>
    <w:r w:rsidR="004537B8">
      <w:rPr>
        <w:rStyle w:val="PageNumber"/>
        <w:noProof/>
      </w:rPr>
      <w:t>E–44</w:t>
    </w:r>
    <w:r w:rsidR="00851C01">
      <w:rPr>
        <w:rStyle w:val="PageNumber"/>
      </w:rPr>
      <w:fldChar w:fldCharType="end"/>
    </w:r>
  </w:p>
</w:ftr>
</file>

<file path=word/footer3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C865FF" w14:textId="1A22868E" w:rsidR="00851C01" w:rsidRDefault="005C5CD4" w:rsidP="00C679A9">
    <w:pPr>
      <w:pStyle w:val="Footer"/>
    </w:pPr>
    <w:r>
      <w:fldChar w:fldCharType="begin"/>
    </w:r>
    <w:r>
      <w:instrText>DOCPROPERTY  Category  \* MERGEFORMAT</w:instrText>
    </w:r>
    <w:r>
      <w:fldChar w:fldCharType="separate"/>
    </w:r>
    <w:r w:rsidR="00851C01">
      <w:t>Issue 84.0</w:t>
    </w:r>
    <w:r>
      <w:fldChar w:fldCharType="end"/>
    </w:r>
    <w:r w:rsidR="00851C01">
      <w:t xml:space="preserve"> – </w:t>
    </w:r>
    <w:r>
      <w:fldChar w:fldCharType="begin"/>
    </w:r>
    <w:r>
      <w:instrText>COMMENTS  \* MERGEFORMAT</w:instrText>
    </w:r>
    <w:r>
      <w:fldChar w:fldCharType="separate"/>
    </w:r>
    <w:r w:rsidR="00851C01">
      <w:t>September 15, 2021</w:t>
    </w:r>
    <w:r>
      <w:fldChar w:fldCharType="end"/>
    </w:r>
    <w:r w:rsidR="00851C01">
      <w:tab/>
    </w:r>
    <w:r>
      <w:fldChar w:fldCharType="begin"/>
    </w:r>
    <w:r>
      <w:instrText>SUBJECT  \* MERGEFORMAT</w:instrText>
    </w:r>
    <w:r>
      <w:fldChar w:fldCharType="separate"/>
    </w:r>
    <w:r w:rsidR="00851C01">
      <w:t>Public</w:t>
    </w:r>
    <w:r>
      <w:fldChar w:fldCharType="end"/>
    </w:r>
    <w:r w:rsidR="00851C01">
      <w:tab/>
    </w:r>
    <w:r w:rsidR="00851C01">
      <w:rPr>
        <w:rStyle w:val="PageNumber"/>
      </w:rPr>
      <w:fldChar w:fldCharType="begin"/>
    </w:r>
    <w:r w:rsidR="00851C01">
      <w:rPr>
        <w:rStyle w:val="PageNumber"/>
      </w:rPr>
      <w:instrText xml:space="preserve"> PAGE </w:instrText>
    </w:r>
    <w:r w:rsidR="00851C01">
      <w:rPr>
        <w:rStyle w:val="PageNumber"/>
      </w:rPr>
      <w:fldChar w:fldCharType="separate"/>
    </w:r>
    <w:r w:rsidR="004537B8">
      <w:rPr>
        <w:rStyle w:val="PageNumber"/>
        <w:noProof/>
      </w:rPr>
      <w:t>E–48</w:t>
    </w:r>
    <w:r w:rsidR="00851C01">
      <w:rPr>
        <w:rStyle w:val="PageNumber"/>
      </w:rPr>
      <w:fldChar w:fldCharType="end"/>
    </w:r>
  </w:p>
  <w:p w14:paraId="47B8206A" w14:textId="77777777" w:rsidR="00851C01" w:rsidRDefault="00851C01"/>
</w:ftr>
</file>

<file path=word/footer3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D1231C" w14:textId="7EBC2BD9" w:rsidR="00851C01" w:rsidRDefault="005C5CD4" w:rsidP="00C679A9">
    <w:pPr>
      <w:pStyle w:val="FooterLandscape"/>
    </w:pPr>
    <w:r>
      <w:fldChar w:fldCharType="begin"/>
    </w:r>
    <w:r>
      <w:instrText>DOCPROPERTY  Category  \* MERGEFORMAT</w:instrText>
    </w:r>
    <w:r>
      <w:fldChar w:fldCharType="separate"/>
    </w:r>
    <w:r w:rsidR="00851C01">
      <w:t>Issue 84.0</w:t>
    </w:r>
    <w:r>
      <w:fldChar w:fldCharType="end"/>
    </w:r>
    <w:r w:rsidR="00851C01">
      <w:t xml:space="preserve"> – </w:t>
    </w:r>
    <w:r>
      <w:fldChar w:fldCharType="begin"/>
    </w:r>
    <w:r>
      <w:instrText>COMMENTS  \* MERGEFORMAT</w:instrText>
    </w:r>
    <w:r>
      <w:fldChar w:fldCharType="separate"/>
    </w:r>
    <w:r w:rsidR="00851C01">
      <w:t>September 15, 2021</w:t>
    </w:r>
    <w:r>
      <w:fldChar w:fldCharType="end"/>
    </w:r>
    <w:r w:rsidR="00851C01">
      <w:tab/>
    </w:r>
    <w:r>
      <w:fldChar w:fldCharType="begin"/>
    </w:r>
    <w:r>
      <w:instrText>SUBJECT  \* MERGEFORMAT</w:instrText>
    </w:r>
    <w:r>
      <w:fldChar w:fldCharType="separate"/>
    </w:r>
    <w:r w:rsidR="00851C01">
      <w:t>Public</w:t>
    </w:r>
    <w:r>
      <w:fldChar w:fldCharType="end"/>
    </w:r>
    <w:r w:rsidR="00851C01">
      <w:tab/>
    </w:r>
    <w:r w:rsidR="00851C01">
      <w:rPr>
        <w:rStyle w:val="PageNumber"/>
      </w:rPr>
      <w:fldChar w:fldCharType="begin"/>
    </w:r>
    <w:r w:rsidR="00851C01">
      <w:rPr>
        <w:rStyle w:val="PageNumber"/>
      </w:rPr>
      <w:instrText xml:space="preserve"> PAGE </w:instrText>
    </w:r>
    <w:r w:rsidR="00851C01">
      <w:rPr>
        <w:rStyle w:val="PageNumber"/>
      </w:rPr>
      <w:fldChar w:fldCharType="separate"/>
    </w:r>
    <w:r w:rsidR="00657937">
      <w:rPr>
        <w:rStyle w:val="PageNumber"/>
        <w:noProof/>
      </w:rPr>
      <w:t>E–50</w:t>
    </w:r>
    <w:r w:rsidR="00851C01">
      <w:rPr>
        <w:rStyle w:val="PageNumber"/>
      </w:rPr>
      <w:fldChar w:fldCharType="end"/>
    </w:r>
  </w:p>
  <w:p w14:paraId="173CD659" w14:textId="77777777" w:rsidR="00851C01" w:rsidRDefault="00851C01"/>
</w:ftr>
</file>

<file path=word/footer3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2D64A8" w14:textId="6C06C9A6" w:rsidR="00851C01" w:rsidRDefault="005C5CD4" w:rsidP="00C679A9">
    <w:pPr>
      <w:pStyle w:val="Footer"/>
    </w:pPr>
    <w:r>
      <w:fldChar w:fldCharType="begin"/>
    </w:r>
    <w:r>
      <w:instrText>DOCPROPERTY  Category  \* MERGEF</w:instrText>
    </w:r>
    <w:r>
      <w:instrText>ORMAT</w:instrText>
    </w:r>
    <w:r>
      <w:fldChar w:fldCharType="separate"/>
    </w:r>
    <w:r w:rsidR="00851C01">
      <w:t>Issue 84.0</w:t>
    </w:r>
    <w:r>
      <w:fldChar w:fldCharType="end"/>
    </w:r>
    <w:r w:rsidR="00851C01">
      <w:t xml:space="preserve"> – </w:t>
    </w:r>
    <w:r>
      <w:fldChar w:fldCharType="begin"/>
    </w:r>
    <w:r>
      <w:instrText>COMMENTS  \* MERGEFORMAT</w:instrText>
    </w:r>
    <w:r>
      <w:fldChar w:fldCharType="separate"/>
    </w:r>
    <w:r w:rsidR="00851C01">
      <w:t>September 15, 2021</w:t>
    </w:r>
    <w:r>
      <w:fldChar w:fldCharType="end"/>
    </w:r>
    <w:r w:rsidR="00851C01">
      <w:tab/>
    </w:r>
    <w:r>
      <w:fldChar w:fldCharType="begin"/>
    </w:r>
    <w:r>
      <w:instrText>SUBJECT  \* MERGEFORMAT</w:instrText>
    </w:r>
    <w:r>
      <w:fldChar w:fldCharType="separate"/>
    </w:r>
    <w:r w:rsidR="00851C01">
      <w:t>Public</w:t>
    </w:r>
    <w:r>
      <w:fldChar w:fldCharType="end"/>
    </w:r>
    <w:r w:rsidR="00851C01">
      <w:tab/>
    </w:r>
    <w:r w:rsidR="00851C01">
      <w:rPr>
        <w:rStyle w:val="PageNumber"/>
      </w:rPr>
      <w:fldChar w:fldCharType="begin"/>
    </w:r>
    <w:r w:rsidR="00851C01">
      <w:rPr>
        <w:rStyle w:val="PageNumber"/>
      </w:rPr>
      <w:instrText xml:space="preserve"> PAGE </w:instrText>
    </w:r>
    <w:r w:rsidR="00851C01">
      <w:rPr>
        <w:rStyle w:val="PageNumber"/>
      </w:rPr>
      <w:fldChar w:fldCharType="separate"/>
    </w:r>
    <w:r w:rsidR="004537B8">
      <w:rPr>
        <w:rStyle w:val="PageNumber"/>
        <w:noProof/>
      </w:rPr>
      <w:t>F–3</w:t>
    </w:r>
    <w:r w:rsidR="00851C01">
      <w:rPr>
        <w:rStyle w:val="PageNumber"/>
      </w:rPr>
      <w:fldChar w:fldCharType="end"/>
    </w:r>
  </w:p>
  <w:p w14:paraId="647B59B5" w14:textId="77777777" w:rsidR="00851C01" w:rsidRDefault="00851C01"/>
</w:ftr>
</file>

<file path=word/footer3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3A255D" w14:textId="01C9E935" w:rsidR="00851C01" w:rsidRDefault="00851C01" w:rsidP="00E873D8">
    <w:pPr>
      <w:pStyle w:val="FooterLandscape"/>
      <w:tabs>
        <w:tab w:val="clear" w:pos="6120"/>
        <w:tab w:val="center" w:pos="6480"/>
      </w:tabs>
    </w:pPr>
    <w:r>
      <w:rPr>
        <w:rStyle w:val="PageNumber"/>
      </w:rPr>
      <w:fldChar w:fldCharType="begin"/>
    </w:r>
    <w:r>
      <w:rPr>
        <w:rStyle w:val="PageNumber"/>
      </w:rPr>
      <w:instrText xml:space="preserve"> PAGE </w:instrText>
    </w:r>
    <w:r>
      <w:rPr>
        <w:rStyle w:val="PageNumber"/>
      </w:rPr>
      <w:fldChar w:fldCharType="separate"/>
    </w:r>
    <w:r>
      <w:rPr>
        <w:rStyle w:val="PageNumber"/>
        <w:noProof/>
      </w:rPr>
      <w:t>F–4</w:t>
    </w:r>
    <w:r>
      <w:rPr>
        <w:rStyle w:val="PageNumber"/>
      </w:rPr>
      <w:fldChar w:fldCharType="end"/>
    </w:r>
    <w:r>
      <w:tab/>
    </w:r>
    <w:r w:rsidR="005C5CD4">
      <w:fldChar w:fldCharType="begin"/>
    </w:r>
    <w:r w:rsidR="005C5CD4">
      <w:instrText>SUBJECT  \* MERGEFORMAT</w:instrText>
    </w:r>
    <w:r w:rsidR="005C5CD4">
      <w:fldChar w:fldCharType="separate"/>
    </w:r>
    <w:r>
      <w:t>Public</w:t>
    </w:r>
    <w:r w:rsidR="005C5CD4">
      <w:fldChar w:fldCharType="end"/>
    </w:r>
    <w:r>
      <w:tab/>
    </w:r>
    <w:r w:rsidR="005C5CD4">
      <w:fldChar w:fldCharType="begin"/>
    </w:r>
    <w:r w:rsidR="005C5CD4">
      <w:instrText>DOCPROPERTY "Category"  \* MERGEFORMAT</w:instrText>
    </w:r>
    <w:r w:rsidR="005C5CD4">
      <w:fldChar w:fldCharType="separate"/>
    </w:r>
    <w:r>
      <w:t>Issue 82.0</w:t>
    </w:r>
    <w:r w:rsidR="005C5CD4">
      <w:fldChar w:fldCharType="end"/>
    </w:r>
    <w:r>
      <w:t xml:space="preserve"> – </w:t>
    </w:r>
    <w:r w:rsidR="005C5CD4">
      <w:fldChar w:fldCharType="begin"/>
    </w:r>
    <w:r w:rsidR="005C5CD4">
      <w:instrText>COMMENTS  \* MERGEFORMAT</w:instrText>
    </w:r>
    <w:r w:rsidR="005C5CD4">
      <w:fldChar w:fldCharType="separate"/>
    </w:r>
    <w:r>
      <w:t>February 26, 2021</w:t>
    </w:r>
    <w:r w:rsidR="005C5CD4">
      <w:fldChar w:fldCharType="end"/>
    </w:r>
  </w:p>
</w:ftr>
</file>

<file path=word/footer3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7D36F8" w14:textId="0F4F7678" w:rsidR="00851C01" w:rsidRDefault="005C5CD4" w:rsidP="00601E5D">
    <w:pPr>
      <w:pStyle w:val="FooterLandscape"/>
    </w:pPr>
    <w:r>
      <w:fldChar w:fldCharType="begin"/>
    </w:r>
    <w:r>
      <w:instrText>DOCPROPERTY  Category  \* MERGEFORMAT</w:instrText>
    </w:r>
    <w:r>
      <w:fldChar w:fldCharType="separate"/>
    </w:r>
    <w:r w:rsidR="00851C01">
      <w:t>Issue 84.0</w:t>
    </w:r>
    <w:r>
      <w:fldChar w:fldCharType="end"/>
    </w:r>
    <w:r w:rsidR="00851C01">
      <w:t xml:space="preserve"> – </w:t>
    </w:r>
    <w:r>
      <w:fldChar w:fldCharType="begin"/>
    </w:r>
    <w:r>
      <w:instrText>COMMENTS  \* MERGEFORMAT</w:instrText>
    </w:r>
    <w:r>
      <w:fldChar w:fldCharType="separate"/>
    </w:r>
    <w:r w:rsidR="00851C01">
      <w:t>September 15, 2021</w:t>
    </w:r>
    <w:r>
      <w:fldChar w:fldCharType="end"/>
    </w:r>
    <w:r w:rsidR="00851C01">
      <w:tab/>
    </w:r>
    <w:r>
      <w:fldChar w:fldCharType="begin"/>
    </w:r>
    <w:r>
      <w:instrText>SUBJECT  \* MERGEFORMAT</w:instrText>
    </w:r>
    <w:r>
      <w:fldChar w:fldCharType="separate"/>
    </w:r>
    <w:r w:rsidR="00851C01">
      <w:t>Public</w:t>
    </w:r>
    <w:r>
      <w:fldChar w:fldCharType="end"/>
    </w:r>
    <w:r w:rsidR="00851C01">
      <w:tab/>
    </w:r>
    <w:r w:rsidR="00851C01">
      <w:rPr>
        <w:rStyle w:val="PageNumber"/>
      </w:rPr>
      <w:fldChar w:fldCharType="begin"/>
    </w:r>
    <w:r w:rsidR="00851C01">
      <w:rPr>
        <w:rStyle w:val="PageNumber"/>
      </w:rPr>
      <w:instrText xml:space="preserve"> PAGE </w:instrText>
    </w:r>
    <w:r w:rsidR="00851C01">
      <w:rPr>
        <w:rStyle w:val="PageNumber"/>
      </w:rPr>
      <w:fldChar w:fldCharType="separate"/>
    </w:r>
    <w:r w:rsidR="00657937">
      <w:rPr>
        <w:rStyle w:val="PageNumber"/>
        <w:noProof/>
      </w:rPr>
      <w:t>F–4</w:t>
    </w:r>
    <w:r w:rsidR="00851C01">
      <w:rPr>
        <w:rStyle w:val="PageNumber"/>
      </w:rPr>
      <w:fldChar w:fldCharType="end"/>
    </w:r>
  </w:p>
</w:ftr>
</file>

<file path=word/footer3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59EA84" w14:textId="728A5D1E" w:rsidR="00851C01" w:rsidRDefault="00851C01" w:rsidP="00E873D8">
    <w:pPr>
      <w:pStyle w:val="Footer"/>
      <w:tabs>
        <w:tab w:val="clear" w:pos="4824"/>
        <w:tab w:val="center" w:pos="4500"/>
      </w:tabs>
    </w:pPr>
    <w:r>
      <w:t>References–</w:t>
    </w: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r>
      <w:tab/>
    </w:r>
    <w:r w:rsidR="005C5CD4">
      <w:fldChar w:fldCharType="begin"/>
    </w:r>
    <w:r w:rsidR="005C5CD4">
      <w:instrText>SUBJECT  \* MERGEFORMAT</w:instrText>
    </w:r>
    <w:r w:rsidR="005C5CD4">
      <w:fldChar w:fldCharType="separate"/>
    </w:r>
    <w:r>
      <w:t>Public</w:t>
    </w:r>
    <w:r w:rsidR="005C5CD4">
      <w:fldChar w:fldCharType="end"/>
    </w:r>
    <w:r>
      <w:tab/>
    </w:r>
    <w:r w:rsidR="005C5CD4">
      <w:fldChar w:fldCharType="begin"/>
    </w:r>
    <w:r w:rsidR="005C5CD4">
      <w:instrText>DOCPROPERTY "Category"  \* MERGEFORMAT</w:instrText>
    </w:r>
    <w:r w:rsidR="005C5CD4">
      <w:fldChar w:fldCharType="separate"/>
    </w:r>
    <w:r>
      <w:t>Issue 82.0</w:t>
    </w:r>
    <w:r w:rsidR="005C5CD4">
      <w:fldChar w:fldCharType="end"/>
    </w:r>
    <w:r>
      <w:t xml:space="preserve"> – </w:t>
    </w:r>
    <w:r w:rsidR="005C5CD4">
      <w:fldChar w:fldCharType="begin"/>
    </w:r>
    <w:r w:rsidR="005C5CD4">
      <w:instrText>COMMENTS  \* MERGEFORMAT</w:instrText>
    </w:r>
    <w:r w:rsidR="005C5CD4">
      <w:fldChar w:fldCharType="separate"/>
    </w:r>
    <w:r>
      <w:t>February 26, 2021</w:t>
    </w:r>
    <w:r w:rsidR="005C5CD4">
      <w:fldChar w:fldCharType="end"/>
    </w:r>
  </w:p>
</w:ftr>
</file>

<file path=word/footer3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AAE463" w14:textId="362E5A45" w:rsidR="00851C01" w:rsidRDefault="005C5CD4" w:rsidP="00E873D8">
    <w:pPr>
      <w:pStyle w:val="Footer"/>
      <w:tabs>
        <w:tab w:val="clear" w:pos="4824"/>
        <w:tab w:val="center" w:pos="4500"/>
      </w:tabs>
    </w:pPr>
    <w:r>
      <w:fldChar w:fldCharType="begin"/>
    </w:r>
    <w:r>
      <w:instrText>DOCPROPERTY  Category  \* MERGEFORMAT</w:instrText>
    </w:r>
    <w:r>
      <w:fldChar w:fldCharType="separate"/>
    </w:r>
    <w:r w:rsidR="00851C01">
      <w:t>Issue 84.0</w:t>
    </w:r>
    <w:r>
      <w:fldChar w:fldCharType="end"/>
    </w:r>
    <w:r w:rsidR="00851C01">
      <w:t xml:space="preserve"> – </w:t>
    </w:r>
    <w:r>
      <w:fldChar w:fldCharType="begin"/>
    </w:r>
    <w:r>
      <w:instrText>COMMENTS  \* MERGEFORMAT</w:instrText>
    </w:r>
    <w:r>
      <w:fldChar w:fldCharType="separate"/>
    </w:r>
    <w:r w:rsidR="00851C01">
      <w:t>September 15, 2021</w:t>
    </w:r>
    <w:r>
      <w:fldChar w:fldCharType="end"/>
    </w:r>
    <w:r w:rsidR="00851C01">
      <w:tab/>
    </w:r>
    <w:r>
      <w:fldChar w:fldCharType="begin"/>
    </w:r>
    <w:r>
      <w:instrText>SUBJECT  \* MERGEFORMAT</w:instrText>
    </w:r>
    <w:r>
      <w:fldChar w:fldCharType="separate"/>
    </w:r>
    <w:r w:rsidR="00851C01">
      <w:t>Public</w:t>
    </w:r>
    <w:r>
      <w:fldChar w:fldCharType="end"/>
    </w:r>
    <w:r w:rsidR="00851C01">
      <w:tab/>
      <w:t>References–</w:t>
    </w:r>
    <w:r w:rsidR="00851C01">
      <w:rPr>
        <w:rStyle w:val="PageNumber"/>
      </w:rPr>
      <w:fldChar w:fldCharType="begin"/>
    </w:r>
    <w:r w:rsidR="00851C01">
      <w:rPr>
        <w:rStyle w:val="PageNumber"/>
      </w:rPr>
      <w:instrText xml:space="preserve"> PAGE </w:instrText>
    </w:r>
    <w:r w:rsidR="00851C01">
      <w:rPr>
        <w:rStyle w:val="PageNumber"/>
      </w:rPr>
      <w:fldChar w:fldCharType="separate"/>
    </w:r>
    <w:r w:rsidR="004537B8">
      <w:rPr>
        <w:rStyle w:val="PageNumber"/>
        <w:noProof/>
      </w:rPr>
      <w:t>3</w:t>
    </w:r>
    <w:r w:rsidR="00851C01">
      <w:rPr>
        <w:rStyle w:val="PageNumber"/>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B94533" w14:textId="375E522E" w:rsidR="00851C01" w:rsidRDefault="00851C01" w:rsidP="00B83F62">
    <w:pPr>
      <w:pStyle w:val="Footer"/>
      <w:tabs>
        <w:tab w:val="clear" w:pos="4824"/>
        <w:tab w:val="center" w:pos="4320"/>
      </w:tabs>
      <w:rPr>
        <w:sz w:val="16"/>
      </w:rPr>
    </w:pPr>
    <w:r>
      <w:tab/>
    </w:r>
    <w:r w:rsidR="005C5CD4">
      <w:fldChar w:fldCharType="begin"/>
    </w:r>
    <w:r w:rsidR="005C5CD4">
      <w:instrText>SUBJECT  \* MERGEFORMAT</w:instrText>
    </w:r>
    <w:r w:rsidR="005C5CD4">
      <w:fldChar w:fldCharType="separate"/>
    </w:r>
    <w:r>
      <w:t>Public</w:t>
    </w:r>
    <w:r w:rsidR="005C5CD4">
      <w:fldChar w:fldCharType="end"/>
    </w:r>
    <w:r>
      <w:tab/>
    </w:r>
    <w:r w:rsidR="005C5CD4">
      <w:fldChar w:fldCharType="begin"/>
    </w:r>
    <w:r w:rsidR="005C5CD4">
      <w:instrText>DOCPROPERTY "Category"  \* MERGEFORMAT</w:instrText>
    </w:r>
    <w:r w:rsidR="005C5CD4">
      <w:fldChar w:fldCharType="separate"/>
    </w:r>
    <w:r>
      <w:t>Issue 82.0</w:t>
    </w:r>
    <w:r w:rsidR="005C5CD4">
      <w:fldChar w:fldCharType="end"/>
    </w:r>
    <w:r>
      <w:t xml:space="preserve"> – </w:t>
    </w:r>
    <w:r w:rsidR="005C5CD4">
      <w:fldChar w:fldCharType="begin"/>
    </w:r>
    <w:r w:rsidR="005C5CD4">
      <w:instrText>COMMENTS  \* MERGEFORMAT</w:instrText>
    </w:r>
    <w:r w:rsidR="005C5CD4">
      <w:fldChar w:fldCharType="separate"/>
    </w:r>
    <w:r>
      <w:t>February 26, 2021</w:t>
    </w:r>
    <w:r w:rsidR="005C5CD4">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7A4D5B" w14:textId="24A0EC06" w:rsidR="00851C01" w:rsidRDefault="005C5CD4" w:rsidP="00E97313">
    <w:pPr>
      <w:pStyle w:val="Footer"/>
      <w:tabs>
        <w:tab w:val="clear" w:pos="4824"/>
        <w:tab w:val="center" w:pos="4320"/>
      </w:tabs>
    </w:pPr>
    <w:r>
      <w:fldChar w:fldCharType="begin"/>
    </w:r>
    <w:r>
      <w:instrText>DOCPROPERTY  Category  \* MERGEFORMAT</w:instrText>
    </w:r>
    <w:r>
      <w:fldChar w:fldCharType="separate"/>
    </w:r>
    <w:r w:rsidR="00851C01">
      <w:t>Issue 84.0</w:t>
    </w:r>
    <w:r>
      <w:fldChar w:fldCharType="end"/>
    </w:r>
    <w:r w:rsidR="00851C01">
      <w:t xml:space="preserve"> – </w:t>
    </w:r>
    <w:r>
      <w:fldChar w:fldCharType="begin"/>
    </w:r>
    <w:r>
      <w:instrText>COMMENTS  \* MERGEFORMAT</w:instrText>
    </w:r>
    <w:r>
      <w:fldChar w:fldCharType="separate"/>
    </w:r>
    <w:r w:rsidR="00851C01">
      <w:t>September 15, 2021</w:t>
    </w:r>
    <w:r>
      <w:fldChar w:fldCharType="end"/>
    </w:r>
    <w:r w:rsidR="00851C01">
      <w:tab/>
    </w:r>
    <w:r>
      <w:fldChar w:fldCharType="begin"/>
    </w:r>
    <w:r>
      <w:instrText>SUBJECT  \* MERGEFORMAT</w:instrText>
    </w:r>
    <w:r>
      <w:fldChar w:fldCharType="separate"/>
    </w:r>
    <w:r w:rsidR="00851C01">
      <w:t>Public</w:t>
    </w:r>
    <w: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B3B7AA" w14:textId="10A66349" w:rsidR="00851C01" w:rsidRDefault="005C5CD4" w:rsidP="00E873D8">
    <w:pPr>
      <w:pStyle w:val="Footer"/>
      <w:tabs>
        <w:tab w:val="clear" w:pos="4824"/>
        <w:tab w:val="center" w:pos="4320"/>
      </w:tabs>
    </w:pPr>
    <w:r>
      <w:fldChar w:fldCharType="begin"/>
    </w:r>
    <w:r>
      <w:instrText>DOCPROPERTY  Category  \* MERGEFORMAT</w:instrText>
    </w:r>
    <w:r>
      <w:fldChar w:fldCharType="separate"/>
    </w:r>
    <w:r w:rsidR="00851C01">
      <w:t>Issue 84.0</w:t>
    </w:r>
    <w:r>
      <w:fldChar w:fldCharType="end"/>
    </w:r>
    <w:r w:rsidR="00851C01">
      <w:t xml:space="preserve"> – </w:t>
    </w:r>
    <w:r>
      <w:fldChar w:fldCharType="begin"/>
    </w:r>
    <w:r>
      <w:instrText>COMMENTS  \* MERGEFORM</w:instrText>
    </w:r>
    <w:r>
      <w:instrText>AT</w:instrText>
    </w:r>
    <w:r>
      <w:fldChar w:fldCharType="separate"/>
    </w:r>
    <w:r w:rsidR="00851C01">
      <w:t>September 15, 2021</w:t>
    </w:r>
    <w:r>
      <w:fldChar w:fldCharType="end"/>
    </w:r>
    <w:r w:rsidR="00851C01">
      <w:tab/>
    </w:r>
    <w:r>
      <w:fldChar w:fldCharType="begin"/>
    </w:r>
    <w:r>
      <w:instrText>SUBJECT  \* MERGEFORMAT</w:instrText>
    </w:r>
    <w:r>
      <w:fldChar w:fldCharType="separate"/>
    </w:r>
    <w:r w:rsidR="00851C01">
      <w:t>Public</w:t>
    </w:r>
    <w: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4BC6C4" w14:textId="3084F522" w:rsidR="00851C01" w:rsidRPr="009A53F0" w:rsidRDefault="00851C01" w:rsidP="00B83F62">
    <w:pPr>
      <w:pStyle w:val="Footer"/>
      <w:tabs>
        <w:tab w:val="clear" w:pos="4824"/>
        <w:tab w:val="center" w:pos="4320"/>
      </w:tabs>
    </w:pPr>
    <w:r>
      <w:fldChar w:fldCharType="begin"/>
    </w:r>
    <w:r>
      <w:instrText xml:space="preserve">PAGE  </w:instrText>
    </w:r>
    <w:r>
      <w:fldChar w:fldCharType="separate"/>
    </w:r>
    <w:r>
      <w:rPr>
        <w:noProof/>
      </w:rPr>
      <w:t>3</w:t>
    </w:r>
    <w:r>
      <w:rPr>
        <w:noProof/>
      </w:rPr>
      <w:fldChar w:fldCharType="end"/>
    </w:r>
    <w:r w:rsidRPr="009A53F0">
      <w:tab/>
    </w:r>
    <w:r w:rsidR="005C5CD4">
      <w:fldChar w:fldCharType="begin"/>
    </w:r>
    <w:r w:rsidR="005C5CD4">
      <w:instrText>SUBJECT  \* MERGEFORMAT</w:instrText>
    </w:r>
    <w:r w:rsidR="005C5CD4">
      <w:fldChar w:fldCharType="separate"/>
    </w:r>
    <w:r>
      <w:t>Public</w:t>
    </w:r>
    <w:r w:rsidR="005C5CD4">
      <w:fldChar w:fldCharType="end"/>
    </w:r>
    <w:r w:rsidRPr="009A53F0">
      <w:tab/>
    </w:r>
    <w:r w:rsidR="005C5CD4">
      <w:fldChar w:fldCharType="begin"/>
    </w:r>
    <w:r w:rsidR="005C5CD4">
      <w:instrText>DOCPROPERTY "Category"  \* MERGEFORMAT</w:instrText>
    </w:r>
    <w:r w:rsidR="005C5CD4">
      <w:fldChar w:fldCharType="separate"/>
    </w:r>
    <w:r>
      <w:t>Issue 82.0</w:t>
    </w:r>
    <w:r w:rsidR="005C5CD4">
      <w:fldChar w:fldCharType="end"/>
    </w:r>
    <w:r w:rsidRPr="009A53F0">
      <w:t xml:space="preserve"> – </w:t>
    </w:r>
    <w:r w:rsidR="005C5CD4">
      <w:fldChar w:fldCharType="begin"/>
    </w:r>
    <w:r w:rsidR="005C5CD4">
      <w:instrText>COMMENTS  \* MERGEFORMAT</w:instrText>
    </w:r>
    <w:r w:rsidR="005C5CD4">
      <w:fldChar w:fldCharType="separate"/>
    </w:r>
    <w:r>
      <w:t>February 26, 2021</w:t>
    </w:r>
    <w:r w:rsidR="005C5CD4">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ECEC2F" w14:textId="5ECBD933" w:rsidR="00851C01" w:rsidRPr="009A53F0" w:rsidRDefault="005C5CD4" w:rsidP="00E873D8">
    <w:pPr>
      <w:pStyle w:val="Footer"/>
      <w:tabs>
        <w:tab w:val="clear" w:pos="4824"/>
        <w:tab w:val="center" w:pos="4500"/>
      </w:tabs>
    </w:pPr>
    <w:r>
      <w:fldChar w:fldCharType="begin"/>
    </w:r>
    <w:r>
      <w:instrText>DOCPROPERTY  Category  \* MERGEFORMAT</w:instrText>
    </w:r>
    <w:r>
      <w:fldChar w:fldCharType="separate"/>
    </w:r>
    <w:r w:rsidR="00851C01">
      <w:t>Issue 84.0</w:t>
    </w:r>
    <w:r>
      <w:fldChar w:fldCharType="end"/>
    </w:r>
    <w:r w:rsidR="00851C01">
      <w:t xml:space="preserve"> – </w:t>
    </w:r>
    <w:r>
      <w:fldChar w:fldCharType="begin"/>
    </w:r>
    <w:r>
      <w:instrText>COMMENTS  \* MERGEFORMAT</w:instrText>
    </w:r>
    <w:r>
      <w:fldChar w:fldCharType="separate"/>
    </w:r>
    <w:r w:rsidR="00851C01">
      <w:t>September 15, 2021</w:t>
    </w:r>
    <w:r>
      <w:fldChar w:fldCharType="end"/>
    </w:r>
    <w:r w:rsidR="00851C01" w:rsidRPr="009A53F0">
      <w:tab/>
    </w:r>
    <w:r>
      <w:fldChar w:fldCharType="begin"/>
    </w:r>
    <w:r>
      <w:instrText>SUBJECT  \* MERGEFORMAT</w:instrText>
    </w:r>
    <w:r>
      <w:fldChar w:fldCharType="separate"/>
    </w:r>
    <w:r w:rsidR="00851C01">
      <w:t>Public</w:t>
    </w:r>
    <w:r>
      <w:fldChar w:fldCharType="end"/>
    </w:r>
    <w:r w:rsidR="00851C01" w:rsidRPr="009A53F0">
      <w:tab/>
    </w:r>
    <w:r w:rsidR="00851C01" w:rsidRPr="009A53F0">
      <w:rPr>
        <w:rStyle w:val="PageNumber"/>
      </w:rPr>
      <w:fldChar w:fldCharType="begin"/>
    </w:r>
    <w:r w:rsidR="00851C01" w:rsidRPr="009A53F0">
      <w:rPr>
        <w:rStyle w:val="PageNumber"/>
      </w:rPr>
      <w:instrText xml:space="preserve">PAGE  </w:instrText>
    </w:r>
    <w:r w:rsidR="00851C01" w:rsidRPr="009A53F0">
      <w:rPr>
        <w:rStyle w:val="PageNumber"/>
      </w:rPr>
      <w:fldChar w:fldCharType="separate"/>
    </w:r>
    <w:r>
      <w:rPr>
        <w:rStyle w:val="PageNumber"/>
        <w:noProof/>
      </w:rPr>
      <w:t>1</w:t>
    </w:r>
    <w:r w:rsidR="00851C01" w:rsidRPr="009A53F0">
      <w:rPr>
        <w:rStyle w:val="PageNumber"/>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A0CEBA" w14:textId="45B5EB30" w:rsidR="00851C01" w:rsidRDefault="005C5CD4" w:rsidP="00482A2E">
    <w:pPr>
      <w:pStyle w:val="Footer"/>
      <w:tabs>
        <w:tab w:val="clear" w:pos="4824"/>
        <w:tab w:val="center" w:pos="4500"/>
      </w:tabs>
    </w:pPr>
    <w:r>
      <w:fldChar w:fldCharType="begin"/>
    </w:r>
    <w:r>
      <w:instrText>DOCPROPERTY "Category"  \* MERGEFORMAT</w:instrText>
    </w:r>
    <w:r>
      <w:fldChar w:fldCharType="separate"/>
    </w:r>
    <w:r w:rsidR="00851C01">
      <w:t>Issue 82.0</w:t>
    </w:r>
    <w:r>
      <w:fldChar w:fldCharType="end"/>
    </w:r>
    <w:r w:rsidR="00851C01" w:rsidRPr="009A53F0">
      <w:t xml:space="preserve"> – </w:t>
    </w:r>
    <w:r>
      <w:fldChar w:fldCharType="begin"/>
    </w:r>
    <w:r>
      <w:instrText>COMMENTS  \* MERGEFORMAT</w:instrText>
    </w:r>
    <w:r>
      <w:fldChar w:fldCharType="separate"/>
    </w:r>
    <w:r w:rsidR="00851C01">
      <w:t>February 26, 2021</w:t>
    </w:r>
    <w:r>
      <w:fldChar w:fldCharType="end"/>
    </w:r>
    <w:r w:rsidR="00851C01" w:rsidRPr="00AB3E90">
      <w:tab/>
    </w:r>
    <w:r>
      <w:fldChar w:fldCharType="begin"/>
    </w:r>
    <w:r>
      <w:instrText>SUBJECT  \* MERGEFORMAT</w:instrText>
    </w:r>
    <w:r>
      <w:fldChar w:fldCharType="separate"/>
    </w:r>
    <w:r w:rsidR="00851C01">
      <w:t>Public</w:t>
    </w:r>
    <w:r>
      <w:fldChar w:fldCharType="end"/>
    </w:r>
    <w:r w:rsidR="00851C01" w:rsidRPr="00AB3E90">
      <w:tab/>
    </w:r>
    <w:r w:rsidR="00851C01">
      <w:fldChar w:fldCharType="begin"/>
    </w:r>
    <w:r w:rsidR="00851C01">
      <w:instrText xml:space="preserve"> PAGE   \* MERGEFORMAT </w:instrText>
    </w:r>
    <w:r w:rsidR="00851C01">
      <w:fldChar w:fldCharType="separate"/>
    </w:r>
    <w:r w:rsidR="00851C01">
      <w:rPr>
        <w:noProof/>
      </w:rPr>
      <w:t>14</w:t>
    </w:r>
    <w:r w:rsidR="00851C01">
      <w:fldChar w:fldCharType="end"/>
    </w:r>
    <w:r w:rsidR="00851C01" w:rsidRPr="00AB3E90">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CDDD2F2" w14:textId="77777777" w:rsidR="00851C01" w:rsidRDefault="00851C01">
      <w:pPr>
        <w:pStyle w:val="FootnoteText"/>
      </w:pPr>
      <w:r>
        <w:separator/>
      </w:r>
    </w:p>
  </w:footnote>
  <w:footnote w:type="continuationSeparator" w:id="0">
    <w:p w14:paraId="464EBD26" w14:textId="77777777" w:rsidR="00851C01" w:rsidRDefault="00851C01">
      <w:r>
        <w:continuationSeparator/>
      </w:r>
    </w:p>
  </w:footnote>
  <w:footnote w:type="continuationNotice" w:id="1">
    <w:p w14:paraId="091358CD" w14:textId="77777777" w:rsidR="00851C01" w:rsidRDefault="00851C01">
      <w:pPr>
        <w:spacing w:after="0"/>
      </w:pPr>
    </w:p>
  </w:footnote>
  <w:footnote w:id="2">
    <w:p w14:paraId="6EEF1D2F" w14:textId="77777777" w:rsidR="00851C01" w:rsidRPr="008A4DC6" w:rsidRDefault="00851C01">
      <w:pPr>
        <w:pStyle w:val="FootnoteText"/>
        <w:rPr>
          <w:rFonts w:ascii="Times New Roman" w:hAnsi="Times New Roman"/>
          <w:sz w:val="20"/>
        </w:rPr>
      </w:pPr>
      <w:r w:rsidRPr="00DC766D">
        <w:rPr>
          <w:rStyle w:val="FootnoteReference"/>
          <w:rFonts w:ascii="Times New Roman" w:hAnsi="Times New Roman"/>
          <w:sz w:val="20"/>
        </w:rPr>
        <w:footnoteRef/>
      </w:r>
      <w:r w:rsidRPr="00DC766D">
        <w:rPr>
          <w:rFonts w:ascii="Times New Roman" w:hAnsi="Times New Roman"/>
          <w:sz w:val="20"/>
        </w:rPr>
        <w:t xml:space="preserve"> </w:t>
      </w:r>
      <w:r w:rsidRPr="008A4DC6">
        <w:rPr>
          <w:rFonts w:ascii="Times New Roman" w:hAnsi="Times New Roman"/>
          <w:sz w:val="20"/>
        </w:rPr>
        <w:t xml:space="preserve">The </w:t>
      </w:r>
      <w:r w:rsidRPr="008A4DC6">
        <w:rPr>
          <w:rFonts w:ascii="Times New Roman" w:hAnsi="Times New Roman"/>
          <w:i/>
          <w:sz w:val="20"/>
        </w:rPr>
        <w:t>settlement amounts</w:t>
      </w:r>
      <w:r w:rsidRPr="008A4DC6">
        <w:rPr>
          <w:rFonts w:ascii="Times New Roman" w:hAnsi="Times New Roman"/>
          <w:sz w:val="20"/>
        </w:rPr>
        <w:t xml:space="preserve"> relating to the sale or purchase of </w:t>
      </w:r>
      <w:r w:rsidRPr="008A4DC6">
        <w:rPr>
          <w:rFonts w:ascii="Times New Roman" w:hAnsi="Times New Roman"/>
          <w:i/>
          <w:sz w:val="20"/>
        </w:rPr>
        <w:t xml:space="preserve">transmission rights </w:t>
      </w:r>
      <w:r w:rsidRPr="008A4DC6">
        <w:rPr>
          <w:rFonts w:ascii="Times New Roman" w:hAnsi="Times New Roman"/>
          <w:sz w:val="20"/>
        </w:rPr>
        <w:t xml:space="preserve">in any round of a </w:t>
      </w:r>
      <w:r w:rsidRPr="008A4DC6">
        <w:rPr>
          <w:rFonts w:ascii="Times New Roman" w:hAnsi="Times New Roman"/>
          <w:i/>
          <w:sz w:val="20"/>
        </w:rPr>
        <w:t>TR auction</w:t>
      </w:r>
      <w:r w:rsidRPr="008A4DC6">
        <w:rPr>
          <w:rFonts w:ascii="Times New Roman" w:hAnsi="Times New Roman"/>
          <w:sz w:val="20"/>
        </w:rPr>
        <w:t xml:space="preserve"> appear on the financial markets </w:t>
      </w:r>
      <w:r w:rsidRPr="008A4DC6">
        <w:rPr>
          <w:rFonts w:ascii="Times New Roman" w:hAnsi="Times New Roman"/>
          <w:i/>
          <w:sz w:val="20"/>
        </w:rPr>
        <w:t>settlements</w:t>
      </w:r>
      <w:r w:rsidRPr="008A4DC6">
        <w:rPr>
          <w:rFonts w:ascii="Times New Roman" w:hAnsi="Times New Roman"/>
          <w:sz w:val="20"/>
        </w:rPr>
        <w:t xml:space="preserve"> </w:t>
      </w:r>
      <w:r w:rsidRPr="008A4DC6">
        <w:rPr>
          <w:rFonts w:ascii="Times New Roman" w:hAnsi="Times New Roman"/>
          <w:i/>
          <w:sz w:val="20"/>
        </w:rPr>
        <w:t>statement</w:t>
      </w:r>
      <w:r w:rsidRPr="008A4DC6">
        <w:rPr>
          <w:rFonts w:ascii="Times New Roman" w:hAnsi="Times New Roman"/>
          <w:sz w:val="20"/>
        </w:rPr>
        <w:t xml:space="preserve">.  See “Part 5.7: Financial Markets Settlement Statement” for details on this </w:t>
      </w:r>
      <w:r w:rsidRPr="008A4DC6">
        <w:rPr>
          <w:rFonts w:ascii="Times New Roman" w:hAnsi="Times New Roman"/>
          <w:i/>
          <w:sz w:val="20"/>
        </w:rPr>
        <w:t>statement</w:t>
      </w:r>
      <w:r w:rsidRPr="008A4DC6">
        <w:rPr>
          <w:rFonts w:ascii="Times New Roman" w:hAnsi="Times New Roman"/>
          <w:sz w:val="20"/>
        </w:rPr>
        <w:t xml:space="preserve">. </w:t>
      </w:r>
    </w:p>
  </w:footnote>
  <w:footnote w:id="3">
    <w:p w14:paraId="663F8CA2" w14:textId="77777777" w:rsidR="00851C01" w:rsidRPr="008A4DC6" w:rsidRDefault="00851C01" w:rsidP="0059657F">
      <w:pPr>
        <w:pStyle w:val="FootnoteText"/>
        <w:rPr>
          <w:rFonts w:ascii="Times New Roman" w:hAnsi="Times New Roman"/>
          <w:sz w:val="20"/>
        </w:rPr>
      </w:pPr>
      <w:r w:rsidRPr="008A4DC6">
        <w:rPr>
          <w:rStyle w:val="FootnoteReference"/>
          <w:rFonts w:ascii="Times New Roman" w:hAnsi="Times New Roman"/>
          <w:sz w:val="20"/>
        </w:rPr>
        <w:footnoteRef/>
      </w:r>
      <w:r w:rsidRPr="008A4DC6">
        <w:rPr>
          <w:rFonts w:ascii="Times New Roman" w:hAnsi="Times New Roman"/>
          <w:sz w:val="20"/>
        </w:rPr>
        <w:t xml:space="preserve"> Our system summarizes s</w:t>
      </w:r>
      <w:r w:rsidRPr="008A4DC6">
        <w:rPr>
          <w:rFonts w:ascii="Times New Roman" w:hAnsi="Times New Roman"/>
          <w:i/>
          <w:sz w:val="20"/>
        </w:rPr>
        <w:t>ettlement amounts</w:t>
      </w:r>
      <w:r w:rsidRPr="008A4DC6">
        <w:rPr>
          <w:rFonts w:ascii="Times New Roman" w:hAnsi="Times New Roman"/>
          <w:sz w:val="20"/>
        </w:rPr>
        <w:t xml:space="preserve"> by time period (</w:t>
      </w:r>
      <w:r w:rsidRPr="008A4DC6">
        <w:rPr>
          <w:rFonts w:ascii="Times New Roman" w:hAnsi="Times New Roman"/>
          <w:i/>
          <w:sz w:val="20"/>
        </w:rPr>
        <w:t>trading</w:t>
      </w:r>
      <w:r w:rsidRPr="008A4DC6">
        <w:rPr>
          <w:rFonts w:ascii="Times New Roman" w:hAnsi="Times New Roman"/>
          <w:sz w:val="20"/>
        </w:rPr>
        <w:t xml:space="preserve"> </w:t>
      </w:r>
      <w:r w:rsidRPr="008A4DC6">
        <w:rPr>
          <w:rFonts w:ascii="Times New Roman" w:hAnsi="Times New Roman"/>
          <w:i/>
          <w:sz w:val="20"/>
        </w:rPr>
        <w:t>day</w:t>
      </w:r>
      <w:r w:rsidRPr="008A4DC6">
        <w:rPr>
          <w:rFonts w:ascii="Times New Roman" w:hAnsi="Times New Roman"/>
          <w:sz w:val="20"/>
        </w:rPr>
        <w:t xml:space="preserve">, trading hour, trading interval) and location as </w:t>
      </w:r>
      <w:r w:rsidRPr="008A4DC6">
        <w:rPr>
          <w:rFonts w:ascii="Times New Roman" w:hAnsi="Times New Roman"/>
          <w:i/>
          <w:sz w:val="20"/>
        </w:rPr>
        <w:t>charge types</w:t>
      </w:r>
      <w:r w:rsidRPr="008A4DC6">
        <w:rPr>
          <w:rFonts w:ascii="Times New Roman" w:hAnsi="Times New Roman"/>
          <w:sz w:val="20"/>
        </w:rPr>
        <w:t xml:space="preserve">.  Items that we refer to as </w:t>
      </w:r>
      <w:r w:rsidRPr="008A4DC6">
        <w:rPr>
          <w:rFonts w:ascii="Times New Roman" w:hAnsi="Times New Roman"/>
          <w:i/>
          <w:sz w:val="20"/>
        </w:rPr>
        <w:t>settlement amounts</w:t>
      </w:r>
      <w:r w:rsidRPr="008A4DC6">
        <w:rPr>
          <w:rFonts w:ascii="Times New Roman" w:hAnsi="Times New Roman"/>
          <w:sz w:val="20"/>
        </w:rPr>
        <w:t xml:space="preserve"> in this procedure will be summarized as </w:t>
      </w:r>
      <w:r w:rsidRPr="008A4DC6">
        <w:rPr>
          <w:rFonts w:ascii="Times New Roman" w:hAnsi="Times New Roman"/>
          <w:i/>
          <w:sz w:val="20"/>
        </w:rPr>
        <w:t>charge types</w:t>
      </w:r>
      <w:r w:rsidRPr="008A4DC6">
        <w:rPr>
          <w:rFonts w:ascii="Times New Roman" w:hAnsi="Times New Roman"/>
          <w:sz w:val="20"/>
        </w:rPr>
        <w:t xml:space="preserve"> on the </w:t>
      </w:r>
      <w:r w:rsidRPr="008A4DC6">
        <w:rPr>
          <w:rFonts w:ascii="Times New Roman" w:hAnsi="Times New Roman"/>
          <w:i/>
          <w:sz w:val="20"/>
        </w:rPr>
        <w:t>settlement statement</w:t>
      </w:r>
      <w:r w:rsidRPr="008A4DC6">
        <w:rPr>
          <w:rFonts w:ascii="Times New Roman" w:hAnsi="Times New Roman"/>
          <w:sz w:val="20"/>
        </w:rPr>
        <w:t xml:space="preserve"> itself. </w:t>
      </w:r>
    </w:p>
  </w:footnote>
  <w:footnote w:id="4">
    <w:p w14:paraId="2F0306BB" w14:textId="77777777" w:rsidR="00851C01" w:rsidRPr="008A4DC6" w:rsidRDefault="00851C01" w:rsidP="00FB0EE6">
      <w:pPr>
        <w:pStyle w:val="FootnoteText"/>
        <w:rPr>
          <w:rFonts w:ascii="Times New Roman" w:hAnsi="Times New Roman"/>
          <w:sz w:val="20"/>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You are considered to be an</w:t>
      </w:r>
      <w:r w:rsidRPr="008A4DC6">
        <w:rPr>
          <w:rFonts w:ascii="Times New Roman" w:hAnsi="Times New Roman"/>
          <w:snapToGrid w:val="0"/>
          <w:sz w:val="20"/>
          <w:lang w:val="en-CA"/>
        </w:rPr>
        <w:t xml:space="preserve"> active </w:t>
      </w:r>
      <w:r w:rsidRPr="008A4DC6">
        <w:rPr>
          <w:rFonts w:ascii="Times New Roman" w:hAnsi="Times New Roman"/>
          <w:i/>
          <w:snapToGrid w:val="0"/>
          <w:sz w:val="20"/>
          <w:lang w:val="en-CA"/>
        </w:rPr>
        <w:t>market participant</w:t>
      </w:r>
      <w:r w:rsidRPr="008A4DC6">
        <w:rPr>
          <w:rFonts w:ascii="Times New Roman" w:hAnsi="Times New Roman"/>
          <w:snapToGrid w:val="0"/>
          <w:sz w:val="20"/>
          <w:lang w:val="en-CA"/>
        </w:rPr>
        <w:t xml:space="preserve"> if you have at least one non-zero </w:t>
      </w:r>
      <w:r w:rsidRPr="008A4DC6">
        <w:rPr>
          <w:rFonts w:ascii="Times New Roman" w:hAnsi="Times New Roman"/>
          <w:i/>
          <w:snapToGrid w:val="0"/>
          <w:sz w:val="20"/>
          <w:lang w:val="en-CA"/>
        </w:rPr>
        <w:t>settlement amount</w:t>
      </w:r>
      <w:r w:rsidRPr="008A4DC6">
        <w:rPr>
          <w:rFonts w:ascii="Times New Roman" w:hAnsi="Times New Roman"/>
          <w:sz w:val="20"/>
          <w:lang w:val="en-CA"/>
        </w:rPr>
        <w:t xml:space="preserve"> on the </w:t>
      </w:r>
      <w:r w:rsidRPr="008A4DC6">
        <w:rPr>
          <w:rFonts w:ascii="Times New Roman" w:hAnsi="Times New Roman"/>
          <w:i/>
          <w:sz w:val="20"/>
          <w:lang w:val="en-CA"/>
        </w:rPr>
        <w:t>trading day</w:t>
      </w:r>
      <w:r w:rsidRPr="008A4DC6">
        <w:rPr>
          <w:rFonts w:ascii="Times New Roman" w:hAnsi="Times New Roman"/>
          <w:sz w:val="20"/>
          <w:lang w:val="en-CA"/>
        </w:rPr>
        <w:t xml:space="preserve"> in question. Sometimes a </w:t>
      </w:r>
      <w:r w:rsidRPr="008A4DC6">
        <w:rPr>
          <w:rFonts w:ascii="Times New Roman" w:hAnsi="Times New Roman"/>
          <w:i/>
          <w:sz w:val="20"/>
        </w:rPr>
        <w:t>settlement amount</w:t>
      </w:r>
      <w:r w:rsidRPr="008A4DC6">
        <w:rPr>
          <w:rFonts w:ascii="Times New Roman" w:hAnsi="Times New Roman"/>
          <w:sz w:val="20"/>
        </w:rPr>
        <w:t xml:space="preserve"> for a </w:t>
      </w:r>
      <w:r w:rsidRPr="008A4DC6">
        <w:rPr>
          <w:rFonts w:ascii="Times New Roman" w:hAnsi="Times New Roman"/>
          <w:i/>
          <w:sz w:val="20"/>
        </w:rPr>
        <w:t>trading day</w:t>
      </w:r>
      <w:r w:rsidRPr="008A4DC6">
        <w:rPr>
          <w:rFonts w:ascii="Times New Roman" w:hAnsi="Times New Roman"/>
          <w:sz w:val="20"/>
        </w:rPr>
        <w:t xml:space="preserve"> may come from adjustments to previous </w:t>
      </w:r>
      <w:r w:rsidRPr="008A4DC6">
        <w:rPr>
          <w:rFonts w:ascii="Times New Roman" w:hAnsi="Times New Roman"/>
          <w:i/>
          <w:sz w:val="20"/>
        </w:rPr>
        <w:t>trading days</w:t>
      </w:r>
      <w:r w:rsidRPr="008A4DC6">
        <w:rPr>
          <w:rFonts w:ascii="Times New Roman" w:hAnsi="Times New Roman"/>
          <w:sz w:val="20"/>
        </w:rPr>
        <w:t xml:space="preserve"> or from amounts that you incur indirectly, such as </w:t>
      </w:r>
      <w:r w:rsidRPr="008A4DC6">
        <w:rPr>
          <w:rFonts w:ascii="Times New Roman" w:hAnsi="Times New Roman"/>
          <w:i/>
          <w:sz w:val="20"/>
        </w:rPr>
        <w:t>default levy</w:t>
      </w:r>
      <w:r w:rsidRPr="008A4DC6">
        <w:rPr>
          <w:rFonts w:ascii="Times New Roman" w:hAnsi="Times New Roman"/>
          <w:sz w:val="20"/>
        </w:rPr>
        <w:t xml:space="preserve"> amounts.</w:t>
      </w:r>
    </w:p>
  </w:footnote>
  <w:footnote w:id="5">
    <w:p w14:paraId="222612A5" w14:textId="77777777" w:rsidR="00851C01" w:rsidRPr="008A4DC6" w:rsidRDefault="00851C01">
      <w:pPr>
        <w:pStyle w:val="FootnoteText"/>
        <w:rPr>
          <w:rFonts w:ascii="Times New Roman" w:hAnsi="Times New Roman"/>
          <w:sz w:val="20"/>
        </w:rPr>
      </w:pPr>
      <w:r w:rsidRPr="008A4DC6">
        <w:rPr>
          <w:rStyle w:val="FootnoteReference"/>
          <w:rFonts w:ascii="Times New Roman" w:hAnsi="Times New Roman"/>
          <w:sz w:val="20"/>
        </w:rPr>
        <w:footnoteRef/>
      </w:r>
      <w:r w:rsidRPr="008A4DC6">
        <w:rPr>
          <w:rFonts w:ascii="Times New Roman" w:hAnsi="Times New Roman"/>
          <w:sz w:val="20"/>
        </w:rPr>
        <w:t xml:space="preserve"> Manual line item entries will be less common than the preceding three record types and will not appear within every statement file.</w:t>
      </w:r>
    </w:p>
  </w:footnote>
  <w:footnote w:id="6">
    <w:p w14:paraId="29A60E32" w14:textId="77777777" w:rsidR="00851C01" w:rsidRPr="008A4DC6" w:rsidRDefault="00851C01">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 xml:space="preserve">See Chapter 9, Sections 6.3.10, 6.3.18.1, 6.3.19.1, 6.3.21.2 and 6.3.22.2 of the </w:t>
      </w:r>
      <w:r w:rsidRPr="008A4DC6">
        <w:rPr>
          <w:rFonts w:ascii="Times New Roman" w:hAnsi="Times New Roman"/>
          <w:i/>
          <w:sz w:val="20"/>
          <w:lang w:val="en-CA"/>
        </w:rPr>
        <w:t>market rules</w:t>
      </w:r>
      <w:r w:rsidRPr="008A4DC6">
        <w:rPr>
          <w:rFonts w:ascii="Times New Roman" w:hAnsi="Times New Roman"/>
          <w:sz w:val="20"/>
          <w:lang w:val="en-CA"/>
        </w:rPr>
        <w:t>.</w:t>
      </w:r>
    </w:p>
  </w:footnote>
  <w:footnote w:id="7">
    <w:p w14:paraId="627B6E3A" w14:textId="77777777" w:rsidR="00851C01" w:rsidRPr="008A4DC6" w:rsidRDefault="00851C01">
      <w:pPr>
        <w:pStyle w:val="FootnoteText"/>
        <w:rPr>
          <w:rFonts w:ascii="Times New Roman" w:hAnsi="Times New Roman"/>
          <w:sz w:val="20"/>
        </w:rPr>
      </w:pPr>
      <w:r w:rsidRPr="008A4DC6">
        <w:rPr>
          <w:rStyle w:val="FootnoteReference"/>
          <w:rFonts w:ascii="Times New Roman" w:hAnsi="Times New Roman"/>
          <w:sz w:val="20"/>
        </w:rPr>
        <w:footnoteRef/>
      </w:r>
      <w:r w:rsidRPr="008A4DC6">
        <w:rPr>
          <w:rFonts w:ascii="Times New Roman" w:hAnsi="Times New Roman"/>
          <w:sz w:val="20"/>
        </w:rPr>
        <w:t xml:space="preserve"> For more information, refer to Online IESO page on the IESO’s public website.</w:t>
      </w:r>
    </w:p>
  </w:footnote>
  <w:footnote w:id="8">
    <w:p w14:paraId="34408DA6" w14:textId="77777777" w:rsidR="00851C01" w:rsidRPr="008A4DC6" w:rsidRDefault="00851C01">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 xml:space="preserve">See Chapter 7, Sections </w:t>
      </w:r>
      <w:r w:rsidRPr="008A4DC6">
        <w:rPr>
          <w:rFonts w:ascii="Times New Roman" w:hAnsi="Times New Roman"/>
          <w:sz w:val="20"/>
        </w:rPr>
        <w:t>8.4A.13-8.4A.16</w:t>
      </w:r>
      <w:r w:rsidRPr="008A4DC6">
        <w:rPr>
          <w:rFonts w:ascii="Times New Roman" w:hAnsi="Times New Roman"/>
          <w:sz w:val="20"/>
          <w:lang w:val="en-CA"/>
        </w:rPr>
        <w:t xml:space="preserve"> of the </w:t>
      </w:r>
      <w:r w:rsidRPr="008A4DC6">
        <w:rPr>
          <w:rFonts w:ascii="Times New Roman" w:hAnsi="Times New Roman"/>
          <w:i/>
          <w:sz w:val="20"/>
          <w:lang w:val="en-CA"/>
        </w:rPr>
        <w:t>market rules</w:t>
      </w:r>
      <w:r w:rsidRPr="008A4DC6">
        <w:rPr>
          <w:rFonts w:ascii="Times New Roman" w:hAnsi="Times New Roman"/>
          <w:sz w:val="20"/>
          <w:lang w:val="en-CA"/>
        </w:rPr>
        <w:t>.</w:t>
      </w:r>
      <w:r w:rsidRPr="008A4DC6">
        <w:rPr>
          <w:rFonts w:ascii="Times New Roman" w:hAnsi="Times New Roman"/>
          <w:sz w:val="20"/>
        </w:rPr>
        <w:t xml:space="preserve"> See also Section 1.6.7 “Administrative Pricing Event” in this manual.</w:t>
      </w:r>
    </w:p>
  </w:footnote>
  <w:footnote w:id="9">
    <w:p w14:paraId="2B86E655" w14:textId="77777777" w:rsidR="00851C01" w:rsidRPr="008A4DC6" w:rsidRDefault="00851C01" w:rsidP="0077323F">
      <w:pPr>
        <w:pStyle w:val="FootnoteText"/>
        <w:ind w:left="0" w:firstLine="0"/>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Refer to the “Market Manual 2: Market Administration, Part 2.1, Dispute Resolution” for more information.</w:t>
      </w:r>
    </w:p>
  </w:footnote>
  <w:footnote w:id="10">
    <w:p w14:paraId="713F1A3A" w14:textId="77777777" w:rsidR="00851C01" w:rsidRPr="008A4DC6" w:rsidRDefault="00851C01" w:rsidP="0077323F">
      <w:pPr>
        <w:pStyle w:val="BodyText"/>
        <w:spacing w:before="0" w:after="80"/>
        <w:rPr>
          <w:sz w:val="20"/>
          <w:lang w:val="en-CA"/>
        </w:rPr>
      </w:pPr>
      <w:r w:rsidRPr="008A4DC6">
        <w:rPr>
          <w:rStyle w:val="FootnoteReference"/>
          <w:sz w:val="20"/>
        </w:rPr>
        <w:footnoteRef/>
      </w:r>
      <w:r w:rsidRPr="008A4DC6">
        <w:rPr>
          <w:sz w:val="20"/>
        </w:rPr>
        <w:t xml:space="preserve"> </w:t>
      </w:r>
      <w:r w:rsidRPr="008A4DC6">
        <w:rPr>
          <w:sz w:val="20"/>
          <w:lang w:val="en-CA"/>
        </w:rPr>
        <w:t>See “Part 5.6, Physical Markets Invoicing”</w:t>
      </w:r>
      <w:r w:rsidRPr="008A4DC6">
        <w:rPr>
          <w:i/>
          <w:sz w:val="20"/>
          <w:lang w:val="en-CA"/>
        </w:rPr>
        <w:t xml:space="preserve"> </w:t>
      </w:r>
      <w:r w:rsidRPr="008A4DC6">
        <w:rPr>
          <w:sz w:val="20"/>
          <w:lang w:val="en-CA"/>
        </w:rPr>
        <w:t xml:space="preserve">for more details of the invoicing process. </w:t>
      </w:r>
    </w:p>
  </w:footnote>
  <w:footnote w:id="11">
    <w:p w14:paraId="1CDE0AA0" w14:textId="77777777" w:rsidR="00851C01" w:rsidRPr="008A4DC6" w:rsidRDefault="00851C01">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 xml:space="preserve">See Chapter 9, Sections 6.3.11, 6.3.18.2 and 6.3.19.1 of the </w:t>
      </w:r>
      <w:r w:rsidRPr="008A4DC6">
        <w:rPr>
          <w:rFonts w:ascii="Times New Roman" w:hAnsi="Times New Roman"/>
          <w:i/>
          <w:sz w:val="20"/>
          <w:lang w:val="en-CA"/>
        </w:rPr>
        <w:t>market rules</w:t>
      </w:r>
      <w:r w:rsidRPr="008A4DC6">
        <w:rPr>
          <w:rFonts w:ascii="Times New Roman" w:hAnsi="Times New Roman"/>
          <w:sz w:val="20"/>
          <w:lang w:val="en-CA"/>
        </w:rPr>
        <w:t>.</w:t>
      </w:r>
    </w:p>
  </w:footnote>
  <w:footnote w:id="12">
    <w:p w14:paraId="0D4A50CE" w14:textId="77777777" w:rsidR="00851C01" w:rsidRPr="008A4DC6" w:rsidRDefault="00851C01" w:rsidP="00DD4B0E">
      <w:pPr>
        <w:pStyle w:val="ListBullet"/>
        <w:numPr>
          <w:ilvl w:val="0"/>
          <w:numId w:val="0"/>
        </w:numPr>
        <w:rPr>
          <w:sz w:val="20"/>
          <w:lang w:val="en-CA"/>
        </w:rPr>
      </w:pPr>
      <w:r w:rsidRPr="008A4DC6">
        <w:rPr>
          <w:rStyle w:val="FootnoteReference"/>
          <w:sz w:val="20"/>
        </w:rPr>
        <w:footnoteRef/>
      </w:r>
      <w:r w:rsidRPr="008A4DC6">
        <w:rPr>
          <w:sz w:val="20"/>
        </w:rPr>
        <w:t xml:space="preserve"> </w:t>
      </w:r>
      <w:r w:rsidRPr="008A4DC6">
        <w:rPr>
          <w:sz w:val="20"/>
          <w:lang w:val="en-CA"/>
        </w:rPr>
        <w:t>The file format specifications for the following data files/reports are provided on our web site:</w:t>
      </w:r>
    </w:p>
    <w:p w14:paraId="770A968B" w14:textId="77777777" w:rsidR="00851C01" w:rsidRPr="008A4DC6" w:rsidRDefault="00851C01" w:rsidP="00DD4B0E">
      <w:pPr>
        <w:pStyle w:val="ListBullet"/>
        <w:numPr>
          <w:ilvl w:val="0"/>
          <w:numId w:val="45"/>
        </w:numPr>
        <w:spacing w:before="0" w:after="40"/>
        <w:ind w:left="714" w:hanging="357"/>
        <w:rPr>
          <w:sz w:val="20"/>
          <w:lang w:val="en-CA"/>
        </w:rPr>
      </w:pPr>
      <w:r w:rsidRPr="008A4DC6">
        <w:rPr>
          <w:sz w:val="20"/>
          <w:lang w:val="en-CA"/>
        </w:rPr>
        <w:t>Participant Transmission Tariff Data File;</w:t>
      </w:r>
    </w:p>
    <w:p w14:paraId="6C3E5D09" w14:textId="77777777" w:rsidR="00851C01" w:rsidRPr="008A4DC6" w:rsidRDefault="00851C01" w:rsidP="00DD4B0E">
      <w:pPr>
        <w:pStyle w:val="ListBullet"/>
        <w:numPr>
          <w:ilvl w:val="0"/>
          <w:numId w:val="45"/>
        </w:numPr>
        <w:spacing w:before="0" w:after="40"/>
        <w:ind w:left="714" w:hanging="357"/>
        <w:rPr>
          <w:sz w:val="20"/>
          <w:lang w:val="en-CA"/>
        </w:rPr>
      </w:pPr>
      <w:r w:rsidRPr="008A4DC6">
        <w:rPr>
          <w:sz w:val="20"/>
          <w:lang w:val="en-CA"/>
        </w:rPr>
        <w:t>Transmission Tariff Peak System Demand Data Report;</w:t>
      </w:r>
    </w:p>
    <w:p w14:paraId="2F841CEE" w14:textId="77777777" w:rsidR="00851C01" w:rsidRPr="008A4DC6" w:rsidRDefault="00851C01" w:rsidP="00DD4B0E">
      <w:pPr>
        <w:pStyle w:val="ListBullet"/>
        <w:numPr>
          <w:ilvl w:val="0"/>
          <w:numId w:val="45"/>
        </w:numPr>
        <w:spacing w:before="0" w:after="40"/>
        <w:ind w:left="714" w:hanging="357"/>
        <w:rPr>
          <w:sz w:val="20"/>
          <w:lang w:val="en-CA"/>
        </w:rPr>
      </w:pPr>
      <w:r w:rsidRPr="008A4DC6">
        <w:rPr>
          <w:sz w:val="20"/>
          <w:lang w:val="en-CA"/>
        </w:rPr>
        <w:t>Transmitter Transmission Tariff Data File; and</w:t>
      </w:r>
    </w:p>
    <w:p w14:paraId="7A569745" w14:textId="77777777" w:rsidR="00851C01" w:rsidRPr="008A4DC6" w:rsidRDefault="00851C01" w:rsidP="00DD4B0E">
      <w:pPr>
        <w:pStyle w:val="ListBullet"/>
        <w:numPr>
          <w:ilvl w:val="0"/>
          <w:numId w:val="45"/>
        </w:numPr>
        <w:spacing w:before="0" w:after="40"/>
        <w:ind w:left="714" w:hanging="357"/>
        <w:rPr>
          <w:sz w:val="20"/>
          <w:lang w:val="en-CA"/>
        </w:rPr>
      </w:pPr>
      <w:r w:rsidRPr="008A4DC6">
        <w:rPr>
          <w:sz w:val="20"/>
          <w:lang w:val="en-CA"/>
        </w:rPr>
        <w:t>Transmitter Reconciliation Data File.</w:t>
      </w:r>
    </w:p>
  </w:footnote>
  <w:footnote w:id="13">
    <w:p w14:paraId="66F636D6" w14:textId="77777777" w:rsidR="00851C01" w:rsidRPr="008A4DC6" w:rsidRDefault="00851C01" w:rsidP="00DD4B0E">
      <w:pPr>
        <w:pStyle w:val="FootnoteText"/>
        <w:spacing w:before="40"/>
        <w:ind w:left="0" w:firstLine="0"/>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See </w:t>
      </w:r>
      <w:r w:rsidRPr="008A4DC6">
        <w:rPr>
          <w:rFonts w:ascii="Times New Roman" w:hAnsi="Times New Roman"/>
          <w:sz w:val="20"/>
          <w:lang w:val="en-CA"/>
        </w:rPr>
        <w:t>the reference document “IESO Charge Types and Equations” for more information.</w:t>
      </w:r>
    </w:p>
  </w:footnote>
  <w:footnote w:id="14">
    <w:p w14:paraId="0EA2AADA" w14:textId="77777777" w:rsidR="00851C01" w:rsidRPr="008A4DC6" w:rsidRDefault="00851C01" w:rsidP="00DD4B0E">
      <w:pPr>
        <w:pStyle w:val="ListBullet"/>
        <w:numPr>
          <w:ilvl w:val="0"/>
          <w:numId w:val="0"/>
        </w:numPr>
        <w:rPr>
          <w:sz w:val="20"/>
        </w:rPr>
      </w:pPr>
      <w:r w:rsidRPr="008A4DC6">
        <w:rPr>
          <w:rStyle w:val="FootnoteReference"/>
          <w:sz w:val="20"/>
        </w:rPr>
        <w:footnoteRef/>
      </w:r>
      <w:r w:rsidRPr="008A4DC6">
        <w:rPr>
          <w:sz w:val="20"/>
        </w:rPr>
        <w:t xml:space="preserve"> The </w:t>
      </w:r>
      <w:r w:rsidRPr="008A4DC6">
        <w:rPr>
          <w:i/>
          <w:sz w:val="20"/>
        </w:rPr>
        <w:t>transmission customer</w:t>
      </w:r>
      <w:r w:rsidRPr="008A4DC6">
        <w:rPr>
          <w:sz w:val="20"/>
        </w:rPr>
        <w:t xml:space="preserve"> is associated as the </w:t>
      </w:r>
      <w:r w:rsidRPr="008A4DC6">
        <w:rPr>
          <w:i/>
          <w:sz w:val="20"/>
        </w:rPr>
        <w:t>metered market participant</w:t>
      </w:r>
      <w:r w:rsidRPr="008A4DC6">
        <w:rPr>
          <w:sz w:val="20"/>
        </w:rPr>
        <w:t xml:space="preserve"> Transmission (MMPT) for one or more </w:t>
      </w:r>
      <w:r w:rsidRPr="008A4DC6">
        <w:rPr>
          <w:i/>
          <w:sz w:val="20"/>
        </w:rPr>
        <w:t>delivery points</w:t>
      </w:r>
      <w:r w:rsidRPr="008A4DC6">
        <w:rPr>
          <w:sz w:val="20"/>
        </w:rPr>
        <w:t xml:space="preserve"> defined for transmission network charges or transmission </w:t>
      </w:r>
      <w:r w:rsidRPr="008A4DC6">
        <w:rPr>
          <w:i/>
          <w:sz w:val="20"/>
        </w:rPr>
        <w:t>connection charges</w:t>
      </w:r>
      <w:r w:rsidRPr="008A4DC6">
        <w:rPr>
          <w:sz w:val="20"/>
        </w:rPr>
        <w:t>.  See the “Market Manual 3: Metering, Part 3.8 Creating and Maintaining Delivery Point Relationships” for more information on this assignment process.</w:t>
      </w:r>
    </w:p>
  </w:footnote>
  <w:footnote w:id="15">
    <w:p w14:paraId="11813162" w14:textId="77777777" w:rsidR="00851C01" w:rsidRPr="008A4DC6" w:rsidRDefault="00851C01" w:rsidP="00DD4B0E">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See the reference document “File Format Specification for Participant Transmission Tariff Data File” for details on this file.</w:t>
      </w:r>
    </w:p>
  </w:footnote>
  <w:footnote w:id="16">
    <w:p w14:paraId="24503B52" w14:textId="77777777" w:rsidR="00851C01" w:rsidRPr="008A4DC6" w:rsidRDefault="00851C01" w:rsidP="00DD4B0E">
      <w:pPr>
        <w:pStyle w:val="FootnoteText"/>
        <w:ind w:left="0" w:firstLine="0"/>
        <w:rPr>
          <w:rFonts w:ascii="Times New Roman" w:hAnsi="Times New Roman"/>
          <w:sz w:val="20"/>
        </w:rPr>
      </w:pPr>
      <w:r w:rsidRPr="008A4DC6">
        <w:rPr>
          <w:rStyle w:val="FootnoteReference"/>
          <w:rFonts w:ascii="Times New Roman" w:hAnsi="Times New Roman"/>
          <w:sz w:val="20"/>
        </w:rPr>
        <w:footnoteRef/>
      </w:r>
      <w:r w:rsidRPr="008A4DC6">
        <w:rPr>
          <w:rFonts w:ascii="Times New Roman" w:hAnsi="Times New Roman"/>
          <w:sz w:val="20"/>
        </w:rPr>
        <w:t xml:space="preserve"> Measurements at specific </w:t>
      </w:r>
      <w:r w:rsidRPr="008A4DC6">
        <w:rPr>
          <w:rFonts w:ascii="Times New Roman" w:hAnsi="Times New Roman"/>
          <w:i/>
          <w:sz w:val="20"/>
        </w:rPr>
        <w:t>delivery points</w:t>
      </w:r>
      <w:r w:rsidRPr="008A4DC6">
        <w:rPr>
          <w:rFonts w:ascii="Times New Roman" w:hAnsi="Times New Roman"/>
          <w:sz w:val="20"/>
        </w:rPr>
        <w:t xml:space="preserve"> defined for transmission network charges are listed in each participant’s “Participant Transmission Tariff Data File”.  This information is confidential and is not provided to other </w:t>
      </w:r>
      <w:r w:rsidRPr="008A4DC6">
        <w:rPr>
          <w:rFonts w:ascii="Times New Roman" w:hAnsi="Times New Roman"/>
          <w:i/>
          <w:sz w:val="20"/>
        </w:rPr>
        <w:t>market participants</w:t>
      </w:r>
      <w:r w:rsidRPr="008A4DC6">
        <w:rPr>
          <w:rFonts w:ascii="Times New Roman" w:hAnsi="Times New Roman"/>
          <w:sz w:val="20"/>
        </w:rPr>
        <w:t>.</w:t>
      </w:r>
    </w:p>
  </w:footnote>
  <w:footnote w:id="17">
    <w:p w14:paraId="35006D8A" w14:textId="77777777" w:rsidR="00851C01" w:rsidRPr="008A4DC6" w:rsidRDefault="00851C01" w:rsidP="00DD4B0E">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 xml:space="preserve">The collection of </w:t>
      </w:r>
      <w:r w:rsidRPr="008A4DC6">
        <w:rPr>
          <w:rFonts w:ascii="Times New Roman" w:hAnsi="Times New Roman"/>
          <w:i/>
          <w:sz w:val="20"/>
          <w:lang w:val="en-CA"/>
        </w:rPr>
        <w:t>transmission tariff</w:t>
      </w:r>
      <w:r w:rsidRPr="008A4DC6">
        <w:rPr>
          <w:rFonts w:ascii="Times New Roman" w:hAnsi="Times New Roman"/>
          <w:sz w:val="20"/>
          <w:lang w:val="en-CA"/>
        </w:rPr>
        <w:t xml:space="preserve"> charges is specified in Chapter 10 of the </w:t>
      </w:r>
      <w:r w:rsidRPr="008A4DC6">
        <w:rPr>
          <w:rFonts w:ascii="Times New Roman" w:hAnsi="Times New Roman"/>
          <w:i/>
          <w:sz w:val="20"/>
          <w:lang w:val="en-CA"/>
        </w:rPr>
        <w:t>market rules</w:t>
      </w:r>
      <w:r w:rsidRPr="008A4DC6">
        <w:rPr>
          <w:rFonts w:ascii="Times New Roman" w:hAnsi="Times New Roman"/>
          <w:sz w:val="20"/>
          <w:lang w:val="en-CA"/>
        </w:rPr>
        <w:t>.</w:t>
      </w:r>
    </w:p>
  </w:footnote>
  <w:footnote w:id="18">
    <w:p w14:paraId="6C771C2D" w14:textId="77777777" w:rsidR="00851C01" w:rsidRPr="008A4DC6" w:rsidRDefault="00851C01">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 xml:space="preserve">See Chapter 9, Section 6.3.21.2b of the </w:t>
      </w:r>
      <w:r w:rsidRPr="008A4DC6">
        <w:rPr>
          <w:rFonts w:ascii="Times New Roman" w:hAnsi="Times New Roman"/>
          <w:i/>
          <w:sz w:val="20"/>
          <w:lang w:val="en-CA"/>
        </w:rPr>
        <w:t>market rules</w:t>
      </w:r>
      <w:r w:rsidRPr="008A4DC6">
        <w:rPr>
          <w:rFonts w:ascii="Times New Roman" w:hAnsi="Times New Roman"/>
          <w:sz w:val="20"/>
          <w:lang w:val="en-CA"/>
        </w:rPr>
        <w:t>.</w:t>
      </w:r>
    </w:p>
  </w:footnote>
  <w:footnote w:id="19">
    <w:p w14:paraId="3080CA68" w14:textId="77777777" w:rsidR="00851C01" w:rsidRPr="008A4DC6" w:rsidRDefault="00851C01">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See “Part 5.6: Physical Markets Settlement Invoicing” for further details of this process.</w:t>
      </w:r>
    </w:p>
  </w:footnote>
  <w:footnote w:id="20">
    <w:p w14:paraId="57E1CC86" w14:textId="77777777" w:rsidR="00851C01" w:rsidRPr="008A4DC6" w:rsidRDefault="00851C01">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See </w:t>
      </w:r>
      <w:r w:rsidRPr="008A4DC6">
        <w:rPr>
          <w:rFonts w:ascii="Times New Roman" w:hAnsi="Times New Roman"/>
          <w:sz w:val="20"/>
          <w:lang w:val="en-CA"/>
        </w:rPr>
        <w:t xml:space="preserve">Chapter 9, Section 6.1.2 of the </w:t>
      </w:r>
      <w:r w:rsidRPr="008A4DC6">
        <w:rPr>
          <w:rFonts w:ascii="Times New Roman" w:hAnsi="Times New Roman"/>
          <w:i/>
          <w:sz w:val="20"/>
          <w:lang w:val="en-CA"/>
        </w:rPr>
        <w:t>market rules</w:t>
      </w:r>
      <w:r w:rsidRPr="008A4DC6">
        <w:rPr>
          <w:rFonts w:ascii="Times New Roman" w:hAnsi="Times New Roman"/>
          <w:sz w:val="20"/>
          <w:lang w:val="en-CA"/>
        </w:rPr>
        <w:t>.</w:t>
      </w:r>
    </w:p>
  </w:footnote>
  <w:footnote w:id="21">
    <w:p w14:paraId="0C701B3B" w14:textId="77777777" w:rsidR="00851C01" w:rsidRPr="008A4DC6" w:rsidRDefault="00851C01">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Details about the optional measurement data records can be found in the document “IESO Charge Types and Equation”.</w:t>
      </w:r>
    </w:p>
  </w:footnote>
  <w:footnote w:id="22">
    <w:p w14:paraId="43D16526" w14:textId="77777777" w:rsidR="00851C01" w:rsidRPr="008A4DC6" w:rsidRDefault="00851C01" w:rsidP="000C62BF">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In this Section 1.6.1, “you’ refers to a </w:t>
      </w:r>
      <w:r w:rsidRPr="008A4DC6">
        <w:rPr>
          <w:rFonts w:ascii="Times New Roman" w:hAnsi="Times New Roman"/>
          <w:i/>
          <w:sz w:val="20"/>
        </w:rPr>
        <w:t>metered market participant</w:t>
      </w:r>
      <w:r w:rsidRPr="008A4DC6">
        <w:rPr>
          <w:rFonts w:ascii="Times New Roman" w:hAnsi="Times New Roman"/>
          <w:sz w:val="20"/>
        </w:rPr>
        <w:t>.</w:t>
      </w:r>
    </w:p>
  </w:footnote>
  <w:footnote w:id="23">
    <w:p w14:paraId="4CBA6902" w14:textId="77777777" w:rsidR="00851C01" w:rsidRPr="00DC766D" w:rsidRDefault="00851C01" w:rsidP="00E16474">
      <w:pPr>
        <w:pStyle w:val="FootnoteText"/>
        <w:rPr>
          <w:rFonts w:ascii="Times New Roman" w:hAnsi="Times New Roman"/>
          <w:sz w:val="20"/>
          <w:lang w:val="en-CA"/>
        </w:rPr>
      </w:pPr>
      <w:r w:rsidRPr="00DC766D">
        <w:rPr>
          <w:rStyle w:val="FootnoteReference"/>
          <w:rFonts w:ascii="Times New Roman" w:hAnsi="Times New Roman"/>
          <w:sz w:val="20"/>
        </w:rPr>
        <w:footnoteRef/>
      </w:r>
      <w:r w:rsidRPr="00DC766D">
        <w:rPr>
          <w:rFonts w:ascii="Times New Roman" w:hAnsi="Times New Roman"/>
          <w:sz w:val="20"/>
        </w:rPr>
        <w:t xml:space="preserve"> In this Section 1.6.1</w:t>
      </w:r>
      <w:r>
        <w:rPr>
          <w:rFonts w:ascii="Times New Roman" w:hAnsi="Times New Roman"/>
          <w:sz w:val="20"/>
        </w:rPr>
        <w:t xml:space="preserve"> and 1.6.2</w:t>
      </w:r>
      <w:r w:rsidRPr="00DC766D">
        <w:rPr>
          <w:rFonts w:ascii="Times New Roman" w:hAnsi="Times New Roman"/>
          <w:sz w:val="20"/>
        </w:rPr>
        <w:t xml:space="preserve">, “you’ refers to a </w:t>
      </w:r>
      <w:r w:rsidRPr="00DC766D">
        <w:rPr>
          <w:rFonts w:ascii="Times New Roman" w:hAnsi="Times New Roman"/>
          <w:i/>
          <w:sz w:val="20"/>
        </w:rPr>
        <w:t>metered market participant</w:t>
      </w:r>
      <w:r w:rsidRPr="00DC766D">
        <w:rPr>
          <w:rFonts w:ascii="Times New Roman" w:hAnsi="Times New Roman"/>
          <w:sz w:val="20"/>
        </w:rPr>
        <w:t>.</w:t>
      </w:r>
    </w:p>
  </w:footnote>
  <w:footnote w:id="24">
    <w:p w14:paraId="265B3E28" w14:textId="77777777" w:rsidR="00851C01" w:rsidRPr="00044C07" w:rsidRDefault="00851C01" w:rsidP="00E16474">
      <w:pPr>
        <w:pStyle w:val="FootnoteText"/>
        <w:rPr>
          <w:rFonts w:ascii="Times New Roman" w:hAnsi="Times New Roman"/>
          <w:sz w:val="20"/>
        </w:rPr>
      </w:pPr>
      <w:r>
        <w:rPr>
          <w:rStyle w:val="FootnoteReference"/>
        </w:rPr>
        <w:footnoteRef/>
      </w:r>
      <w:r>
        <w:t xml:space="preserve"> </w:t>
      </w:r>
      <w:r w:rsidRPr="00044C07">
        <w:rPr>
          <w:rFonts w:ascii="Times New Roman" w:hAnsi="Times New Roman"/>
          <w:i/>
          <w:sz w:val="20"/>
        </w:rPr>
        <w:t>Electricity storage participants</w:t>
      </w:r>
      <w:r>
        <w:rPr>
          <w:rFonts w:ascii="Times New Roman" w:hAnsi="Times New Roman"/>
          <w:sz w:val="20"/>
        </w:rPr>
        <w:t xml:space="preserve"> are to use the Generation Station Service Form</w:t>
      </w:r>
    </w:p>
  </w:footnote>
  <w:footnote w:id="25">
    <w:p w14:paraId="53223DEB" w14:textId="77777777" w:rsidR="00851C01" w:rsidRPr="008A4DC6" w:rsidRDefault="00851C01">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See Chapter 7, Section 8.4A.5 of the </w:t>
      </w:r>
      <w:r w:rsidRPr="008A4DC6">
        <w:rPr>
          <w:rFonts w:ascii="Times New Roman" w:hAnsi="Times New Roman"/>
          <w:i/>
          <w:sz w:val="20"/>
        </w:rPr>
        <w:t>market rules</w:t>
      </w:r>
      <w:r w:rsidRPr="008A4DC6">
        <w:rPr>
          <w:rFonts w:ascii="Times New Roman" w:hAnsi="Times New Roman"/>
          <w:sz w:val="20"/>
        </w:rPr>
        <w:t>.</w:t>
      </w:r>
    </w:p>
  </w:footnote>
  <w:footnote w:id="26">
    <w:p w14:paraId="63AE356A" w14:textId="77777777" w:rsidR="00851C01" w:rsidRPr="008A4DC6" w:rsidRDefault="00851C01">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See Chapter 7, Section 8.4A.13, 8.4A.14, 8.4A.15 and 8.4A.16 of the </w:t>
      </w:r>
      <w:r w:rsidRPr="008A4DC6">
        <w:rPr>
          <w:rFonts w:ascii="Times New Roman" w:hAnsi="Times New Roman"/>
          <w:i/>
          <w:sz w:val="20"/>
        </w:rPr>
        <w:t>market rules</w:t>
      </w:r>
      <w:r w:rsidRPr="008A4DC6">
        <w:rPr>
          <w:rFonts w:ascii="Times New Roman" w:hAnsi="Times New Roman"/>
          <w:sz w:val="20"/>
        </w:rPr>
        <w:t>.</w:t>
      </w:r>
    </w:p>
  </w:footnote>
  <w:footnote w:id="27">
    <w:p w14:paraId="2D440391" w14:textId="77777777" w:rsidR="00851C01" w:rsidRPr="008A4DC6" w:rsidRDefault="00851C01">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R</w:t>
      </w:r>
      <w:r w:rsidRPr="008A4DC6">
        <w:rPr>
          <w:rFonts w:ascii="Times New Roman" w:hAnsi="Times New Roman"/>
          <w:sz w:val="20"/>
          <w:lang w:val="en-CA"/>
        </w:rPr>
        <w:t>enewable generation refers to electricity produced by wind, solar, small hydroelectric, biomass, bio-oil, bio-gas and landfill gas.</w:t>
      </w:r>
    </w:p>
  </w:footnote>
  <w:footnote w:id="28">
    <w:p w14:paraId="2549A646" w14:textId="77777777" w:rsidR="00851C01" w:rsidRPr="008A4DC6" w:rsidRDefault="00851C01" w:rsidP="00051FA4">
      <w:pPr>
        <w:pStyle w:val="ListParagraph"/>
        <w:ind w:left="0"/>
        <w:jc w:val="both"/>
        <w:rPr>
          <w:sz w:val="20"/>
          <w:lang w:val="en-CA"/>
        </w:rPr>
      </w:pPr>
      <w:r w:rsidRPr="008A4DC6">
        <w:rPr>
          <w:rStyle w:val="FootnoteReference"/>
          <w:sz w:val="20"/>
        </w:rPr>
        <w:footnoteRef/>
      </w:r>
      <w:r w:rsidRPr="008A4DC6">
        <w:rPr>
          <w:sz w:val="20"/>
        </w:rPr>
        <w:t xml:space="preserve"> Demand in these references refers to Allocated Quantity of Energy Withdrawn (AQEW) from the </w:t>
      </w:r>
      <w:r w:rsidRPr="008A4DC6">
        <w:rPr>
          <w:i/>
          <w:sz w:val="20"/>
        </w:rPr>
        <w:t>IESO-controlled grid</w:t>
      </w:r>
      <w:r w:rsidRPr="008A4DC6">
        <w:rPr>
          <w:sz w:val="20"/>
        </w:rPr>
        <w:t>.</w:t>
      </w:r>
    </w:p>
  </w:footnote>
  <w:footnote w:id="29">
    <w:p w14:paraId="0303772A" w14:textId="77777777" w:rsidR="00851C01" w:rsidRPr="00E460FA" w:rsidRDefault="00851C01" w:rsidP="00E16474">
      <w:pPr>
        <w:pStyle w:val="FootnoteText"/>
        <w:rPr>
          <w:rFonts w:ascii="Times New Roman" w:hAnsi="Times New Roman"/>
        </w:rPr>
      </w:pPr>
      <w:r>
        <w:rPr>
          <w:rStyle w:val="FootnoteReference"/>
        </w:rPr>
        <w:footnoteRef/>
      </w:r>
      <w:r>
        <w:t xml:space="preserve"> </w:t>
      </w:r>
      <w:r w:rsidRPr="00E460FA">
        <w:rPr>
          <w:rFonts w:ascii="Times New Roman" w:hAnsi="Times New Roman"/>
          <w:i/>
          <w:sz w:val="20"/>
        </w:rPr>
        <w:t xml:space="preserve">Electricity storage participants </w:t>
      </w:r>
      <w:r w:rsidRPr="00E460FA">
        <w:rPr>
          <w:rFonts w:ascii="Times New Roman" w:hAnsi="Times New Roman"/>
          <w:sz w:val="20"/>
        </w:rPr>
        <w:t>are to use the Embedded Generation Energy Storage and Class A Load</w:t>
      </w:r>
      <w:r>
        <w:rPr>
          <w:rFonts w:ascii="Times New Roman" w:hAnsi="Times New Roman"/>
          <w:sz w:val="20"/>
        </w:rPr>
        <w:t xml:space="preserve"> form. The IESO will update the title of this form to include the term “Electricity” storage during further iterations of tool updates. </w:t>
      </w:r>
    </w:p>
  </w:footnote>
  <w:footnote w:id="30">
    <w:p w14:paraId="157C81AE" w14:textId="77777777" w:rsidR="00851C01" w:rsidRPr="008A4DC6" w:rsidRDefault="00851C01" w:rsidP="00C56BA5">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DSO = Dispatch Scheduling and Optimization</w:t>
      </w:r>
    </w:p>
  </w:footnote>
  <w:footnote w:id="31">
    <w:p w14:paraId="6487B72B" w14:textId="77777777" w:rsidR="00851C01" w:rsidRPr="008A4DC6" w:rsidRDefault="00851C01" w:rsidP="004D60F0">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The Green Energy Act was introduced in the Ontario Legislature on February 23, 2009.</w:t>
      </w:r>
    </w:p>
  </w:footnote>
  <w:footnote w:id="32">
    <w:p w14:paraId="458AC6FC" w14:textId="77777777" w:rsidR="00851C01" w:rsidRPr="008A4DC6" w:rsidRDefault="00851C01">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 xml:space="preserve">See Chapter 9, Sections 3.5 and 4.8 of the </w:t>
      </w:r>
      <w:r w:rsidRPr="008A4DC6">
        <w:rPr>
          <w:rFonts w:ascii="Times New Roman" w:hAnsi="Times New Roman"/>
          <w:i/>
          <w:sz w:val="20"/>
          <w:lang w:val="en-CA"/>
        </w:rPr>
        <w:t>market rules</w:t>
      </w:r>
    </w:p>
  </w:footnote>
  <w:footnote w:id="33">
    <w:p w14:paraId="78008DA1" w14:textId="77777777" w:rsidR="00851C01" w:rsidRPr="008A4DC6" w:rsidRDefault="00851C01">
      <w:pPr>
        <w:pStyle w:val="FootnoteText"/>
        <w:rPr>
          <w:rFonts w:ascii="Times New Roman" w:hAnsi="Times New Roman"/>
          <w:color w:val="000000" w:themeColor="text1"/>
          <w:sz w:val="20"/>
          <w:lang w:val="en-CA"/>
        </w:rPr>
      </w:pPr>
      <w:r w:rsidRPr="008A4DC6">
        <w:rPr>
          <w:rStyle w:val="FootnoteReference"/>
          <w:rFonts w:ascii="Times New Roman" w:hAnsi="Times New Roman"/>
          <w:color w:val="000000" w:themeColor="text1"/>
          <w:sz w:val="20"/>
        </w:rPr>
        <w:footnoteRef/>
      </w:r>
      <w:r w:rsidRPr="008A4DC6">
        <w:rPr>
          <w:rFonts w:ascii="Times New Roman" w:hAnsi="Times New Roman"/>
          <w:color w:val="000000" w:themeColor="text1"/>
          <w:sz w:val="20"/>
        </w:rPr>
        <w:t xml:space="preserve"> </w:t>
      </w:r>
      <w:r w:rsidRPr="008A4DC6">
        <w:rPr>
          <w:rFonts w:ascii="Times New Roman" w:hAnsi="Times New Roman"/>
          <w:color w:val="000000" w:themeColor="text1"/>
          <w:sz w:val="20"/>
          <w:lang w:val="en-CA"/>
        </w:rPr>
        <w:t xml:space="preserve">Refer to “IESO Charge Types and Equations” and “Format Specifications for Settlement Statement Files and Data Files”, located on the Technical Interfaces page of our web site for details of these </w:t>
      </w:r>
      <w:r w:rsidRPr="008A4DC6">
        <w:rPr>
          <w:rFonts w:ascii="Times New Roman" w:hAnsi="Times New Roman"/>
          <w:i/>
          <w:color w:val="000000" w:themeColor="text1"/>
          <w:sz w:val="20"/>
          <w:lang w:val="en-CA"/>
        </w:rPr>
        <w:t>charge types.</w:t>
      </w:r>
    </w:p>
  </w:footnote>
  <w:footnote w:id="34">
    <w:p w14:paraId="6B122C22" w14:textId="77777777" w:rsidR="00851C01" w:rsidRPr="008A4DC6" w:rsidRDefault="00851C01" w:rsidP="00CD1FDE">
      <w:pPr>
        <w:pStyle w:val="FootnoteText"/>
        <w:rPr>
          <w:del w:id="1090" w:author="Author"/>
          <w:rFonts w:ascii="Times New Roman" w:eastAsia="Calibri" w:hAnsi="Times New Roman"/>
          <w:sz w:val="20"/>
        </w:rPr>
      </w:pPr>
      <w:r w:rsidRPr="008A4DC6">
        <w:rPr>
          <w:rStyle w:val="FootnoteReference"/>
          <w:rFonts w:ascii="Times New Roman" w:hAnsi="Times New Roman"/>
          <w:sz w:val="20"/>
        </w:rPr>
        <w:footnoteRef/>
      </w:r>
      <w:r w:rsidRPr="008A4DC6">
        <w:rPr>
          <w:rFonts w:ascii="Times New Roman" w:hAnsi="Times New Roman"/>
          <w:sz w:val="20"/>
        </w:rPr>
        <w:t xml:space="preserve"> Attribute submitted to the IESO and maintained by the market participant as a part of facility registration</w:t>
      </w:r>
      <w:r w:rsidRPr="008A4DC6">
        <w:rPr>
          <w:rFonts w:ascii="Times New Roman" w:eastAsia="Calibri" w:hAnsi="Times New Roman"/>
          <w:sz w:val="20"/>
        </w:rPr>
        <w:t>. Refer to Section 5.1.3 of Market Manual 9, Part 9.1: Submitting Registration Data for the DACP.</w:t>
      </w:r>
    </w:p>
    <w:p w14:paraId="600B55D1" w14:textId="01D28935" w:rsidR="00851C01" w:rsidRPr="008A4DC6" w:rsidRDefault="00851C01" w:rsidP="00A6337C">
      <w:pPr>
        <w:pStyle w:val="FootnoteText"/>
        <w:rPr>
          <w:rFonts w:ascii="Times New Roman" w:hAnsi="Times New Roman"/>
          <w:sz w:val="20"/>
          <w:lang w:val="en-CA"/>
        </w:rPr>
      </w:pPr>
    </w:p>
  </w:footnote>
  <w:footnote w:id="35">
    <w:p w14:paraId="2DE80C2B" w14:textId="77777777" w:rsidR="00851C01" w:rsidRPr="008A4DC6" w:rsidRDefault="00851C01" w:rsidP="00CD1FDE">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Attribute submitted </w:t>
      </w:r>
      <w:r w:rsidRPr="008A4DC6">
        <w:rPr>
          <w:rFonts w:ascii="Times New Roman" w:eastAsia="Calibri" w:hAnsi="Times New Roman"/>
          <w:sz w:val="20"/>
        </w:rPr>
        <w:t>as a part of the Daily Generation Data. R</w:t>
      </w:r>
      <w:r w:rsidRPr="008A4DC6">
        <w:rPr>
          <w:rFonts w:ascii="Times New Roman" w:hAnsi="Times New Roman"/>
          <w:sz w:val="20"/>
        </w:rPr>
        <w:t>efer to Section 5.2 of Market Manual 9, Part 9.2: Submitting Operational and Market Data for the DACP.</w:t>
      </w:r>
    </w:p>
  </w:footnote>
  <w:footnote w:id="36">
    <w:p w14:paraId="3A278DE9" w14:textId="77777777" w:rsidR="00851C01" w:rsidRPr="008A4DC6" w:rsidRDefault="00851C01" w:rsidP="00CD1FDE">
      <w:pPr>
        <w:pStyle w:val="FootnoteText"/>
        <w:rPr>
          <w:rFonts w:ascii="Times New Roman" w:hAnsi="Times New Roman"/>
          <w:sz w:val="20"/>
        </w:rPr>
      </w:pPr>
      <w:r w:rsidRPr="008A4DC6">
        <w:rPr>
          <w:rStyle w:val="FootnoteReference"/>
          <w:rFonts w:ascii="Times New Roman" w:hAnsi="Times New Roman"/>
          <w:sz w:val="20"/>
        </w:rPr>
        <w:footnoteRef/>
      </w:r>
      <w:r w:rsidRPr="008A4DC6">
        <w:rPr>
          <w:rFonts w:ascii="Times New Roman" w:hAnsi="Times New Roman"/>
          <w:sz w:val="20"/>
        </w:rPr>
        <w:t xml:space="preserve"> These curtailment reason codes are described in Market Manual 4.3: Real-Time Scheduling of the Physical Markets, Section 6.6 – Transaction Coding.</w:t>
      </w:r>
    </w:p>
  </w:footnote>
  <w:footnote w:id="37">
    <w:p w14:paraId="77ABB273" w14:textId="77777777" w:rsidR="00851C01" w:rsidRPr="008A4DC6" w:rsidRDefault="00851C01" w:rsidP="00A6337C">
      <w:pPr>
        <w:pStyle w:val="FootnoteText"/>
        <w:rPr>
          <w:ins w:id="1222" w:author="Author"/>
          <w:rFonts w:ascii="Times New Roman" w:hAnsi="Times New Roman"/>
          <w:sz w:val="20"/>
        </w:rPr>
      </w:pPr>
      <w:ins w:id="1223" w:author="Author">
        <w:r w:rsidRPr="008A4DC6">
          <w:rPr>
            <w:rStyle w:val="FootnoteReference"/>
            <w:rFonts w:ascii="Times New Roman" w:hAnsi="Times New Roman"/>
            <w:sz w:val="20"/>
          </w:rPr>
          <w:footnoteRef/>
        </w:r>
        <w:r w:rsidRPr="008A4DC6">
          <w:rPr>
            <w:rFonts w:ascii="Times New Roman" w:hAnsi="Times New Roman"/>
            <w:sz w:val="20"/>
          </w:rPr>
          <w:t xml:space="preserve"> These curtailment reason codes are described in Market Manual 4.3: Real-Time Scheduling of the Physical Markets, Section 6.6 – Transaction Coding.</w:t>
        </w:r>
      </w:ins>
    </w:p>
  </w:footnote>
  <w:footnote w:id="38">
    <w:p w14:paraId="484662C2" w14:textId="77777777" w:rsidR="00851C01" w:rsidRPr="008A4DC6" w:rsidRDefault="00851C01" w:rsidP="0068081C">
      <w:pPr>
        <w:pStyle w:val="FootnoteText"/>
        <w:rPr>
          <w:rFonts w:ascii="Times New Roman" w:hAnsi="Times New Roman"/>
          <w:sz w:val="20"/>
        </w:rPr>
      </w:pPr>
      <w:r w:rsidRPr="008A4DC6">
        <w:rPr>
          <w:rStyle w:val="FootnoteReference"/>
          <w:rFonts w:ascii="Times New Roman" w:hAnsi="Times New Roman"/>
          <w:sz w:val="20"/>
        </w:rPr>
        <w:footnoteRef/>
      </w:r>
      <w:r w:rsidRPr="008A4DC6">
        <w:rPr>
          <w:rFonts w:ascii="Times New Roman" w:hAnsi="Times New Roman"/>
          <w:sz w:val="20"/>
        </w:rPr>
        <w:t xml:space="preserve"> The service providers are the entities as defined by OESP regulation, O. Reg. 314/15.</w:t>
      </w:r>
    </w:p>
  </w:footnote>
  <w:footnote w:id="39">
    <w:p w14:paraId="4F477D53" w14:textId="77777777" w:rsidR="00851C01" w:rsidRPr="008A4DC6" w:rsidRDefault="00851C01" w:rsidP="001A3A31">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 xml:space="preserve">Ramp-down rate limited (RDRL) means that the calculated </w:t>
      </w:r>
      <w:r w:rsidRPr="008A4DC6">
        <w:rPr>
          <w:rFonts w:ascii="Times New Roman" w:hAnsi="Times New Roman"/>
          <w:i/>
          <w:sz w:val="20"/>
          <w:lang w:val="en-CA"/>
        </w:rPr>
        <w:t>dispatch</w:t>
      </w:r>
      <w:r w:rsidRPr="008A4DC6">
        <w:rPr>
          <w:rFonts w:ascii="Times New Roman" w:hAnsi="Times New Roman"/>
          <w:sz w:val="20"/>
          <w:lang w:val="en-CA"/>
        </w:rPr>
        <w:t xml:space="preserve"> instruction is ‘limited’ by the generator’s offered ramp rate.</w:t>
      </w:r>
    </w:p>
  </w:footnote>
  <w:footnote w:id="40">
    <w:p w14:paraId="2F86CEFD" w14:textId="77777777" w:rsidR="00851C01" w:rsidRPr="008A4DC6" w:rsidRDefault="00851C01" w:rsidP="002F0DAF">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“Unit sub-meter provider” is defined in the Ontario Rebate for Electricity Consumers Act, 2016.</w:t>
      </w:r>
    </w:p>
  </w:footnote>
  <w:footnote w:id="41">
    <w:p w14:paraId="7D942C97" w14:textId="77777777" w:rsidR="00851C01" w:rsidRPr="008A4DC6" w:rsidRDefault="00851C01">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Capitalized terms in Section 1.6.33 are defined in Market Manual 13.1: Capacity Export Requests, Appendix A: Glossary of Capacity Export Terms</w:t>
      </w:r>
      <w:r w:rsidRPr="008A4DC6" w:rsidDel="005F6246">
        <w:rPr>
          <w:rFonts w:ascii="Times New Roman" w:hAnsi="Times New Roman"/>
          <w:sz w:val="20"/>
          <w:lang w:val="en-CA"/>
        </w:rPr>
        <w:t xml:space="preserve"> </w:t>
      </w:r>
    </w:p>
  </w:footnote>
  <w:footnote w:id="42">
    <w:p w14:paraId="387F8ADA" w14:textId="77777777" w:rsidR="00851C01" w:rsidRPr="008A4DC6" w:rsidRDefault="00851C01">
      <w:pPr>
        <w:pStyle w:val="FootnoteText"/>
        <w:rPr>
          <w:rFonts w:ascii="Times New Roman" w:hAnsi="Times New Roman"/>
          <w:sz w:val="20"/>
        </w:rPr>
      </w:pPr>
    </w:p>
    <w:p w14:paraId="0FFE998D" w14:textId="77777777" w:rsidR="00851C01" w:rsidRPr="008A4DC6" w:rsidRDefault="00851C01">
      <w:pPr>
        <w:pStyle w:val="FootnoteText"/>
        <w:rPr>
          <w:rFonts w:ascii="Times New Roman" w:hAnsi="Times New Roman"/>
          <w:sz w:val="20"/>
        </w:rPr>
      </w:pPr>
      <w:r w:rsidRPr="008A4DC6">
        <w:rPr>
          <w:rStyle w:val="FootnoteReference"/>
          <w:rFonts w:ascii="Times New Roman" w:hAnsi="Times New Roman"/>
          <w:sz w:val="20"/>
        </w:rPr>
        <w:footnoteRef/>
      </w:r>
      <w:r w:rsidRPr="008A4DC6">
        <w:rPr>
          <w:rFonts w:ascii="Times New Roman" w:hAnsi="Times New Roman"/>
          <w:sz w:val="20"/>
        </w:rPr>
        <w:t xml:space="preserve"> Refer to the “Outbound Automated Document Application Programming Interface” if using an application programmable interface (API) to retrieve reports from the IESO Reports site.</w:t>
      </w:r>
    </w:p>
  </w:footnote>
  <w:footnote w:id="43">
    <w:p w14:paraId="35556D39" w14:textId="77777777" w:rsidR="00851C01" w:rsidRPr="008A4DC6" w:rsidRDefault="00851C01">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Ibid.</w:t>
      </w:r>
    </w:p>
  </w:footnote>
  <w:footnote w:id="44">
    <w:p w14:paraId="294BE39F" w14:textId="77777777" w:rsidR="00851C01" w:rsidRPr="008A4DC6" w:rsidRDefault="00851C01">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Ibid.</w:t>
      </w:r>
    </w:p>
  </w:footnote>
  <w:footnote w:id="45">
    <w:p w14:paraId="5F682247" w14:textId="77777777" w:rsidR="00851C01" w:rsidRPr="008A4DC6" w:rsidRDefault="00851C01">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Ibid.</w:t>
      </w:r>
    </w:p>
  </w:footnote>
  <w:footnote w:id="46">
    <w:p w14:paraId="38F7DDA1" w14:textId="77777777" w:rsidR="00851C01" w:rsidRPr="008A4DC6" w:rsidRDefault="00851C01" w:rsidP="003075A6">
      <w:pPr>
        <w:pStyle w:val="FootnoteText"/>
        <w:rPr>
          <w:rFonts w:ascii="Times New Roman" w:hAnsi="Times New Roman"/>
          <w:sz w:val="20"/>
        </w:rPr>
      </w:pPr>
      <w:r w:rsidRPr="008A4DC6">
        <w:rPr>
          <w:rStyle w:val="FootnoteReference"/>
          <w:rFonts w:ascii="Times New Roman" w:hAnsi="Times New Roman"/>
          <w:sz w:val="20"/>
        </w:rPr>
        <w:footnoteRef/>
      </w:r>
      <w:r w:rsidRPr="008A4DC6">
        <w:rPr>
          <w:rFonts w:ascii="Times New Roman" w:hAnsi="Times New Roman"/>
          <w:sz w:val="20"/>
        </w:rPr>
        <w:t xml:space="preserve"> “Embedded </w:t>
      </w:r>
      <w:r w:rsidRPr="008A4DC6">
        <w:rPr>
          <w:rFonts w:ascii="Times New Roman" w:hAnsi="Times New Roman"/>
          <w:i/>
          <w:sz w:val="20"/>
        </w:rPr>
        <w:t>distributor”</w:t>
      </w:r>
      <w:r w:rsidRPr="008A4DC6">
        <w:rPr>
          <w:rFonts w:ascii="Times New Roman" w:hAnsi="Times New Roman"/>
          <w:sz w:val="20"/>
        </w:rPr>
        <w:t xml:space="preserve"> is classified by regulation, where it is assumed to take the meaning described in the </w:t>
      </w:r>
      <w:r w:rsidRPr="008A4DC6">
        <w:rPr>
          <w:rFonts w:ascii="Times New Roman" w:hAnsi="Times New Roman"/>
          <w:i/>
          <w:sz w:val="20"/>
        </w:rPr>
        <w:t xml:space="preserve">OEB </w:t>
      </w:r>
      <w:r w:rsidRPr="008A4DC6">
        <w:rPr>
          <w:rFonts w:ascii="Times New Roman" w:hAnsi="Times New Roman"/>
          <w:sz w:val="20"/>
        </w:rPr>
        <w:t>“Retail Settlement Code”.</w:t>
      </w:r>
    </w:p>
  </w:footnote>
  <w:footnote w:id="47">
    <w:p w14:paraId="17FE292E" w14:textId="77777777" w:rsidR="00851C01" w:rsidRPr="008A4DC6" w:rsidRDefault="00851C01" w:rsidP="003075A6">
      <w:pPr>
        <w:pStyle w:val="FootnoteText"/>
        <w:rPr>
          <w:rFonts w:ascii="Times New Roman" w:hAnsi="Times New Roman"/>
          <w:sz w:val="20"/>
        </w:rPr>
      </w:pPr>
      <w:r w:rsidRPr="008A4DC6">
        <w:rPr>
          <w:rStyle w:val="FootnoteReference"/>
          <w:rFonts w:ascii="Times New Roman" w:hAnsi="Times New Roman"/>
          <w:sz w:val="20"/>
        </w:rPr>
        <w:footnoteRef/>
      </w:r>
      <w:r w:rsidRPr="008A4DC6">
        <w:rPr>
          <w:rFonts w:ascii="Times New Roman" w:hAnsi="Times New Roman"/>
          <w:sz w:val="20"/>
        </w:rPr>
        <w:t xml:space="preserve"> Ibid.</w:t>
      </w:r>
    </w:p>
  </w:footnote>
  <w:footnote w:id="48">
    <w:p w14:paraId="0C7E8C53" w14:textId="77777777" w:rsidR="00851C01" w:rsidRPr="008A4DC6" w:rsidRDefault="00851C01" w:rsidP="007036DE">
      <w:pPr>
        <w:pStyle w:val="FootnoteText"/>
        <w:rPr>
          <w:rFonts w:ascii="Times New Roman" w:hAnsi="Times New Roman"/>
          <w:color w:val="000000" w:themeColor="text1"/>
          <w:sz w:val="20"/>
          <w:lang w:val="en-CA"/>
        </w:rPr>
      </w:pPr>
      <w:r w:rsidRPr="008A4DC6">
        <w:rPr>
          <w:rStyle w:val="FootnoteReference"/>
          <w:rFonts w:ascii="Times New Roman" w:hAnsi="Times New Roman"/>
          <w:color w:val="000000" w:themeColor="text1"/>
          <w:sz w:val="20"/>
        </w:rPr>
        <w:footnoteRef/>
      </w:r>
      <w:r w:rsidRPr="008A4DC6">
        <w:rPr>
          <w:rFonts w:ascii="Times New Roman" w:hAnsi="Times New Roman"/>
          <w:color w:val="000000" w:themeColor="text1"/>
          <w:sz w:val="20"/>
        </w:rPr>
        <w:t xml:space="preserve"> In this section, “you” refers to a DR3 participant.</w:t>
      </w:r>
    </w:p>
  </w:footnote>
  <w:footnote w:id="49">
    <w:p w14:paraId="6DDA11FC" w14:textId="77777777" w:rsidR="00851C01" w:rsidRPr="008A4DC6" w:rsidRDefault="00851C01" w:rsidP="007036DE">
      <w:pPr>
        <w:pStyle w:val="FootnoteText"/>
        <w:rPr>
          <w:rFonts w:ascii="Times New Roman" w:hAnsi="Times New Roman"/>
          <w:sz w:val="20"/>
        </w:rPr>
      </w:pPr>
      <w:r w:rsidRPr="008A4DC6">
        <w:rPr>
          <w:rStyle w:val="FootnoteReference"/>
          <w:rFonts w:ascii="Times New Roman" w:hAnsi="Times New Roman"/>
          <w:sz w:val="20"/>
        </w:rPr>
        <w:footnoteRef/>
      </w:r>
      <w:r w:rsidRPr="008A4DC6">
        <w:rPr>
          <w:rFonts w:ascii="Times New Roman" w:hAnsi="Times New Roman"/>
          <w:sz w:val="20"/>
        </w:rPr>
        <w:t xml:space="preserve"> Refer to “IESO Charge Types and Equations” and “File Format Specification for Settlement Statement Files and Data files” located on the Technical Interfaces page of the IESO Web site for details of these </w:t>
      </w:r>
      <w:r w:rsidRPr="008A4DC6">
        <w:rPr>
          <w:rFonts w:ascii="Times New Roman" w:hAnsi="Times New Roman"/>
          <w:i/>
          <w:sz w:val="20"/>
        </w:rPr>
        <w:t>charge types</w:t>
      </w:r>
      <w:r w:rsidRPr="008A4DC6">
        <w:rPr>
          <w:rFonts w:ascii="Times New Roman" w:hAnsi="Times New Roman"/>
          <w:sz w:val="20"/>
        </w:rPr>
        <w:t>.</w:t>
      </w:r>
    </w:p>
  </w:footnote>
  <w:footnote w:id="50">
    <w:p w14:paraId="61F0D579" w14:textId="77777777" w:rsidR="00851C01" w:rsidRPr="008A4DC6" w:rsidRDefault="00851C01" w:rsidP="007036DE">
      <w:pPr>
        <w:pStyle w:val="FootnoteText"/>
        <w:rPr>
          <w:rFonts w:ascii="Times New Roman" w:hAnsi="Times New Roman"/>
          <w:sz w:val="20"/>
        </w:rPr>
      </w:pPr>
      <w:r w:rsidRPr="008A4DC6">
        <w:rPr>
          <w:rStyle w:val="FootnoteReference"/>
          <w:rFonts w:ascii="Times New Roman" w:hAnsi="Times New Roman"/>
          <w:sz w:val="20"/>
        </w:rPr>
        <w:footnoteRef/>
      </w:r>
      <w:r w:rsidRPr="008A4DC6">
        <w:rPr>
          <w:rFonts w:ascii="Times New Roman" w:hAnsi="Times New Roman"/>
          <w:sz w:val="20"/>
        </w:rPr>
        <w:t xml:space="preserve"> Ibid</w:t>
      </w:r>
    </w:p>
  </w:footnote>
  <w:footnote w:id="51">
    <w:p w14:paraId="6F3A7692" w14:textId="77777777" w:rsidR="00851C01" w:rsidRPr="008A4DC6" w:rsidRDefault="00851C01" w:rsidP="007036DE">
      <w:pPr>
        <w:pStyle w:val="FootnoteText"/>
        <w:rPr>
          <w:rFonts w:ascii="Times New Roman" w:hAnsi="Times New Roman"/>
          <w:sz w:val="20"/>
        </w:rPr>
      </w:pPr>
      <w:r w:rsidRPr="008A4DC6">
        <w:rPr>
          <w:rStyle w:val="FootnoteReference"/>
          <w:rFonts w:ascii="Times New Roman" w:hAnsi="Times New Roman"/>
          <w:sz w:val="20"/>
        </w:rPr>
        <w:footnoteRef/>
      </w:r>
      <w:r w:rsidRPr="008A4DC6">
        <w:rPr>
          <w:rFonts w:ascii="Times New Roman" w:hAnsi="Times New Roman"/>
          <w:sz w:val="20"/>
        </w:rPr>
        <w:t xml:space="preserve"> Ibid</w:t>
      </w:r>
    </w:p>
  </w:footnote>
  <w:footnote w:id="52">
    <w:p w14:paraId="30E3A34B" w14:textId="77777777" w:rsidR="00851C01" w:rsidRPr="008A4DC6" w:rsidRDefault="00851C01" w:rsidP="007036DE">
      <w:pPr>
        <w:pStyle w:val="FootnoteText"/>
        <w:rPr>
          <w:rFonts w:ascii="Times New Roman" w:hAnsi="Times New Roman"/>
          <w:sz w:val="20"/>
        </w:rPr>
      </w:pPr>
      <w:r w:rsidRPr="008A4DC6">
        <w:rPr>
          <w:rStyle w:val="FootnoteReference"/>
          <w:rFonts w:ascii="Times New Roman" w:hAnsi="Times New Roman"/>
          <w:sz w:val="20"/>
        </w:rPr>
        <w:footnoteRef/>
      </w:r>
      <w:r w:rsidRPr="008A4DC6">
        <w:rPr>
          <w:rFonts w:ascii="Times New Roman" w:hAnsi="Times New Roman"/>
          <w:sz w:val="20"/>
        </w:rPr>
        <w:t xml:space="preserve"> Ibid</w:t>
      </w:r>
    </w:p>
  </w:footnote>
  <w:footnote w:id="53">
    <w:p w14:paraId="27FC4F96" w14:textId="77777777" w:rsidR="00851C01" w:rsidRPr="008A4DC6" w:rsidRDefault="00851C01" w:rsidP="007036DE">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In this section, “you” refers to a DR2 participant.</w:t>
      </w:r>
    </w:p>
  </w:footnote>
  <w:footnote w:id="54">
    <w:p w14:paraId="1585F115" w14:textId="77777777" w:rsidR="00851C01" w:rsidRPr="008A4DC6" w:rsidRDefault="00851C01" w:rsidP="007036DE">
      <w:pPr>
        <w:autoSpaceDE w:val="0"/>
        <w:autoSpaceDN w:val="0"/>
        <w:adjustRightInd w:val="0"/>
        <w:spacing w:after="0"/>
        <w:rPr>
          <w:sz w:val="20"/>
          <w:lang w:val="en-CA"/>
        </w:rPr>
      </w:pPr>
      <w:r w:rsidRPr="008A4DC6">
        <w:rPr>
          <w:rStyle w:val="FootnoteReference"/>
          <w:sz w:val="20"/>
        </w:rPr>
        <w:footnoteRef/>
      </w:r>
      <w:r w:rsidRPr="008A4DC6">
        <w:rPr>
          <w:sz w:val="20"/>
        </w:rPr>
        <w:t xml:space="preserve"> </w:t>
      </w:r>
      <w:r w:rsidRPr="008A4DC6">
        <w:rPr>
          <w:bCs/>
          <w:iCs/>
          <w:sz w:val="20"/>
          <w:lang w:val="en-CA"/>
        </w:rPr>
        <w:t xml:space="preserve">EPT </w:t>
      </w:r>
      <w:r w:rsidRPr="008A4DC6">
        <w:rPr>
          <w:sz w:val="20"/>
          <w:lang w:val="en-CA"/>
        </w:rPr>
        <w:t>means Eastern Prevailing Time, being either Eastern Standard Time or Eastern Daylight Savings Time, as in effect from time to time.</w:t>
      </w:r>
    </w:p>
  </w:footnote>
  <w:footnote w:id="55">
    <w:p w14:paraId="4E7E5FF6" w14:textId="77777777" w:rsidR="00851C01" w:rsidRPr="008A4DC6" w:rsidRDefault="00851C01" w:rsidP="007036DE">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Refer to “IESO Charge Types and Equations” and “File Format Specification for Settlement Statement Files and Data Files” located on the Technical Interfaces page of the IESO Web site for details of these </w:t>
      </w:r>
      <w:r w:rsidRPr="008A4DC6">
        <w:rPr>
          <w:rFonts w:ascii="Times New Roman" w:hAnsi="Times New Roman"/>
          <w:i/>
          <w:sz w:val="20"/>
        </w:rPr>
        <w:t>charge types</w:t>
      </w:r>
      <w:r w:rsidRPr="008A4DC6">
        <w:rPr>
          <w:rFonts w:ascii="Times New Roman" w:hAnsi="Times New Roman"/>
          <w:sz w:val="20"/>
        </w:rPr>
        <w:t>.</w:t>
      </w:r>
    </w:p>
  </w:footnote>
  <w:footnote w:id="56">
    <w:p w14:paraId="61343615" w14:textId="77777777" w:rsidR="00851C01" w:rsidRPr="008A4DC6" w:rsidRDefault="00851C01" w:rsidP="007036DE">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Ibid</w:t>
      </w:r>
    </w:p>
  </w:footnote>
  <w:footnote w:id="57">
    <w:p w14:paraId="2B0BBC0A" w14:textId="77777777" w:rsidR="00851C01" w:rsidRPr="008A4DC6" w:rsidRDefault="00851C01" w:rsidP="007036DE">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Ibid</w:t>
      </w:r>
    </w:p>
  </w:footnote>
  <w:footnote w:id="58">
    <w:p w14:paraId="7C39A17F" w14:textId="77777777" w:rsidR="00851C01" w:rsidRPr="008A4DC6" w:rsidRDefault="00851C01" w:rsidP="00A97391">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 xml:space="preserve">We use the value for </w:t>
      </w:r>
      <w:r w:rsidRPr="008A4DC6">
        <w:rPr>
          <w:rFonts w:ascii="Times New Roman" w:hAnsi="Times New Roman"/>
          <w:i/>
          <w:sz w:val="20"/>
          <w:lang w:val="en-CA"/>
        </w:rPr>
        <w:t xml:space="preserve">minimum loading point </w:t>
      </w:r>
      <w:r w:rsidRPr="008A4DC6">
        <w:rPr>
          <w:rFonts w:ascii="Times New Roman" w:hAnsi="Times New Roman"/>
          <w:sz w:val="20"/>
          <w:lang w:val="en-CA"/>
        </w:rPr>
        <w:t xml:space="preserve">that is in our Market Entry database corresponding to the </w:t>
      </w:r>
      <w:r w:rsidRPr="008A4DC6">
        <w:rPr>
          <w:rFonts w:ascii="Times New Roman" w:hAnsi="Times New Roman"/>
          <w:i/>
          <w:sz w:val="20"/>
          <w:lang w:val="en-CA"/>
        </w:rPr>
        <w:t>start-up time.</w:t>
      </w:r>
    </w:p>
  </w:footnote>
  <w:footnote w:id="59">
    <w:p w14:paraId="49F58B7C" w14:textId="77777777" w:rsidR="00851C01" w:rsidRPr="008A4DC6" w:rsidRDefault="00851C01" w:rsidP="00A97391">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Ibid</w:t>
      </w:r>
    </w:p>
  </w:footnote>
  <w:footnote w:id="60">
    <w:p w14:paraId="6BF4E1BF" w14:textId="77777777" w:rsidR="00851C01" w:rsidRPr="008A4DC6" w:rsidRDefault="00851C01" w:rsidP="00E25DF6">
      <w:pPr>
        <w:pStyle w:val="FootnoteText"/>
        <w:rPr>
          <w:rFonts w:ascii="Times New Roman" w:hAnsi="Times New Roman"/>
          <w:sz w:val="20"/>
        </w:rPr>
      </w:pPr>
      <w:r w:rsidRPr="008A4DC6">
        <w:rPr>
          <w:rStyle w:val="FootnoteReference"/>
          <w:rFonts w:ascii="Times New Roman" w:hAnsi="Times New Roman"/>
          <w:sz w:val="20"/>
        </w:rPr>
        <w:footnoteRef/>
      </w:r>
      <w:r w:rsidRPr="008A4DC6">
        <w:rPr>
          <w:rFonts w:ascii="Times New Roman" w:hAnsi="Times New Roman"/>
          <w:sz w:val="20"/>
        </w:rPr>
        <w:t xml:space="preserve"> A unit sub-meter provider is a person licensed by the </w:t>
      </w:r>
      <w:r w:rsidRPr="008A4DC6">
        <w:rPr>
          <w:rFonts w:ascii="Times New Roman" w:hAnsi="Times New Roman"/>
          <w:i/>
          <w:sz w:val="20"/>
        </w:rPr>
        <w:t>OEB</w:t>
      </w:r>
      <w:r w:rsidRPr="008A4DC6">
        <w:rPr>
          <w:rFonts w:ascii="Times New Roman" w:hAnsi="Times New Roman"/>
          <w:sz w:val="20"/>
        </w:rPr>
        <w:t xml:space="preserve"> to engage in unit sub-metering, being activities in relation to unit sub-meters in multi-unit complexes.  Unit sub-meter means a unit meter that is installed by a unit sub-meter provider in a unit of a multi-unit complex where the multi-unit complex is connected to a bulk meter.</w:t>
      </w:r>
    </w:p>
  </w:footnote>
  <w:footnote w:id="61">
    <w:p w14:paraId="2C854417" w14:textId="77777777" w:rsidR="00851C01" w:rsidRPr="008A4DC6" w:rsidRDefault="00851C01" w:rsidP="00EA2603">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Refer to Market Manual 5.2 Metering Data Processing for details on the meter data collection application.</w:t>
      </w:r>
    </w:p>
  </w:footnote>
  <w:footnote w:id="62">
    <w:p w14:paraId="0F91E8D2" w14:textId="77777777" w:rsidR="00851C01" w:rsidRPr="008A4DC6" w:rsidRDefault="00851C01" w:rsidP="00EA2603">
      <w:pPr>
        <w:pStyle w:val="FootnoteText"/>
        <w:rPr>
          <w:rFonts w:ascii="Times New Roman" w:hAnsi="Times New Roman"/>
          <w:sz w:val="20"/>
        </w:rPr>
      </w:pPr>
      <w:r w:rsidRPr="008A4DC6">
        <w:rPr>
          <w:rStyle w:val="FootnoteReference"/>
          <w:rFonts w:ascii="Times New Roman" w:hAnsi="Times New Roman"/>
          <w:sz w:val="20"/>
        </w:rPr>
        <w:footnoteRef/>
      </w:r>
      <w:r w:rsidRPr="008A4DC6">
        <w:rPr>
          <w:rFonts w:ascii="Times New Roman" w:hAnsi="Times New Roman"/>
          <w:sz w:val="20"/>
        </w:rPr>
        <w:t xml:space="preserve"> See Section 1.3.8 of Operations Market Manual 4.2 for details on how not fully available for Curtailment is determined. </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C2A450" w14:textId="77777777" w:rsidR="00851C01" w:rsidRDefault="00851C01">
    <w:pPr>
      <w:pStyle w:val="Header"/>
      <w:pBdr>
        <w:bottom w:val="none" w:sz="0" w:space="0" w:color="auto"/>
      </w:pBdr>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DD603A" w14:textId="5C330BE1" w:rsidR="00851C01" w:rsidRDefault="005C5CD4" w:rsidP="00A10F44">
    <w:pPr>
      <w:pStyle w:val="Header"/>
    </w:pPr>
    <w:r>
      <w:fldChar w:fldCharType="begin"/>
    </w:r>
    <w:r>
      <w:instrText>TITLE   \* MERGEFORMAT</w:instrText>
    </w:r>
    <w:r>
      <w:fldChar w:fldCharType="separate"/>
    </w:r>
    <w:r w:rsidR="00851C01">
      <w:t>Part 5.5: Physical Markets Settlement Statements</w:t>
    </w:r>
    <w:r>
      <w:fldChar w:fldCharType="end"/>
    </w:r>
    <w:r w:rsidR="00851C01">
      <w:t>.</w:t>
    </w:r>
    <w:r w:rsidR="00851C01">
      <w:tab/>
    </w:r>
    <w:r w:rsidR="00851C01">
      <w:rPr>
        <w:noProof/>
      </w:rPr>
      <w:fldChar w:fldCharType="begin"/>
    </w:r>
    <w:r w:rsidR="00851C01">
      <w:rPr>
        <w:noProof/>
      </w:rPr>
      <w:instrText xml:space="preserve"> STYLEREF  "Heading 1,h1"  \* MERGEFORMAT </w:instrText>
    </w:r>
    <w:r w:rsidR="00851C01">
      <w:rPr>
        <w:noProof/>
      </w:rPr>
      <w:fldChar w:fldCharType="separate"/>
    </w:r>
    <w:r w:rsidR="00851C01">
      <w:rPr>
        <w:noProof/>
      </w:rPr>
      <w:t>Introduction</w:t>
    </w:r>
    <w:r w:rsidR="00851C01">
      <w:rPr>
        <w:noProof/>
      </w:rPr>
      <w:fldChar w:fldCharType="end"/>
    </w: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01EE6D" w14:textId="2331241C" w:rsidR="00851C01" w:rsidRDefault="005C5CD4" w:rsidP="00642744">
    <w:pPr>
      <w:pStyle w:val="Header"/>
    </w:pPr>
    <w:r>
      <w:fldChar w:fldCharType="begin"/>
    </w:r>
    <w:r>
      <w:instrText>TITLE  \* MERGEFORMAT</w:instrText>
    </w:r>
    <w:r>
      <w:fldChar w:fldCharType="separate"/>
    </w:r>
    <w:r w:rsidR="00851C01">
      <w:t>Part 5.5: Physical Markets Settlement Statements</w:t>
    </w:r>
    <w:r>
      <w:fldChar w:fldCharType="end"/>
    </w:r>
    <w:r w:rsidR="00851C01" w:rsidRPr="009A53F0">
      <w:tab/>
    </w:r>
    <w:r w:rsidR="00851C01">
      <w:rPr>
        <w:noProof/>
      </w:rPr>
      <w:fldChar w:fldCharType="begin"/>
    </w:r>
    <w:r w:rsidR="00851C01">
      <w:rPr>
        <w:noProof/>
      </w:rPr>
      <w:instrText xml:space="preserve"> STYLEREF  "Heading 1,h1" \n  \* MERGEFORMAT </w:instrText>
    </w:r>
    <w:r w:rsidR="00851C01">
      <w:rPr>
        <w:noProof/>
      </w:rPr>
      <w:fldChar w:fldCharType="separate"/>
    </w:r>
    <w:r>
      <w:rPr>
        <w:noProof/>
      </w:rPr>
      <w:t>1</w:t>
    </w:r>
    <w:r w:rsidR="00851C01">
      <w:rPr>
        <w:noProof/>
      </w:rPr>
      <w:fldChar w:fldCharType="end"/>
    </w:r>
    <w:r w:rsidR="00851C01">
      <w:t xml:space="preserve">. </w:t>
    </w:r>
    <w:r w:rsidR="00851C01">
      <w:rPr>
        <w:noProof/>
      </w:rPr>
      <w:fldChar w:fldCharType="begin"/>
    </w:r>
    <w:r w:rsidR="00851C01">
      <w:rPr>
        <w:noProof/>
      </w:rPr>
      <w:instrText xml:space="preserve"> STYLEREF  "Heading 1,h1"  \* MERGEFORMAT </w:instrText>
    </w:r>
    <w:r w:rsidR="00851C01">
      <w:rPr>
        <w:noProof/>
      </w:rPr>
      <w:fldChar w:fldCharType="separate"/>
    </w:r>
    <w:r>
      <w:rPr>
        <w:noProof/>
      </w:rPr>
      <w:t>Introduction</w:t>
    </w:r>
    <w:r w:rsidR="00851C01">
      <w:rPr>
        <w:noProof/>
      </w:rPr>
      <w:fldChar w:fldCharType="end"/>
    </w: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84921F" w14:textId="0AE83399" w:rsidR="00851C01" w:rsidRDefault="005C5CD4">
    <w:pPr>
      <w:pStyle w:val="Header"/>
    </w:pPr>
    <w:r>
      <w:fldChar w:fldCharType="begin"/>
    </w:r>
    <w:r>
      <w:instrText>TITLE   \* MERGEFORMAT</w:instrText>
    </w:r>
    <w:r>
      <w:fldChar w:fldCharType="separate"/>
    </w:r>
    <w:r w:rsidR="00851C01">
      <w:t>Part 5.5: Physical Markets Settlement Statements</w:t>
    </w:r>
    <w:r>
      <w:fldChar w:fldCharType="end"/>
    </w:r>
    <w:r w:rsidR="00851C01">
      <w:tab/>
    </w:r>
    <w:r w:rsidR="00851C01">
      <w:rPr>
        <w:noProof/>
      </w:rPr>
      <w:fldChar w:fldCharType="begin"/>
    </w:r>
    <w:r w:rsidR="00851C01">
      <w:rPr>
        <w:noProof/>
      </w:rPr>
      <w:instrText xml:space="preserve"> STYLEREF  "Heading 1,h1"  \* MERGEFORMAT </w:instrText>
    </w:r>
    <w:r w:rsidR="00851C01">
      <w:rPr>
        <w:noProof/>
      </w:rPr>
      <w:fldChar w:fldCharType="separate"/>
    </w:r>
    <w:r w:rsidR="00851C01">
      <w:rPr>
        <w:noProof/>
      </w:rPr>
      <w:t>Introduction</w:t>
    </w:r>
    <w:r w:rsidR="00851C01">
      <w:rPr>
        <w:noProof/>
      </w:rPr>
      <w:fldChar w:fldCharType="end"/>
    </w: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67BF98" w14:textId="2ACCF225" w:rsidR="00851C01" w:rsidRDefault="005C5CD4">
    <w:pPr>
      <w:pStyle w:val="Header"/>
    </w:pPr>
    <w:r>
      <w:fldChar w:fldCharType="begin"/>
    </w:r>
    <w:r>
      <w:instrText>TITLE  \* MERGEFORMAT</w:instrText>
    </w:r>
    <w:r>
      <w:fldChar w:fldCharType="separate"/>
    </w:r>
    <w:r w:rsidR="00851C01">
      <w:t>Part 5.5: Physical Markets Settlement Statements</w:t>
    </w:r>
    <w:r>
      <w:fldChar w:fldCharType="end"/>
    </w:r>
    <w:r w:rsidR="00851C01" w:rsidRPr="009A53F0">
      <w:tab/>
    </w:r>
    <w:r w:rsidR="00851C01">
      <w:rPr>
        <w:noProof/>
      </w:rPr>
      <w:fldChar w:fldCharType="begin"/>
    </w:r>
    <w:r w:rsidR="00851C01">
      <w:rPr>
        <w:noProof/>
      </w:rPr>
      <w:instrText xml:space="preserve"> STYLEREF  "Heading 1,h1" \n  \* MERGEFORMAT </w:instrText>
    </w:r>
    <w:r w:rsidR="00851C01">
      <w:rPr>
        <w:noProof/>
      </w:rPr>
      <w:fldChar w:fldCharType="separate"/>
    </w:r>
    <w:r>
      <w:rPr>
        <w:noProof/>
      </w:rPr>
      <w:t>1</w:t>
    </w:r>
    <w:r w:rsidR="00851C01">
      <w:rPr>
        <w:noProof/>
      </w:rPr>
      <w:fldChar w:fldCharType="end"/>
    </w:r>
    <w:r w:rsidR="00851C01">
      <w:t xml:space="preserve">. </w:t>
    </w:r>
    <w:r w:rsidR="00851C01">
      <w:rPr>
        <w:noProof/>
      </w:rPr>
      <w:fldChar w:fldCharType="begin"/>
    </w:r>
    <w:r w:rsidR="00851C01">
      <w:rPr>
        <w:noProof/>
      </w:rPr>
      <w:instrText xml:space="preserve"> STYLEREF  "Heading 1,h1"  \* MERGEFORMAT </w:instrText>
    </w:r>
    <w:r w:rsidR="00851C01">
      <w:rPr>
        <w:noProof/>
      </w:rPr>
      <w:fldChar w:fldCharType="separate"/>
    </w:r>
    <w:r>
      <w:rPr>
        <w:noProof/>
      </w:rPr>
      <w:t>Introduction</w:t>
    </w:r>
    <w:r w:rsidR="00851C01">
      <w:rPr>
        <w:noProof/>
      </w:rPr>
      <w:fldChar w:fldCharType="end"/>
    </w: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16FC72" w14:textId="269E68ED" w:rsidR="00851C01" w:rsidRDefault="00851C01" w:rsidP="006E74FD">
    <w:pPr>
      <w:pStyle w:val="Header"/>
      <w:pBdr>
        <w:bottom w:val="single" w:sz="8" w:space="0" w:color="auto"/>
      </w:pBdr>
      <w:tabs>
        <w:tab w:val="clear" w:pos="9540"/>
        <w:tab w:val="right" w:pos="9720"/>
      </w:tabs>
      <w:ind w:right="-720"/>
    </w:pPr>
    <w:r>
      <w:rPr>
        <w:noProof/>
      </w:rPr>
      <w:fldChar w:fldCharType="begin"/>
    </w:r>
    <w:r>
      <w:rPr>
        <w:noProof/>
      </w:rPr>
      <w:instrText xml:space="preserve"> STYLEREF  "Heading 1,h1" \n  \* MERGEFORMAT </w:instrText>
    </w:r>
    <w:r>
      <w:rPr>
        <w:noProof/>
      </w:rPr>
      <w:fldChar w:fldCharType="separate"/>
    </w:r>
    <w:r>
      <w:rPr>
        <w:noProof/>
      </w:rPr>
      <w:t>1</w:t>
    </w:r>
    <w:r>
      <w:rPr>
        <w:noProof/>
      </w:rPr>
      <w:fldChar w:fldCharType="end"/>
    </w:r>
    <w:r>
      <w:t xml:space="preserve">. </w:t>
    </w:r>
    <w:r>
      <w:rPr>
        <w:noProof/>
      </w:rPr>
      <w:fldChar w:fldCharType="begin"/>
    </w:r>
    <w:r>
      <w:rPr>
        <w:noProof/>
      </w:rPr>
      <w:instrText xml:space="preserve"> STYLEREF  "Heading 1,h1"  \* MERGEFORMAT </w:instrText>
    </w:r>
    <w:r>
      <w:rPr>
        <w:noProof/>
      </w:rPr>
      <w:fldChar w:fldCharType="separate"/>
    </w:r>
    <w:r>
      <w:rPr>
        <w:noProof/>
      </w:rPr>
      <w:t>Introduction</w:t>
    </w:r>
    <w:r>
      <w:rPr>
        <w:noProof/>
      </w:rPr>
      <w:fldChar w:fldCharType="end"/>
    </w:r>
    <w:r>
      <w:tab/>
    </w:r>
    <w:r w:rsidR="005C5CD4">
      <w:fldChar w:fldCharType="begin"/>
    </w:r>
    <w:r w:rsidR="005C5CD4">
      <w:instrText>KEYWORDS  \* MERGEFORMAT</w:instrText>
    </w:r>
    <w:r w:rsidR="005C5CD4">
      <w:fldChar w:fldCharType="separate"/>
    </w:r>
    <w:r>
      <w:t>MDP_PRO_0033</w:t>
    </w:r>
    <w:r w:rsidR="005C5CD4">
      <w:fldChar w:fldCharType="end"/>
    </w: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275C3C" w14:textId="1D5A6497" w:rsidR="00851C01" w:rsidRPr="009A53F0" w:rsidRDefault="005C5CD4" w:rsidP="006E74FD">
    <w:pPr>
      <w:pStyle w:val="Header"/>
      <w:tabs>
        <w:tab w:val="clear" w:pos="9540"/>
        <w:tab w:val="right" w:pos="9720"/>
      </w:tabs>
      <w:ind w:right="-720"/>
    </w:pPr>
    <w:r>
      <w:fldChar w:fldCharType="begin"/>
    </w:r>
    <w:r>
      <w:instrText>TITLE  \* MERGEFORMAT</w:instrText>
    </w:r>
    <w:r>
      <w:fldChar w:fldCharType="separate"/>
    </w:r>
    <w:r w:rsidR="00851C01">
      <w:t>Part 5.5: Physical Markets Settlement Statements</w:t>
    </w:r>
    <w:r>
      <w:fldChar w:fldCharType="end"/>
    </w:r>
    <w:r w:rsidR="00851C01" w:rsidRPr="009A53F0">
      <w:tab/>
    </w:r>
    <w:r w:rsidR="00851C01">
      <w:rPr>
        <w:noProof/>
      </w:rPr>
      <w:fldChar w:fldCharType="begin"/>
    </w:r>
    <w:r w:rsidR="00851C01">
      <w:rPr>
        <w:noProof/>
      </w:rPr>
      <w:instrText xml:space="preserve"> STYLEREF  "Heading 1,h1" \n  \* MERGEFORMAT </w:instrText>
    </w:r>
    <w:r w:rsidR="00851C01">
      <w:rPr>
        <w:noProof/>
      </w:rPr>
      <w:fldChar w:fldCharType="separate"/>
    </w:r>
    <w:r w:rsidR="004537B8">
      <w:rPr>
        <w:noProof/>
      </w:rPr>
      <w:t>2</w:t>
    </w:r>
    <w:r w:rsidR="00851C01">
      <w:rPr>
        <w:noProof/>
      </w:rPr>
      <w:fldChar w:fldCharType="end"/>
    </w:r>
    <w:r w:rsidR="00851C01">
      <w:t xml:space="preserve">. </w:t>
    </w:r>
    <w:r w:rsidR="00851C01">
      <w:rPr>
        <w:noProof/>
      </w:rPr>
      <w:fldChar w:fldCharType="begin"/>
    </w:r>
    <w:r w:rsidR="00851C01">
      <w:rPr>
        <w:noProof/>
      </w:rPr>
      <w:instrText xml:space="preserve"> STYLEREF  "Heading 1,h1"  \* MERGEFORMAT </w:instrText>
    </w:r>
    <w:r w:rsidR="00851C01">
      <w:rPr>
        <w:noProof/>
      </w:rPr>
      <w:fldChar w:fldCharType="separate"/>
    </w:r>
    <w:r w:rsidR="004537B8">
      <w:rPr>
        <w:noProof/>
      </w:rPr>
      <w:t>Procedural Work Flow</w:t>
    </w:r>
    <w:r w:rsidR="00851C01">
      <w:rPr>
        <w:noProof/>
      </w:rPr>
      <w:fldChar w:fldCharType="end"/>
    </w: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79CA91" w14:textId="596C9F53" w:rsidR="00851C01" w:rsidRDefault="00851C01" w:rsidP="006E74FD">
    <w:pPr>
      <w:pStyle w:val="HeaderLandscape"/>
      <w:tabs>
        <w:tab w:val="right" w:pos="9720"/>
      </w:tabs>
    </w:pPr>
    <w:r>
      <w:rPr>
        <w:noProof/>
      </w:rPr>
      <w:fldChar w:fldCharType="begin"/>
    </w:r>
    <w:r>
      <w:rPr>
        <w:noProof/>
      </w:rPr>
      <w:instrText xml:space="preserve"> STYLEREF  "Heading 1,h1" \n  \* MERGEFORMAT </w:instrText>
    </w:r>
    <w:r>
      <w:rPr>
        <w:noProof/>
      </w:rPr>
      <w:fldChar w:fldCharType="separate"/>
    </w:r>
    <w:r>
      <w:rPr>
        <w:noProof/>
      </w:rPr>
      <w:t>2</w:t>
    </w:r>
    <w:r>
      <w:rPr>
        <w:noProof/>
      </w:rPr>
      <w:fldChar w:fldCharType="end"/>
    </w:r>
    <w:r>
      <w:t xml:space="preserve">. </w:t>
    </w:r>
    <w:r>
      <w:rPr>
        <w:noProof/>
      </w:rPr>
      <w:fldChar w:fldCharType="begin"/>
    </w:r>
    <w:r>
      <w:rPr>
        <w:noProof/>
      </w:rPr>
      <w:instrText xml:space="preserve"> STYLEREF  "Heading 1,h1"  \* MERGEFORMAT </w:instrText>
    </w:r>
    <w:r>
      <w:rPr>
        <w:noProof/>
      </w:rPr>
      <w:fldChar w:fldCharType="separate"/>
    </w:r>
    <w:r>
      <w:rPr>
        <w:noProof/>
      </w:rPr>
      <w:t>Procedural Work Flow</w:t>
    </w:r>
    <w:r>
      <w:rPr>
        <w:noProof/>
      </w:rPr>
      <w:fldChar w:fldCharType="end"/>
    </w:r>
    <w:r>
      <w:tab/>
    </w:r>
    <w:r w:rsidR="005C5CD4">
      <w:fldChar w:fldCharType="begin"/>
    </w:r>
    <w:r w:rsidR="005C5CD4">
      <w:instrText>KEYWORDS  \* MERGEFORMAT</w:instrText>
    </w:r>
    <w:r w:rsidR="005C5CD4">
      <w:fldChar w:fldCharType="separate"/>
    </w:r>
    <w:r>
      <w:t>MDP_PRO_0033</w:t>
    </w:r>
    <w:r w:rsidR="005C5CD4">
      <w:fldChar w:fldCharType="end"/>
    </w: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B383B1" w14:textId="215A3873" w:rsidR="00851C01" w:rsidRDefault="005C5CD4" w:rsidP="00D26199">
    <w:pPr>
      <w:pStyle w:val="Header"/>
    </w:pPr>
    <w:r>
      <w:fldChar w:fldCharType="begin"/>
    </w:r>
    <w:r>
      <w:instrText>TITLE  \* MERGEFORMAT</w:instrText>
    </w:r>
    <w:r>
      <w:fldChar w:fldCharType="separate"/>
    </w:r>
    <w:r w:rsidR="00851C01">
      <w:t>Part 5.5: Physical Markets Settlement Statements</w:t>
    </w:r>
    <w:r>
      <w:fldChar w:fldCharType="end"/>
    </w:r>
    <w:r w:rsidR="00851C01">
      <w:tab/>
    </w:r>
    <w:r w:rsidR="00851C01">
      <w:rPr>
        <w:noProof/>
      </w:rPr>
      <w:fldChar w:fldCharType="begin"/>
    </w:r>
    <w:r w:rsidR="00851C01">
      <w:rPr>
        <w:noProof/>
      </w:rPr>
      <w:instrText xml:space="preserve"> STYLEREF \w "Heading 1" \* MERGEFORMAT </w:instrText>
    </w:r>
    <w:r w:rsidR="00851C01">
      <w:rPr>
        <w:noProof/>
      </w:rPr>
      <w:fldChar w:fldCharType="separate"/>
    </w:r>
    <w:r w:rsidR="004537B8">
      <w:rPr>
        <w:noProof/>
      </w:rPr>
      <w:t>2</w:t>
    </w:r>
    <w:r w:rsidR="00851C01">
      <w:rPr>
        <w:noProof/>
      </w:rPr>
      <w:fldChar w:fldCharType="end"/>
    </w:r>
    <w:r w:rsidR="00851C01" w:rsidRPr="009A53F0">
      <w:t>.</w:t>
    </w:r>
    <w:r w:rsidR="00851C01">
      <w:t xml:space="preserve"> Procedural Steps</w:t>
    </w: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C8FD7B" w14:textId="77777777" w:rsidR="00851C01" w:rsidRDefault="00851C01" w:rsidP="003A5361">
    <w:pPr>
      <w:pStyle w:val="HeaderLandscape"/>
    </w:pPr>
    <w:r>
      <w:rPr>
        <w:noProof/>
      </w:rPr>
      <w:fldChar w:fldCharType="begin"/>
    </w:r>
    <w:r>
      <w:rPr>
        <w:noProof/>
      </w:rPr>
      <w:instrText xml:space="preserve"> STYLEREF  "Heading 1,h1" \n  \* MERGEFORMAT </w:instrText>
    </w:r>
    <w:r>
      <w:rPr>
        <w:noProof/>
      </w:rPr>
      <w:fldChar w:fldCharType="separate"/>
    </w:r>
    <w:r>
      <w:rPr>
        <w:noProof/>
      </w:rPr>
      <w:t>3</w:t>
    </w:r>
    <w:r>
      <w:rPr>
        <w:noProof/>
      </w:rPr>
      <w:fldChar w:fldCharType="end"/>
    </w:r>
    <w:r>
      <w:t xml:space="preserve">. </w:t>
    </w:r>
    <w:r>
      <w:rPr>
        <w:noProof/>
      </w:rPr>
      <w:fldChar w:fldCharType="begin"/>
    </w:r>
    <w:r>
      <w:rPr>
        <w:noProof/>
      </w:rPr>
      <w:instrText xml:space="preserve"> STYLEREF  "Heading 1,h1"  \* MERGEFORMAT </w:instrText>
    </w:r>
    <w:r>
      <w:rPr>
        <w:noProof/>
      </w:rPr>
      <w:fldChar w:fldCharType="separate"/>
    </w:r>
    <w:r>
      <w:rPr>
        <w:noProof/>
      </w:rPr>
      <w:t>Procedural Steps</w:t>
    </w:r>
    <w:r>
      <w:rPr>
        <w:noProof/>
      </w:rPr>
      <w:fldChar w:fldCharType="end"/>
    </w:r>
    <w:r>
      <w:tab/>
    </w:r>
    <w:r w:rsidR="005C5CD4">
      <w:fldChar w:fldCharType="begin"/>
    </w:r>
    <w:r w:rsidR="005C5CD4">
      <w:instrText>KEYWORDS  \* MERGEFORMAT</w:instrText>
    </w:r>
    <w:r w:rsidR="005C5CD4">
      <w:fldChar w:fldCharType="separate"/>
    </w:r>
    <w:r>
      <w:t>MDP_PRO_0033</w:t>
    </w:r>
    <w:r w:rsidR="005C5CD4">
      <w:fldChar w:fldCharType="end"/>
    </w: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67B12C" w14:textId="5B3BA72D" w:rsidR="00851C01" w:rsidRDefault="005C5CD4" w:rsidP="003A5361">
    <w:pPr>
      <w:pStyle w:val="HeaderLandscape"/>
    </w:pPr>
    <w:r>
      <w:fldChar w:fldCharType="begin"/>
    </w:r>
    <w:r>
      <w:instrText>TITLE  \* MERGEFORMAT</w:instrText>
    </w:r>
    <w:r>
      <w:fldChar w:fldCharType="separate"/>
    </w:r>
    <w:r w:rsidR="00851C01">
      <w:t>Part 5.5: Physical Markets Settlement Statements</w:t>
    </w:r>
    <w:r>
      <w:fldChar w:fldCharType="end"/>
    </w:r>
    <w:r w:rsidR="00851C01">
      <w:tab/>
    </w:r>
    <w:r w:rsidR="00851C01">
      <w:rPr>
        <w:noProof/>
      </w:rPr>
      <w:fldChar w:fldCharType="begin"/>
    </w:r>
    <w:r w:rsidR="00851C01">
      <w:rPr>
        <w:noProof/>
      </w:rPr>
      <w:instrText xml:space="preserve"> STYLEREF  "Heading 1,h1" \n  \* MERGEFORMAT </w:instrText>
    </w:r>
    <w:r w:rsidR="00851C01">
      <w:rPr>
        <w:noProof/>
      </w:rPr>
      <w:fldChar w:fldCharType="separate"/>
    </w:r>
    <w:r w:rsidR="004537B8">
      <w:rPr>
        <w:noProof/>
      </w:rPr>
      <w:t>3</w:t>
    </w:r>
    <w:r w:rsidR="00851C01">
      <w:rPr>
        <w:noProof/>
      </w:rPr>
      <w:fldChar w:fldCharType="end"/>
    </w:r>
    <w:r w:rsidR="00851C01">
      <w:t xml:space="preserve">. </w:t>
    </w:r>
    <w:r w:rsidR="00851C01">
      <w:rPr>
        <w:noProof/>
      </w:rPr>
      <w:fldChar w:fldCharType="begin"/>
    </w:r>
    <w:r w:rsidR="00851C01">
      <w:rPr>
        <w:noProof/>
      </w:rPr>
      <w:instrText xml:space="preserve"> STYLEREF  "Heading 1,h1"  \* MERGEFORMAT </w:instrText>
    </w:r>
    <w:r w:rsidR="00851C01">
      <w:rPr>
        <w:noProof/>
      </w:rPr>
      <w:fldChar w:fldCharType="separate"/>
    </w:r>
    <w:r w:rsidR="004537B8">
      <w:rPr>
        <w:noProof/>
      </w:rPr>
      <w:t>Procedural Steps</w:t>
    </w:r>
    <w:r w:rsidR="00851C01">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749152" w14:textId="77777777" w:rsidR="00851C01" w:rsidRDefault="00851C01" w:rsidP="000B29A5">
    <w:pPr>
      <w:pStyle w:val="Header"/>
      <w:pBdr>
        <w:bottom w:val="none" w:sz="0" w:space="0" w:color="auto"/>
      </w:pBdr>
    </w:pPr>
    <w:r>
      <w:tab/>
    </w: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32FD06" w14:textId="0B3886B0" w:rsidR="00851C01" w:rsidRDefault="00851C01" w:rsidP="006E74FD">
    <w:pPr>
      <w:pStyle w:val="Header"/>
      <w:tabs>
        <w:tab w:val="clear" w:pos="9540"/>
        <w:tab w:val="right" w:pos="9720"/>
      </w:tabs>
      <w:ind w:right="-720"/>
    </w:pPr>
    <w:r>
      <w:rPr>
        <w:noProof/>
      </w:rPr>
      <w:fldChar w:fldCharType="begin"/>
    </w:r>
    <w:r>
      <w:rPr>
        <w:noProof/>
      </w:rPr>
      <w:instrText xml:space="preserve"> STYLEREF \n "Heading 7" \* MERGEFORMAT </w:instrText>
    </w:r>
    <w:r>
      <w:rPr>
        <w:noProof/>
      </w:rPr>
      <w:fldChar w:fldCharType="separate"/>
    </w:r>
    <w:r>
      <w:rPr>
        <w:noProof/>
      </w:rPr>
      <w:t xml:space="preserve">Appendix A: </w:t>
    </w:r>
    <w:r>
      <w:rPr>
        <w:noProof/>
      </w:rPr>
      <w:fldChar w:fldCharType="end"/>
    </w:r>
    <w:r>
      <w:t xml:space="preserve"> </w:t>
    </w:r>
    <w:r>
      <w:rPr>
        <w:noProof/>
      </w:rPr>
      <w:fldChar w:fldCharType="begin"/>
    </w:r>
    <w:r>
      <w:rPr>
        <w:noProof/>
      </w:rPr>
      <w:instrText xml:space="preserve"> STYLEREF "Heading 7" \* MERGEFORMAT </w:instrText>
    </w:r>
    <w:r>
      <w:rPr>
        <w:noProof/>
      </w:rPr>
      <w:fldChar w:fldCharType="separate"/>
    </w:r>
    <w:r>
      <w:rPr>
        <w:noProof/>
      </w:rPr>
      <w:t>Forms</w:t>
    </w:r>
    <w:r>
      <w:rPr>
        <w:noProof/>
      </w:rPr>
      <w:fldChar w:fldCharType="end"/>
    </w:r>
    <w:r>
      <w:tab/>
    </w:r>
    <w:r w:rsidR="005C5CD4">
      <w:fldChar w:fldCharType="begin"/>
    </w:r>
    <w:r w:rsidR="005C5CD4">
      <w:instrText>KEYWORDS  \* MERGEFORMAT</w:instrText>
    </w:r>
    <w:r w:rsidR="005C5CD4">
      <w:fldChar w:fldCharType="separate"/>
    </w:r>
    <w:r>
      <w:t>MDP_PRO_0033</w:t>
    </w:r>
    <w:r w:rsidR="005C5CD4">
      <w:fldChar w:fldCharType="end"/>
    </w:r>
  </w:p>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5DCAFA" w14:textId="11D48B25" w:rsidR="00851C01" w:rsidRDefault="005C5CD4" w:rsidP="006E74FD">
    <w:pPr>
      <w:pStyle w:val="Header"/>
      <w:tabs>
        <w:tab w:val="clear" w:pos="9540"/>
        <w:tab w:val="right" w:pos="9720"/>
      </w:tabs>
      <w:ind w:right="-720"/>
    </w:pPr>
    <w:r>
      <w:fldChar w:fldCharType="begin"/>
    </w:r>
    <w:r>
      <w:instrText>TITLE  \* MERGEFORMAT</w:instrText>
    </w:r>
    <w:r>
      <w:fldChar w:fldCharType="separate"/>
    </w:r>
    <w:r w:rsidR="00851C01">
      <w:t>Part 5.5: Physical Markets Settlement Statements</w:t>
    </w:r>
    <w:r>
      <w:fldChar w:fldCharType="end"/>
    </w:r>
    <w:r w:rsidR="00851C01">
      <w:tab/>
    </w:r>
    <w:r w:rsidR="00851C01">
      <w:rPr>
        <w:noProof/>
      </w:rPr>
      <w:fldChar w:fldCharType="begin"/>
    </w:r>
    <w:r w:rsidR="00851C01">
      <w:rPr>
        <w:noProof/>
      </w:rPr>
      <w:instrText xml:space="preserve"> STYLEREF \n "Heading 7" \* MERGEFORMAT </w:instrText>
    </w:r>
    <w:r w:rsidR="00851C01">
      <w:rPr>
        <w:noProof/>
      </w:rPr>
      <w:fldChar w:fldCharType="separate"/>
    </w:r>
    <w:r w:rsidR="004537B8">
      <w:rPr>
        <w:noProof/>
      </w:rPr>
      <w:t xml:space="preserve">Appendix A: </w:t>
    </w:r>
    <w:r w:rsidR="00851C01">
      <w:rPr>
        <w:noProof/>
      </w:rPr>
      <w:fldChar w:fldCharType="end"/>
    </w:r>
    <w:r w:rsidR="00851C01">
      <w:t xml:space="preserve"> </w:t>
    </w:r>
    <w:r w:rsidR="00851C01">
      <w:rPr>
        <w:noProof/>
      </w:rPr>
      <w:fldChar w:fldCharType="begin"/>
    </w:r>
    <w:r w:rsidR="00851C01">
      <w:rPr>
        <w:noProof/>
      </w:rPr>
      <w:instrText xml:space="preserve"> STYLEREF "Heading 7" \* MERGEFORMAT </w:instrText>
    </w:r>
    <w:r w:rsidR="00851C01">
      <w:rPr>
        <w:noProof/>
      </w:rPr>
      <w:fldChar w:fldCharType="separate"/>
    </w:r>
    <w:r w:rsidR="004537B8">
      <w:rPr>
        <w:noProof/>
      </w:rPr>
      <w:t>Forms</w:t>
    </w:r>
    <w:r w:rsidR="00851C01">
      <w:rPr>
        <w:noProof/>
      </w:rPr>
      <w:fldChar w:fldCharType="end"/>
    </w:r>
  </w:p>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CEB3F8" w14:textId="3A18C42D" w:rsidR="00851C01" w:rsidRDefault="00851C01" w:rsidP="006E74FD">
    <w:pPr>
      <w:pStyle w:val="Header"/>
      <w:tabs>
        <w:tab w:val="clear" w:pos="9540"/>
        <w:tab w:val="right" w:pos="9720"/>
      </w:tabs>
      <w:ind w:right="-720"/>
    </w:pPr>
    <w:r>
      <w:rPr>
        <w:noProof/>
      </w:rPr>
      <w:fldChar w:fldCharType="begin"/>
    </w:r>
    <w:r>
      <w:rPr>
        <w:noProof/>
      </w:rPr>
      <w:instrText xml:space="preserve"> STYLEREF \n "Heading 7" \* MERGEFORMAT </w:instrText>
    </w:r>
    <w:r>
      <w:rPr>
        <w:noProof/>
      </w:rPr>
      <w:fldChar w:fldCharType="separate"/>
    </w:r>
    <w:r>
      <w:rPr>
        <w:noProof/>
      </w:rPr>
      <w:t xml:space="preserve">Appendix A: </w:t>
    </w:r>
    <w:r>
      <w:rPr>
        <w:noProof/>
      </w:rPr>
      <w:fldChar w:fldCharType="end"/>
    </w:r>
    <w:r>
      <w:t xml:space="preserve"> </w:t>
    </w:r>
    <w:r>
      <w:rPr>
        <w:noProof/>
      </w:rPr>
      <w:fldChar w:fldCharType="begin"/>
    </w:r>
    <w:r>
      <w:rPr>
        <w:noProof/>
      </w:rPr>
      <w:instrText xml:space="preserve"> STYLEREF "Heading 7" \* MERGEFORMAT </w:instrText>
    </w:r>
    <w:r>
      <w:rPr>
        <w:noProof/>
      </w:rPr>
      <w:fldChar w:fldCharType="separate"/>
    </w:r>
    <w:r>
      <w:rPr>
        <w:noProof/>
      </w:rPr>
      <w:t>Forms</w:t>
    </w:r>
    <w:r>
      <w:rPr>
        <w:noProof/>
      </w:rPr>
      <w:fldChar w:fldCharType="end"/>
    </w:r>
    <w:r>
      <w:tab/>
    </w:r>
    <w:r w:rsidR="005C5CD4">
      <w:fldChar w:fldCharType="begin"/>
    </w:r>
    <w:r w:rsidR="005C5CD4">
      <w:instrText>KEYWORDS  \* MERGEFORMAT</w:instrText>
    </w:r>
    <w:r w:rsidR="005C5CD4">
      <w:fldChar w:fldCharType="separate"/>
    </w:r>
    <w:r>
      <w:t>MDP_PRO_0033</w:t>
    </w:r>
    <w:r w:rsidR="005C5CD4">
      <w:fldChar w:fldCharType="end"/>
    </w:r>
  </w:p>
</w:hdr>
</file>

<file path=word/header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849EA6E" w14:textId="68DEE95F" w:rsidR="00851C01" w:rsidRDefault="005C5CD4" w:rsidP="006E74FD">
    <w:pPr>
      <w:pStyle w:val="Header"/>
      <w:tabs>
        <w:tab w:val="clear" w:pos="9540"/>
        <w:tab w:val="right" w:pos="9720"/>
      </w:tabs>
      <w:ind w:right="-720"/>
    </w:pPr>
    <w:r>
      <w:fldChar w:fldCharType="begin"/>
    </w:r>
    <w:r>
      <w:instrText>TITLE  \* MERGEFORMAT</w:instrText>
    </w:r>
    <w:r>
      <w:fldChar w:fldCharType="separate"/>
    </w:r>
    <w:r w:rsidR="00851C01">
      <w:t>Part 5.5: Physical Markets Settlement Statements</w:t>
    </w:r>
    <w:r>
      <w:fldChar w:fldCharType="end"/>
    </w:r>
    <w:r w:rsidR="00851C01">
      <w:tab/>
    </w:r>
    <w:r w:rsidR="00851C01">
      <w:rPr>
        <w:noProof/>
      </w:rPr>
      <w:fldChar w:fldCharType="begin"/>
    </w:r>
    <w:r w:rsidR="00851C01">
      <w:rPr>
        <w:noProof/>
      </w:rPr>
      <w:instrText xml:space="preserve"> STYLEREF \n "Heading 7" \* MERGEFORMAT </w:instrText>
    </w:r>
    <w:r w:rsidR="00851C01">
      <w:rPr>
        <w:noProof/>
      </w:rPr>
      <w:fldChar w:fldCharType="separate"/>
    </w:r>
    <w:r w:rsidR="004537B8">
      <w:rPr>
        <w:noProof/>
      </w:rPr>
      <w:t xml:space="preserve">Appendix B: </w:t>
    </w:r>
    <w:r w:rsidR="00851C01">
      <w:rPr>
        <w:noProof/>
      </w:rPr>
      <w:fldChar w:fldCharType="end"/>
    </w:r>
    <w:r w:rsidR="00851C01">
      <w:t xml:space="preserve"> </w:t>
    </w:r>
    <w:r w:rsidR="00851C01">
      <w:rPr>
        <w:noProof/>
      </w:rPr>
      <w:fldChar w:fldCharType="begin"/>
    </w:r>
    <w:r w:rsidR="00851C01">
      <w:rPr>
        <w:noProof/>
      </w:rPr>
      <w:instrText xml:space="preserve"> STYLEREF "Heading 7" \* MERGEFORMAT </w:instrText>
    </w:r>
    <w:r w:rsidR="00851C01">
      <w:rPr>
        <w:noProof/>
      </w:rPr>
      <w:fldChar w:fldCharType="separate"/>
    </w:r>
    <w:r w:rsidR="004537B8">
      <w:rPr>
        <w:noProof/>
      </w:rPr>
      <w:t>Online IESO Notice of Disagreement Form</w:t>
    </w:r>
    <w:r w:rsidR="00851C01">
      <w:rPr>
        <w:noProof/>
      </w:rPr>
      <w:fldChar w:fldCharType="end"/>
    </w:r>
  </w:p>
</w:hdr>
</file>

<file path=word/header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461EA3" w14:textId="5714F3A1" w:rsidR="00851C01" w:rsidRDefault="00851C01">
    <w:pPr>
      <w:pStyle w:val="Header"/>
      <w:pBdr>
        <w:bottom w:val="none" w:sz="0" w:space="0" w:color="auto"/>
      </w:pBdr>
      <w:tabs>
        <w:tab w:val="clear" w:pos="9540"/>
        <w:tab w:val="right" w:pos="9720"/>
      </w:tabs>
      <w:ind w:right="-720"/>
    </w:pPr>
    <w:r>
      <w:rPr>
        <w:noProof/>
      </w:rPr>
      <w:fldChar w:fldCharType="begin"/>
    </w:r>
    <w:r>
      <w:rPr>
        <w:noProof/>
      </w:rPr>
      <w:instrText xml:space="preserve"> STYLEREF \n "Heading 7" \* MERGEFORMAT </w:instrText>
    </w:r>
    <w:r>
      <w:rPr>
        <w:noProof/>
      </w:rPr>
      <w:fldChar w:fldCharType="separate"/>
    </w:r>
    <w:r>
      <w:rPr>
        <w:noProof/>
      </w:rPr>
      <w:t xml:space="preserve">Appendix B: </w:t>
    </w:r>
    <w:r>
      <w:rPr>
        <w:noProof/>
      </w:rPr>
      <w:fldChar w:fldCharType="end"/>
    </w:r>
    <w:r>
      <w:t xml:space="preserve"> </w:t>
    </w:r>
    <w:r>
      <w:rPr>
        <w:noProof/>
      </w:rPr>
      <w:fldChar w:fldCharType="begin"/>
    </w:r>
    <w:r>
      <w:rPr>
        <w:noProof/>
      </w:rPr>
      <w:instrText xml:space="preserve"> STYLEREF "Heading 7" \* MERGEFORMAT </w:instrText>
    </w:r>
    <w:r>
      <w:rPr>
        <w:noProof/>
      </w:rPr>
      <w:fldChar w:fldCharType="separate"/>
    </w:r>
    <w:r>
      <w:rPr>
        <w:noProof/>
      </w:rPr>
      <w:t>Online IESO Notice of Disagreement Form</w:t>
    </w:r>
    <w:r>
      <w:rPr>
        <w:noProof/>
      </w:rPr>
      <w:fldChar w:fldCharType="end"/>
    </w:r>
  </w:p>
  <w:p w14:paraId="6B1217B2" w14:textId="1A1BF291" w:rsidR="00851C01" w:rsidRDefault="00851C01" w:rsidP="006E74FD">
    <w:pPr>
      <w:pStyle w:val="Header"/>
    </w:pPr>
    <w:r>
      <w:tab/>
    </w:r>
    <w:r w:rsidR="005C5CD4">
      <w:fldChar w:fldCharType="begin"/>
    </w:r>
    <w:r w:rsidR="005C5CD4">
      <w:instrText>KEYWORDS  \* MERGEFORMAT</w:instrText>
    </w:r>
    <w:r w:rsidR="005C5CD4">
      <w:fldChar w:fldCharType="separate"/>
    </w:r>
    <w:r>
      <w:t>MDP_PRO_0033</w:t>
    </w:r>
    <w:r w:rsidR="005C5CD4">
      <w:fldChar w:fldCharType="end"/>
    </w:r>
  </w:p>
</w:hdr>
</file>

<file path=word/header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6B6019" w14:textId="66BBB176" w:rsidR="00851C01" w:rsidRDefault="005C5CD4" w:rsidP="0057715E">
    <w:pPr>
      <w:pStyle w:val="Header"/>
      <w:tabs>
        <w:tab w:val="clear" w:pos="9540"/>
        <w:tab w:val="left" w:pos="4680"/>
        <w:tab w:val="right" w:pos="9720"/>
        <w:tab w:val="right" w:pos="13500"/>
      </w:tabs>
      <w:ind w:left="4500" w:right="-720" w:hanging="5220"/>
    </w:pPr>
    <w:r>
      <w:fldChar w:fldCharType="begin"/>
    </w:r>
    <w:r>
      <w:instrText>TITLE  \* MERGEFORMAT</w:instrText>
    </w:r>
    <w:r>
      <w:fldChar w:fldCharType="separate"/>
    </w:r>
    <w:r w:rsidR="00851C01">
      <w:t>Part 5.5: Physical Markets Settlement Statements</w:t>
    </w:r>
    <w:r>
      <w:fldChar w:fldCharType="end"/>
    </w:r>
    <w:r w:rsidR="00851C01">
      <w:tab/>
    </w:r>
    <w:r w:rsidR="00851C01">
      <w:rPr>
        <w:noProof/>
      </w:rPr>
      <w:fldChar w:fldCharType="begin"/>
    </w:r>
    <w:r w:rsidR="00851C01">
      <w:rPr>
        <w:noProof/>
      </w:rPr>
      <w:instrText xml:space="preserve"> STYLEREF \n "Heading 7" \* MERGEFORMAT </w:instrText>
    </w:r>
    <w:r w:rsidR="00851C01">
      <w:rPr>
        <w:noProof/>
      </w:rPr>
      <w:fldChar w:fldCharType="separate"/>
    </w:r>
    <w:r w:rsidR="004537B8">
      <w:rPr>
        <w:noProof/>
      </w:rPr>
      <w:t xml:space="preserve">Appendix C: </w:t>
    </w:r>
    <w:r w:rsidR="00851C01">
      <w:rPr>
        <w:noProof/>
      </w:rPr>
      <w:fldChar w:fldCharType="end"/>
    </w:r>
    <w:r w:rsidR="00851C01">
      <w:t xml:space="preserve"> </w:t>
    </w:r>
    <w:r w:rsidR="00851C01">
      <w:rPr>
        <w:noProof/>
      </w:rPr>
      <w:fldChar w:fldCharType="begin"/>
    </w:r>
    <w:r w:rsidR="00851C01">
      <w:rPr>
        <w:noProof/>
      </w:rPr>
      <w:instrText xml:space="preserve"> STYLEREF "Heading 7" \* MERGEFORMAT </w:instrText>
    </w:r>
    <w:r w:rsidR="00851C01">
      <w:rPr>
        <w:noProof/>
      </w:rPr>
      <w:fldChar w:fldCharType="separate"/>
    </w:r>
    <w:r w:rsidR="004537B8">
      <w:rPr>
        <w:noProof/>
      </w:rPr>
      <w:t>IESO Charge Types Applicable to the Authorized Charge</w:t>
    </w:r>
    <w:r w:rsidR="00851C01">
      <w:rPr>
        <w:noProof/>
      </w:rPr>
      <w:fldChar w:fldCharType="end"/>
    </w:r>
  </w:p>
</w:hdr>
</file>

<file path=word/header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06B5F2" w14:textId="26AE8B1D" w:rsidR="00851C01" w:rsidRDefault="005C5CD4" w:rsidP="0057715E">
    <w:pPr>
      <w:pStyle w:val="Header"/>
      <w:tabs>
        <w:tab w:val="clear" w:pos="9540"/>
        <w:tab w:val="left" w:pos="5040"/>
        <w:tab w:val="right" w:pos="9720"/>
        <w:tab w:val="right" w:pos="13500"/>
      </w:tabs>
      <w:ind w:left="4770" w:right="-720" w:hanging="5400"/>
    </w:pPr>
    <w:r>
      <w:fldChar w:fldCharType="begin"/>
    </w:r>
    <w:r>
      <w:instrText>TITLE  \* MERGEFORMAT</w:instrText>
    </w:r>
    <w:r>
      <w:fldChar w:fldCharType="separate"/>
    </w:r>
    <w:r w:rsidR="00851C01">
      <w:t>Part 5.5: Physical Markets Settlement Statements</w:t>
    </w:r>
    <w:r>
      <w:fldChar w:fldCharType="end"/>
    </w:r>
    <w:r w:rsidR="00851C01">
      <w:tab/>
    </w:r>
    <w:r w:rsidR="00851C01">
      <w:rPr>
        <w:noProof/>
      </w:rPr>
      <w:fldChar w:fldCharType="begin"/>
    </w:r>
    <w:r w:rsidR="00851C01">
      <w:rPr>
        <w:noProof/>
      </w:rPr>
      <w:instrText xml:space="preserve"> STYLEREF \n "Heading 7" \* MERGEFORMAT </w:instrText>
    </w:r>
    <w:r w:rsidR="00851C01">
      <w:rPr>
        <w:noProof/>
      </w:rPr>
      <w:fldChar w:fldCharType="separate"/>
    </w:r>
    <w:r w:rsidR="004537B8">
      <w:rPr>
        <w:noProof/>
      </w:rPr>
      <w:t xml:space="preserve">Appendix D: </w:t>
    </w:r>
    <w:r w:rsidR="00851C01">
      <w:rPr>
        <w:noProof/>
      </w:rPr>
      <w:fldChar w:fldCharType="end"/>
    </w:r>
    <w:r w:rsidR="00851C01">
      <w:t xml:space="preserve"> </w:t>
    </w:r>
    <w:r w:rsidR="00851C01">
      <w:rPr>
        <w:noProof/>
      </w:rPr>
      <w:fldChar w:fldCharType="begin"/>
    </w:r>
    <w:r w:rsidR="00851C01">
      <w:rPr>
        <w:noProof/>
      </w:rPr>
      <w:instrText xml:space="preserve"> STYLEREF "Heading 7" \* MERGEFORMAT </w:instrText>
    </w:r>
    <w:r w:rsidR="00851C01">
      <w:rPr>
        <w:noProof/>
      </w:rPr>
      <w:fldChar w:fldCharType="separate"/>
    </w:r>
    <w:r w:rsidR="004537B8">
      <w:rPr>
        <w:noProof/>
      </w:rPr>
      <w:t>Price Bias Adjustment Factors Calculation Method for the Real-Time Import and Export Failure Charge</w:t>
    </w:r>
    <w:r w:rsidR="00851C01">
      <w:rPr>
        <w:noProof/>
      </w:rPr>
      <w:fldChar w:fldCharType="end"/>
    </w:r>
  </w:p>
</w:hdr>
</file>

<file path=word/header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F198B9" w14:textId="62E83017" w:rsidR="00851C01" w:rsidRDefault="00851C01" w:rsidP="004A3C74">
    <w:pPr>
      <w:pStyle w:val="Header"/>
    </w:pPr>
    <w:r>
      <w:rPr>
        <w:noProof/>
      </w:rPr>
      <w:fldChar w:fldCharType="begin"/>
    </w:r>
    <w:r>
      <w:rPr>
        <w:noProof/>
      </w:rPr>
      <w:instrText xml:space="preserve"> STYLEREF \n "Heading 7" \* MERGEFORMAT </w:instrText>
    </w:r>
    <w:r>
      <w:rPr>
        <w:noProof/>
      </w:rPr>
      <w:fldChar w:fldCharType="separate"/>
    </w:r>
    <w:r>
      <w:rPr>
        <w:noProof/>
      </w:rPr>
      <w:t xml:space="preserve">Appendix D: </w:t>
    </w:r>
    <w:r>
      <w:rPr>
        <w:noProof/>
      </w:rPr>
      <w:fldChar w:fldCharType="end"/>
    </w:r>
    <w:r>
      <w:t xml:space="preserve"> </w:t>
    </w:r>
    <w:r>
      <w:rPr>
        <w:noProof/>
      </w:rPr>
      <w:fldChar w:fldCharType="begin"/>
    </w:r>
    <w:r>
      <w:rPr>
        <w:noProof/>
      </w:rPr>
      <w:instrText xml:space="preserve"> STYLEREF "Heading 7" \* MERGEFORMAT </w:instrText>
    </w:r>
    <w:r>
      <w:rPr>
        <w:noProof/>
      </w:rPr>
      <w:fldChar w:fldCharType="separate"/>
    </w:r>
    <w:r>
      <w:rPr>
        <w:noProof/>
      </w:rPr>
      <w:t>Price Bias Adjustment Factors Calculation Method for the Real-Time Import and Export Failure Charge</w:t>
    </w:r>
    <w:r>
      <w:rPr>
        <w:noProof/>
      </w:rPr>
      <w:fldChar w:fldCharType="end"/>
    </w:r>
    <w:r>
      <w:tab/>
    </w:r>
    <w:r w:rsidR="005C5CD4">
      <w:fldChar w:fldCharType="begin"/>
    </w:r>
    <w:r w:rsidR="005C5CD4">
      <w:instrText>KEYWORDS  \* MERGEFORMAT</w:instrText>
    </w:r>
    <w:r w:rsidR="005C5CD4">
      <w:fldChar w:fldCharType="separate"/>
    </w:r>
    <w:r>
      <w:t>MDP_PRO_0033</w:t>
    </w:r>
    <w:r w:rsidR="005C5CD4">
      <w:fldChar w:fldCharType="end"/>
    </w:r>
  </w:p>
</w:hdr>
</file>

<file path=word/header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05B0E4" w14:textId="75B9911F" w:rsidR="00851C01" w:rsidRPr="009A53F0" w:rsidRDefault="005C5CD4" w:rsidP="0057715E">
    <w:pPr>
      <w:pStyle w:val="Header"/>
      <w:tabs>
        <w:tab w:val="left" w:pos="4770"/>
      </w:tabs>
      <w:ind w:left="4320" w:hanging="5040"/>
    </w:pPr>
    <w:r>
      <w:fldChar w:fldCharType="begin"/>
    </w:r>
    <w:r>
      <w:instrText>TITLE  \* MERGEFORMAT</w:instrText>
    </w:r>
    <w:r>
      <w:fldChar w:fldCharType="separate"/>
    </w:r>
    <w:r w:rsidR="00851C01">
      <w:t>Part 5.5: Physical Markets Settlement Statements</w:t>
    </w:r>
    <w:r>
      <w:fldChar w:fldCharType="end"/>
    </w:r>
    <w:r w:rsidR="00851C01">
      <w:tab/>
    </w:r>
    <w:r w:rsidR="00851C01">
      <w:rPr>
        <w:noProof/>
      </w:rPr>
      <w:fldChar w:fldCharType="begin"/>
    </w:r>
    <w:r w:rsidR="00851C01">
      <w:rPr>
        <w:noProof/>
      </w:rPr>
      <w:instrText xml:space="preserve"> STYLEREF \n "Heading 7" \* MERGEFORMAT </w:instrText>
    </w:r>
    <w:r w:rsidR="00851C01">
      <w:rPr>
        <w:noProof/>
      </w:rPr>
      <w:fldChar w:fldCharType="separate"/>
    </w:r>
    <w:r w:rsidR="004537B8">
      <w:rPr>
        <w:noProof/>
      </w:rPr>
      <w:t xml:space="preserve">Appendix E: </w:t>
    </w:r>
    <w:r w:rsidR="00851C01">
      <w:rPr>
        <w:noProof/>
      </w:rPr>
      <w:fldChar w:fldCharType="end"/>
    </w:r>
    <w:r w:rsidR="00851C01">
      <w:t xml:space="preserve"> </w:t>
    </w:r>
    <w:r w:rsidR="00851C01">
      <w:rPr>
        <w:noProof/>
      </w:rPr>
      <w:fldChar w:fldCharType="begin"/>
    </w:r>
    <w:r w:rsidR="00851C01">
      <w:rPr>
        <w:noProof/>
      </w:rPr>
      <w:instrText xml:space="preserve"> STYLEREF "Heading 7" \* MERGEFORMAT </w:instrText>
    </w:r>
    <w:r w:rsidR="00851C01">
      <w:rPr>
        <w:noProof/>
      </w:rPr>
      <w:fldChar w:fldCharType="separate"/>
    </w:r>
    <w:r w:rsidR="004537B8">
      <w:rPr>
        <w:noProof/>
      </w:rPr>
      <w:t>Expired Settlement Calculations Kept for Purposes of Re-Calculation</w:t>
    </w:r>
    <w:r w:rsidR="00851C01">
      <w:rPr>
        <w:noProof/>
      </w:rPr>
      <w:fldChar w:fldCharType="end"/>
    </w:r>
  </w:p>
</w:hdr>
</file>

<file path=word/header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FF7770" w14:textId="5F4AE07F" w:rsidR="00851C01" w:rsidRDefault="00851C01" w:rsidP="004A3C74">
    <w:pPr>
      <w:pStyle w:val="HeaderLandscape"/>
    </w:pPr>
    <w:r>
      <w:rPr>
        <w:noProof/>
      </w:rPr>
      <w:fldChar w:fldCharType="begin"/>
    </w:r>
    <w:r>
      <w:rPr>
        <w:noProof/>
      </w:rPr>
      <w:instrText xml:space="preserve"> STYLEREF \n "Heading 7" \* MERGEFORMAT </w:instrText>
    </w:r>
    <w:r>
      <w:rPr>
        <w:noProof/>
      </w:rPr>
      <w:fldChar w:fldCharType="separate"/>
    </w:r>
    <w:r>
      <w:rPr>
        <w:noProof/>
      </w:rPr>
      <w:t xml:space="preserve">Appendix E: </w:t>
    </w:r>
    <w:r>
      <w:rPr>
        <w:noProof/>
      </w:rPr>
      <w:fldChar w:fldCharType="end"/>
    </w:r>
    <w:r>
      <w:t xml:space="preserve"> </w:t>
    </w:r>
    <w:r>
      <w:rPr>
        <w:noProof/>
      </w:rPr>
      <w:fldChar w:fldCharType="begin"/>
    </w:r>
    <w:r>
      <w:rPr>
        <w:noProof/>
      </w:rPr>
      <w:instrText xml:space="preserve"> STYLEREF "Heading 7" \* MERGEFORMAT </w:instrText>
    </w:r>
    <w:r>
      <w:rPr>
        <w:noProof/>
      </w:rPr>
      <w:fldChar w:fldCharType="separate"/>
    </w:r>
    <w:r>
      <w:rPr>
        <w:noProof/>
      </w:rPr>
      <w:t>Expired Settlement Calculations Kept for Purposes of Re-Calculation</w:t>
    </w:r>
    <w:r>
      <w:rPr>
        <w:noProof/>
      </w:rPr>
      <w:fldChar w:fldCharType="end"/>
    </w:r>
    <w:r>
      <w:tab/>
    </w:r>
    <w:r w:rsidR="005C5CD4">
      <w:fldChar w:fldCharType="begin"/>
    </w:r>
    <w:r w:rsidR="005C5CD4">
      <w:instrText>KEYWORDS  \* MERGEFORMAT</w:instrText>
    </w:r>
    <w:r w:rsidR="005C5CD4">
      <w:fldChar w:fldCharType="separate"/>
    </w:r>
    <w:r>
      <w:t>MDP_PRO_0033</w:t>
    </w:r>
    <w:r w:rsidR="005C5CD4">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28249573"/>
      <w:docPartObj>
        <w:docPartGallery w:val="Watermarks"/>
        <w:docPartUnique/>
      </w:docPartObj>
    </w:sdtPr>
    <w:sdtContent>
      <w:p w14:paraId="0102F224" w14:textId="76444112" w:rsidR="00851C01" w:rsidRDefault="005C5CD4">
        <w:pPr>
          <w:pStyle w:val="Header"/>
          <w:pBdr>
            <w:bottom w:val="none" w:sz="0" w:space="0" w:color="auto"/>
          </w:pBdr>
        </w:pPr>
        <w:r>
          <w:rPr>
            <w:noProof/>
            <w:lang w:eastAsia="en-US"/>
          </w:rPr>
          <w:pict w14:anchorId="7F482E5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4097"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header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713DEB" w14:textId="28175EEA" w:rsidR="00851C01" w:rsidRPr="009A53F0" w:rsidRDefault="005C5CD4" w:rsidP="004A3C74">
    <w:pPr>
      <w:pStyle w:val="HeaderLandscape"/>
    </w:pPr>
    <w:r>
      <w:fldChar w:fldCharType="begin"/>
    </w:r>
    <w:r>
      <w:instrText>TITLE  \* MERGEFORMAT</w:instrText>
    </w:r>
    <w:r>
      <w:fldChar w:fldCharType="separate"/>
    </w:r>
    <w:r w:rsidR="00851C01">
      <w:t>Part 5.5: Physical Markets Settlement Statements</w:t>
    </w:r>
    <w:r>
      <w:fldChar w:fldCharType="end"/>
    </w:r>
    <w:r w:rsidR="00851C01" w:rsidRPr="009A53F0">
      <w:tab/>
    </w:r>
    <w:r w:rsidR="00851C01">
      <w:rPr>
        <w:noProof/>
      </w:rPr>
      <w:fldChar w:fldCharType="begin"/>
    </w:r>
    <w:r w:rsidR="00851C01">
      <w:rPr>
        <w:noProof/>
      </w:rPr>
      <w:instrText xml:space="preserve"> STYLEREF \n "Heading 7" \* MERGEFORMAT </w:instrText>
    </w:r>
    <w:r w:rsidR="00851C01">
      <w:rPr>
        <w:noProof/>
      </w:rPr>
      <w:fldChar w:fldCharType="separate"/>
    </w:r>
    <w:r w:rsidR="004537B8">
      <w:rPr>
        <w:noProof/>
      </w:rPr>
      <w:t xml:space="preserve">Appendix E: </w:t>
    </w:r>
    <w:r w:rsidR="00851C01">
      <w:rPr>
        <w:noProof/>
      </w:rPr>
      <w:fldChar w:fldCharType="end"/>
    </w:r>
    <w:r w:rsidR="00851C01">
      <w:t xml:space="preserve"> </w:t>
    </w:r>
    <w:r w:rsidR="00851C01">
      <w:rPr>
        <w:noProof/>
      </w:rPr>
      <w:fldChar w:fldCharType="begin"/>
    </w:r>
    <w:r w:rsidR="00851C01">
      <w:rPr>
        <w:noProof/>
      </w:rPr>
      <w:instrText xml:space="preserve"> STYLEREF "Heading 7" \* MERGEFORMAT </w:instrText>
    </w:r>
    <w:r w:rsidR="00851C01">
      <w:rPr>
        <w:noProof/>
      </w:rPr>
      <w:fldChar w:fldCharType="separate"/>
    </w:r>
    <w:r w:rsidR="004537B8">
      <w:rPr>
        <w:noProof/>
      </w:rPr>
      <w:t>Expired Settlement Calculations Kept for Purposes of Re-Calculation</w:t>
    </w:r>
    <w:r w:rsidR="00851C01">
      <w:rPr>
        <w:noProof/>
      </w:rPr>
      <w:fldChar w:fldCharType="end"/>
    </w:r>
  </w:p>
</w:hdr>
</file>

<file path=word/header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6F3C08" w14:textId="4DC8671F" w:rsidR="00851C01" w:rsidRPr="000D2924" w:rsidRDefault="005C5CD4" w:rsidP="0057715E">
    <w:pPr>
      <w:pStyle w:val="Header"/>
      <w:tabs>
        <w:tab w:val="clear" w:pos="9540"/>
        <w:tab w:val="left" w:pos="4410"/>
        <w:tab w:val="right" w:pos="9720"/>
        <w:tab w:val="right" w:pos="13500"/>
      </w:tabs>
      <w:ind w:left="4410" w:right="-720" w:hanging="5130"/>
    </w:pPr>
    <w:r>
      <w:fldChar w:fldCharType="begin"/>
    </w:r>
    <w:r>
      <w:instrText>TITLE  \* MERGEFORMAT</w:instrText>
    </w:r>
    <w:r>
      <w:fldChar w:fldCharType="separate"/>
    </w:r>
    <w:r w:rsidR="00851C01">
      <w:t>Part 5.5: Physical Markets Settlement Statements</w:t>
    </w:r>
    <w:r>
      <w:fldChar w:fldCharType="end"/>
    </w:r>
    <w:r w:rsidR="00851C01" w:rsidRPr="000D2924">
      <w:tab/>
    </w:r>
    <w:r w:rsidR="00851C01">
      <w:rPr>
        <w:bCs/>
        <w:noProof/>
      </w:rPr>
      <w:fldChar w:fldCharType="begin"/>
    </w:r>
    <w:r w:rsidR="00851C01">
      <w:rPr>
        <w:bCs/>
        <w:noProof/>
      </w:rPr>
      <w:instrText xml:space="preserve"> STYLEREF \n "Heading 7" \* MERGEFORMAT </w:instrText>
    </w:r>
    <w:r w:rsidR="00851C01">
      <w:rPr>
        <w:bCs/>
        <w:noProof/>
      </w:rPr>
      <w:fldChar w:fldCharType="separate"/>
    </w:r>
    <w:r w:rsidR="004537B8">
      <w:rPr>
        <w:bCs/>
        <w:noProof/>
      </w:rPr>
      <w:t xml:space="preserve">Appendix E: </w:t>
    </w:r>
    <w:r w:rsidR="00851C01">
      <w:rPr>
        <w:bCs/>
        <w:noProof/>
      </w:rPr>
      <w:fldChar w:fldCharType="end"/>
    </w:r>
    <w:r w:rsidR="00851C01" w:rsidRPr="000D2924">
      <w:t xml:space="preserve"> </w:t>
    </w:r>
    <w:r w:rsidR="00851C01">
      <w:rPr>
        <w:noProof/>
      </w:rPr>
      <w:fldChar w:fldCharType="begin"/>
    </w:r>
    <w:r w:rsidR="00851C01">
      <w:rPr>
        <w:noProof/>
      </w:rPr>
      <w:instrText xml:space="preserve"> STYLEREF "Heading 7" \* MERGEFORMAT </w:instrText>
    </w:r>
    <w:r w:rsidR="00851C01">
      <w:rPr>
        <w:noProof/>
      </w:rPr>
      <w:fldChar w:fldCharType="separate"/>
    </w:r>
    <w:r w:rsidR="004537B8">
      <w:rPr>
        <w:noProof/>
      </w:rPr>
      <w:t>Expired Settlement Calculations Kept for Purposes of Re-Calculation</w:t>
    </w:r>
    <w:r w:rsidR="00851C01">
      <w:rPr>
        <w:noProof/>
      </w:rPr>
      <w:fldChar w:fldCharType="end"/>
    </w:r>
  </w:p>
</w:hdr>
</file>

<file path=word/header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AA1837" w14:textId="2199B100" w:rsidR="00851C01" w:rsidRPr="000D2924" w:rsidRDefault="005C5CD4" w:rsidP="00217655">
    <w:pPr>
      <w:pStyle w:val="Headerlandscape0"/>
      <w:tabs>
        <w:tab w:val="clear" w:pos="4410"/>
        <w:tab w:val="clear" w:pos="9720"/>
        <w:tab w:val="clear" w:pos="13500"/>
        <w:tab w:val="right" w:pos="13680"/>
      </w:tabs>
      <w:ind w:left="4590"/>
    </w:pPr>
    <w:r>
      <w:fldChar w:fldCharType="begin"/>
    </w:r>
    <w:r>
      <w:instrText>TITLE  \* MERGEFORMAT</w:instrText>
    </w:r>
    <w:r>
      <w:fldChar w:fldCharType="separate"/>
    </w:r>
    <w:r w:rsidR="00851C01">
      <w:t>Part 5.5: Physical Markets Settlement Statements</w:t>
    </w:r>
    <w:r>
      <w:fldChar w:fldCharType="end"/>
    </w:r>
    <w:r w:rsidR="00851C01" w:rsidRPr="000D2924">
      <w:tab/>
    </w:r>
    <w:r w:rsidR="00851C01">
      <w:tab/>
    </w:r>
    <w:r w:rsidR="00851C01">
      <w:rPr>
        <w:bCs/>
        <w:noProof/>
      </w:rPr>
      <w:fldChar w:fldCharType="begin"/>
    </w:r>
    <w:r w:rsidR="00851C01">
      <w:rPr>
        <w:bCs/>
        <w:noProof/>
      </w:rPr>
      <w:instrText xml:space="preserve"> STYLEREF \n "Heading 7" \* MERGEFORMAT </w:instrText>
    </w:r>
    <w:r w:rsidR="00851C01">
      <w:rPr>
        <w:bCs/>
        <w:noProof/>
      </w:rPr>
      <w:fldChar w:fldCharType="separate"/>
    </w:r>
    <w:r w:rsidR="004537B8">
      <w:rPr>
        <w:bCs/>
        <w:noProof/>
      </w:rPr>
      <w:t xml:space="preserve">Appendix E: </w:t>
    </w:r>
    <w:r w:rsidR="00851C01">
      <w:rPr>
        <w:bCs/>
        <w:noProof/>
      </w:rPr>
      <w:fldChar w:fldCharType="end"/>
    </w:r>
    <w:r w:rsidR="00851C01" w:rsidRPr="000D2924">
      <w:t xml:space="preserve"> </w:t>
    </w:r>
    <w:r w:rsidR="00851C01">
      <w:rPr>
        <w:noProof/>
      </w:rPr>
      <w:fldChar w:fldCharType="begin"/>
    </w:r>
    <w:r w:rsidR="00851C01">
      <w:rPr>
        <w:noProof/>
      </w:rPr>
      <w:instrText xml:space="preserve"> STYLEREF "Heading 7" \* MERGEFORMAT </w:instrText>
    </w:r>
    <w:r w:rsidR="00851C01">
      <w:rPr>
        <w:noProof/>
      </w:rPr>
      <w:fldChar w:fldCharType="separate"/>
    </w:r>
    <w:r w:rsidR="004537B8">
      <w:rPr>
        <w:noProof/>
      </w:rPr>
      <w:t>Expired Settlement Calculations Kept for Purposes of Re-Calculation</w:t>
    </w:r>
    <w:r w:rsidR="00851C01">
      <w:rPr>
        <w:noProof/>
      </w:rPr>
      <w:fldChar w:fldCharType="end"/>
    </w:r>
  </w:p>
</w:hdr>
</file>

<file path=word/header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324A88" w14:textId="200F43BE" w:rsidR="00851C01" w:rsidRPr="000D2924" w:rsidRDefault="005C5CD4" w:rsidP="00C679A9">
    <w:pPr>
      <w:pStyle w:val="Header"/>
      <w:tabs>
        <w:tab w:val="clear" w:pos="9540"/>
        <w:tab w:val="left" w:pos="4410"/>
        <w:tab w:val="right" w:pos="9720"/>
        <w:tab w:val="right" w:pos="13500"/>
      </w:tabs>
      <w:ind w:left="4410" w:right="-720" w:hanging="5130"/>
    </w:pPr>
    <w:r>
      <w:fldChar w:fldCharType="begin"/>
    </w:r>
    <w:r>
      <w:instrText>TITLE  \* MERGEFORMAT</w:instrText>
    </w:r>
    <w:r>
      <w:fldChar w:fldCharType="separate"/>
    </w:r>
    <w:r w:rsidR="00851C01">
      <w:t>Part 5.5: Physical Markets Settlement Statements</w:t>
    </w:r>
    <w:r>
      <w:fldChar w:fldCharType="end"/>
    </w:r>
    <w:r w:rsidR="00851C01" w:rsidRPr="000D2924">
      <w:tab/>
    </w:r>
    <w:r w:rsidR="00851C01">
      <w:fldChar w:fldCharType="begin"/>
    </w:r>
    <w:r w:rsidR="00851C01">
      <w:instrText xml:space="preserve"> TITLE  \* MERGEFORMAT </w:instrText>
    </w:r>
    <w:r w:rsidR="00851C01">
      <w:fldChar w:fldCharType="end"/>
    </w:r>
    <w:r w:rsidR="00851C01">
      <w:rPr>
        <w:bCs/>
        <w:noProof/>
      </w:rPr>
      <w:fldChar w:fldCharType="begin"/>
    </w:r>
    <w:r w:rsidR="00851C01">
      <w:rPr>
        <w:bCs/>
        <w:noProof/>
      </w:rPr>
      <w:instrText xml:space="preserve"> STYLEREF \n "Heading 7" \* MERGEFORMAT </w:instrText>
    </w:r>
    <w:r w:rsidR="00851C01">
      <w:rPr>
        <w:bCs/>
        <w:noProof/>
      </w:rPr>
      <w:fldChar w:fldCharType="separate"/>
    </w:r>
    <w:r w:rsidR="004537B8">
      <w:rPr>
        <w:bCs/>
        <w:noProof/>
      </w:rPr>
      <w:t xml:space="preserve">Appendix E: </w:t>
    </w:r>
    <w:r w:rsidR="00851C01">
      <w:rPr>
        <w:bCs/>
        <w:noProof/>
      </w:rPr>
      <w:fldChar w:fldCharType="end"/>
    </w:r>
    <w:r w:rsidR="00851C01" w:rsidRPr="000D2924">
      <w:t xml:space="preserve"> </w:t>
    </w:r>
    <w:r w:rsidR="00851C01">
      <w:rPr>
        <w:noProof/>
      </w:rPr>
      <w:fldChar w:fldCharType="begin"/>
    </w:r>
    <w:r w:rsidR="00851C01">
      <w:rPr>
        <w:noProof/>
      </w:rPr>
      <w:instrText xml:space="preserve"> STYLEREF "Heading 7" \* MERGEFORMAT </w:instrText>
    </w:r>
    <w:r w:rsidR="00851C01">
      <w:rPr>
        <w:noProof/>
      </w:rPr>
      <w:fldChar w:fldCharType="separate"/>
    </w:r>
    <w:r w:rsidR="004537B8">
      <w:rPr>
        <w:noProof/>
      </w:rPr>
      <w:t>Expired Settlement Calculations Kept for Purposes of Re-Calculation</w:t>
    </w:r>
    <w:r w:rsidR="00851C01">
      <w:rPr>
        <w:noProof/>
      </w:rPr>
      <w:fldChar w:fldCharType="end"/>
    </w:r>
  </w:p>
  <w:p w14:paraId="7C7A70DE" w14:textId="77777777" w:rsidR="00851C01" w:rsidRDefault="00851C01" w:rsidP="00C679A9">
    <w:pPr>
      <w:pStyle w:val="HeaderLandscape"/>
      <w:pBdr>
        <w:bottom w:val="none" w:sz="0" w:space="0" w:color="auto"/>
      </w:pBdr>
    </w:pPr>
  </w:p>
</w:hdr>
</file>

<file path=word/header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7057D2" w14:textId="38FAD203" w:rsidR="00851C01" w:rsidRPr="000D2924" w:rsidRDefault="005C5CD4" w:rsidP="00C679A9">
    <w:pPr>
      <w:pStyle w:val="HeaderLandscape"/>
      <w:pBdr>
        <w:bottom w:val="none" w:sz="0" w:space="0" w:color="auto"/>
      </w:pBdr>
    </w:pPr>
    <w:r>
      <w:fldChar w:fldCharType="begin"/>
    </w:r>
    <w:r>
      <w:instrText>TITLE  \* MERGEFORMAT</w:instrText>
    </w:r>
    <w:r>
      <w:fldChar w:fldCharType="separate"/>
    </w:r>
    <w:r w:rsidR="00851C01">
      <w:t>Part 5.5: Physical Markets Settlement Statements</w:t>
    </w:r>
    <w:r>
      <w:fldChar w:fldCharType="end"/>
    </w:r>
    <w:r w:rsidR="00851C01" w:rsidRPr="000D2924">
      <w:tab/>
    </w:r>
    <w:r w:rsidR="00851C01">
      <w:rPr>
        <w:bCs/>
        <w:noProof/>
      </w:rPr>
      <w:fldChar w:fldCharType="begin"/>
    </w:r>
    <w:r w:rsidR="00851C01">
      <w:rPr>
        <w:bCs/>
        <w:noProof/>
      </w:rPr>
      <w:instrText xml:space="preserve"> STYLEREF \n "Heading 7" \* MERGEFORMAT </w:instrText>
    </w:r>
    <w:r w:rsidR="00851C01">
      <w:rPr>
        <w:bCs/>
        <w:noProof/>
      </w:rPr>
      <w:fldChar w:fldCharType="separate"/>
    </w:r>
    <w:r w:rsidR="00657937">
      <w:rPr>
        <w:bCs/>
        <w:noProof/>
      </w:rPr>
      <w:t xml:space="preserve">Appendix E: </w:t>
    </w:r>
    <w:r w:rsidR="00851C01">
      <w:rPr>
        <w:bCs/>
        <w:noProof/>
      </w:rPr>
      <w:fldChar w:fldCharType="end"/>
    </w:r>
    <w:r w:rsidR="00851C01" w:rsidRPr="000D2924">
      <w:t xml:space="preserve"> </w:t>
    </w:r>
    <w:r w:rsidR="00851C01">
      <w:rPr>
        <w:noProof/>
      </w:rPr>
      <w:fldChar w:fldCharType="begin"/>
    </w:r>
    <w:r w:rsidR="00851C01">
      <w:rPr>
        <w:noProof/>
      </w:rPr>
      <w:instrText xml:space="preserve"> STYLEREF "Heading 7" \* MERGEFORMAT </w:instrText>
    </w:r>
    <w:r w:rsidR="00851C01">
      <w:rPr>
        <w:noProof/>
      </w:rPr>
      <w:fldChar w:fldCharType="separate"/>
    </w:r>
    <w:r w:rsidR="00657937">
      <w:rPr>
        <w:noProof/>
      </w:rPr>
      <w:t>Expired Settlement Calculations Kept for Purposes of Re-Calculation</w:t>
    </w:r>
    <w:r w:rsidR="00851C01">
      <w:rPr>
        <w:noProof/>
      </w:rPr>
      <w:fldChar w:fldCharType="end"/>
    </w:r>
  </w:p>
  <w:p w14:paraId="21E5EF27" w14:textId="77777777" w:rsidR="00851C01" w:rsidRDefault="00851C01" w:rsidP="00C679A9">
    <w:pPr>
      <w:pStyle w:val="Footer"/>
    </w:pPr>
  </w:p>
</w:hdr>
</file>

<file path=word/header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62B239" w14:textId="7726F757" w:rsidR="00851C01" w:rsidRPr="000D2924" w:rsidRDefault="005C5CD4" w:rsidP="00E4421F">
    <w:pPr>
      <w:pStyle w:val="Header"/>
      <w:tabs>
        <w:tab w:val="clear" w:pos="9540"/>
        <w:tab w:val="right" w:pos="9720"/>
      </w:tabs>
      <w:ind w:right="-720"/>
    </w:pPr>
    <w:r>
      <w:fldChar w:fldCharType="begin"/>
    </w:r>
    <w:r>
      <w:instrText>TITLE  \* MERGEFORMAT</w:instrText>
    </w:r>
    <w:r>
      <w:fldChar w:fldCharType="separate"/>
    </w:r>
    <w:r w:rsidR="00851C01">
      <w:t>Part 5.5: Physical Markets Settlement Statements</w:t>
    </w:r>
    <w:r>
      <w:fldChar w:fldCharType="end"/>
    </w:r>
    <w:r w:rsidR="00851C01">
      <w:tab/>
    </w:r>
    <w:r w:rsidR="00851C01">
      <w:rPr>
        <w:noProof/>
      </w:rPr>
      <w:fldChar w:fldCharType="begin"/>
    </w:r>
    <w:r w:rsidR="00851C01">
      <w:rPr>
        <w:noProof/>
      </w:rPr>
      <w:instrText xml:space="preserve"> STYLEREF \n "Heading 7" \* MERGEFORMAT </w:instrText>
    </w:r>
    <w:r w:rsidR="00851C01">
      <w:rPr>
        <w:noProof/>
      </w:rPr>
      <w:fldChar w:fldCharType="separate"/>
    </w:r>
    <w:r w:rsidR="004537B8">
      <w:rPr>
        <w:noProof/>
      </w:rPr>
      <w:t xml:space="preserve">Appendix F: </w:t>
    </w:r>
    <w:r w:rsidR="00851C01">
      <w:rPr>
        <w:noProof/>
      </w:rPr>
      <w:fldChar w:fldCharType="end"/>
    </w:r>
    <w:r w:rsidR="00851C01">
      <w:t xml:space="preserve"> </w:t>
    </w:r>
    <w:r w:rsidR="00851C01">
      <w:rPr>
        <w:noProof/>
      </w:rPr>
      <w:fldChar w:fldCharType="begin"/>
    </w:r>
    <w:r w:rsidR="00851C01">
      <w:rPr>
        <w:noProof/>
      </w:rPr>
      <w:instrText xml:space="preserve"> STYLEREF "Heading 7" \* MERGEFORMAT </w:instrText>
    </w:r>
    <w:r w:rsidR="00851C01">
      <w:rPr>
        <w:noProof/>
      </w:rPr>
      <w:fldChar w:fldCharType="separate"/>
    </w:r>
    <w:r w:rsidR="004537B8">
      <w:rPr>
        <w:noProof/>
      </w:rPr>
      <w:t>OPG Rebate</w:t>
    </w:r>
    <w:r w:rsidR="00851C01">
      <w:rPr>
        <w:noProof/>
      </w:rPr>
      <w:fldChar w:fldCharType="end"/>
    </w:r>
  </w:p>
</w:hdr>
</file>

<file path=word/header3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8FE392" w14:textId="346A1213" w:rsidR="00851C01" w:rsidRDefault="00851C01" w:rsidP="00BA0AE0">
    <w:pPr>
      <w:pStyle w:val="HeaderLandscape"/>
    </w:pPr>
    <w:r>
      <w:rPr>
        <w:b/>
        <w:bCs/>
        <w:noProof/>
      </w:rPr>
      <w:fldChar w:fldCharType="begin"/>
    </w:r>
    <w:r>
      <w:rPr>
        <w:b/>
        <w:bCs/>
        <w:noProof/>
      </w:rPr>
      <w:instrText xml:space="preserve"> STYLEREF \n "Heading 7" \* MERGEFORMAT </w:instrText>
    </w:r>
    <w:r>
      <w:rPr>
        <w:b/>
        <w:bCs/>
        <w:noProof/>
      </w:rPr>
      <w:fldChar w:fldCharType="separate"/>
    </w:r>
    <w:r>
      <w:rPr>
        <w:b/>
        <w:bCs/>
        <w:noProof/>
      </w:rPr>
      <w:t xml:space="preserve">Appendix F: </w:t>
    </w:r>
    <w:r>
      <w:rPr>
        <w:b/>
        <w:bCs/>
        <w:noProof/>
      </w:rPr>
      <w:fldChar w:fldCharType="end"/>
    </w:r>
    <w:r>
      <w:t xml:space="preserve"> </w:t>
    </w:r>
    <w:r>
      <w:rPr>
        <w:b/>
        <w:bCs/>
        <w:noProof/>
      </w:rPr>
      <w:fldChar w:fldCharType="begin"/>
    </w:r>
    <w:r>
      <w:rPr>
        <w:b/>
        <w:bCs/>
        <w:noProof/>
      </w:rPr>
      <w:instrText xml:space="preserve"> STYLEREF "Heading 7" \* MERGEFORMAT </w:instrText>
    </w:r>
    <w:r>
      <w:rPr>
        <w:b/>
        <w:bCs/>
        <w:noProof/>
      </w:rPr>
      <w:fldChar w:fldCharType="separate"/>
    </w:r>
    <w:r>
      <w:rPr>
        <w:b/>
        <w:bCs/>
        <w:noProof/>
      </w:rPr>
      <w:t>OPG Rebate</w:t>
    </w:r>
    <w:r>
      <w:rPr>
        <w:noProof/>
      </w:rPr>
      <w:fldChar w:fldCharType="end"/>
    </w:r>
    <w:r>
      <w:tab/>
    </w:r>
    <w:r w:rsidR="005C5CD4">
      <w:fldChar w:fldCharType="begin"/>
    </w:r>
    <w:r w:rsidR="005C5CD4">
      <w:instrText>KEYWORDS  \* MERGEFORMAT</w:instrText>
    </w:r>
    <w:r w:rsidR="005C5CD4">
      <w:fldChar w:fldCharType="separate"/>
    </w:r>
    <w:r>
      <w:t>MDP_PRO_0033</w:t>
    </w:r>
    <w:r w:rsidR="005C5CD4">
      <w:fldChar w:fldCharType="end"/>
    </w:r>
  </w:p>
</w:hdr>
</file>

<file path=word/header3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5862B6" w14:textId="1B53A929" w:rsidR="00851C01" w:rsidRDefault="005C5CD4" w:rsidP="00601E5D">
    <w:pPr>
      <w:pStyle w:val="HeaderLandscape"/>
    </w:pPr>
    <w:r>
      <w:fldChar w:fldCharType="begin"/>
    </w:r>
    <w:r>
      <w:instrText>TITLE  \* MERGEFORMAT</w:instrText>
    </w:r>
    <w:r>
      <w:fldChar w:fldCharType="separate"/>
    </w:r>
    <w:r w:rsidR="00851C01">
      <w:t>Part 5.5: Physical Markets Settlement Statements</w:t>
    </w:r>
    <w:r>
      <w:fldChar w:fldCharType="end"/>
    </w:r>
    <w:r w:rsidR="00851C01">
      <w:tab/>
    </w:r>
    <w:r w:rsidR="00851C01">
      <w:rPr>
        <w:noProof/>
      </w:rPr>
      <w:fldChar w:fldCharType="begin"/>
    </w:r>
    <w:r w:rsidR="00851C01">
      <w:rPr>
        <w:noProof/>
      </w:rPr>
      <w:instrText xml:space="preserve"> STYLEREF \n "Heading 7" \* MERGEFORMAT </w:instrText>
    </w:r>
    <w:r w:rsidR="00851C01">
      <w:rPr>
        <w:noProof/>
      </w:rPr>
      <w:fldChar w:fldCharType="separate"/>
    </w:r>
    <w:r w:rsidR="00657937">
      <w:rPr>
        <w:noProof/>
      </w:rPr>
      <w:t xml:space="preserve">Appendix F: </w:t>
    </w:r>
    <w:r w:rsidR="00851C01">
      <w:rPr>
        <w:noProof/>
      </w:rPr>
      <w:fldChar w:fldCharType="end"/>
    </w:r>
    <w:r w:rsidR="00851C01">
      <w:t xml:space="preserve"> </w:t>
    </w:r>
    <w:r w:rsidR="00851C01">
      <w:rPr>
        <w:noProof/>
      </w:rPr>
      <w:fldChar w:fldCharType="begin"/>
    </w:r>
    <w:r w:rsidR="00851C01">
      <w:rPr>
        <w:noProof/>
      </w:rPr>
      <w:instrText xml:space="preserve"> STYLEREF "Heading 7" \* MERGEFORMAT </w:instrText>
    </w:r>
    <w:r w:rsidR="00851C01">
      <w:rPr>
        <w:noProof/>
      </w:rPr>
      <w:fldChar w:fldCharType="separate"/>
    </w:r>
    <w:r w:rsidR="00657937">
      <w:rPr>
        <w:noProof/>
      </w:rPr>
      <w:t>OPG Rebate</w:t>
    </w:r>
    <w:r w:rsidR="00851C01">
      <w:rPr>
        <w:noProof/>
      </w:rPr>
      <w:fldChar w:fldCharType="end"/>
    </w:r>
  </w:p>
</w:hdr>
</file>

<file path=word/header3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EF7481" w14:textId="40D710C5" w:rsidR="00851C01" w:rsidRDefault="00851C01" w:rsidP="006E74FD">
    <w:pPr>
      <w:pStyle w:val="Header"/>
      <w:pBdr>
        <w:bottom w:val="single" w:sz="6" w:space="0" w:color="auto"/>
      </w:pBdr>
      <w:tabs>
        <w:tab w:val="clear" w:pos="9540"/>
        <w:tab w:val="right" w:pos="9720"/>
        <w:tab w:val="right" w:pos="13500"/>
      </w:tabs>
      <w:ind w:right="-720"/>
    </w:pPr>
    <w:r>
      <w:rPr>
        <w:noProof/>
      </w:rPr>
      <w:fldChar w:fldCharType="begin"/>
    </w:r>
    <w:r>
      <w:rPr>
        <w:noProof/>
      </w:rPr>
      <w:instrText xml:space="preserve"> STYLEREF Head1NoNum \* MERGEFORMAT </w:instrText>
    </w:r>
    <w:r>
      <w:rPr>
        <w:noProof/>
      </w:rPr>
      <w:fldChar w:fldCharType="separate"/>
    </w:r>
    <w:r>
      <w:rPr>
        <w:noProof/>
      </w:rPr>
      <w:t>Market Procedures</w:t>
    </w:r>
    <w:r>
      <w:rPr>
        <w:noProof/>
      </w:rPr>
      <w:fldChar w:fldCharType="end"/>
    </w:r>
    <w:r>
      <w:tab/>
    </w:r>
    <w:r w:rsidR="005C5CD4">
      <w:fldChar w:fldCharType="begin"/>
    </w:r>
    <w:r w:rsidR="005C5CD4">
      <w:instrText>KEYWORDS  \* MERGEFORMAT</w:instrText>
    </w:r>
    <w:r w:rsidR="005C5CD4">
      <w:fldChar w:fldCharType="separate"/>
    </w:r>
    <w:r>
      <w:t>MDP_PRO_0033</w:t>
    </w:r>
    <w:r w:rsidR="005C5CD4">
      <w:fldChar w:fldCharType="end"/>
    </w:r>
  </w:p>
</w:hdr>
</file>

<file path=word/header3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839E60" w14:textId="648B4BD6" w:rsidR="00851C01" w:rsidRDefault="005C5CD4" w:rsidP="006E74FD">
    <w:pPr>
      <w:pStyle w:val="Header"/>
      <w:tabs>
        <w:tab w:val="clear" w:pos="9540"/>
        <w:tab w:val="right" w:pos="9720"/>
        <w:tab w:val="right" w:pos="13500"/>
      </w:tabs>
      <w:ind w:right="-720"/>
    </w:pPr>
    <w:r>
      <w:fldChar w:fldCharType="begin"/>
    </w:r>
    <w:r>
      <w:instrText>TITLE  \* MERGEFORMAT</w:instrText>
    </w:r>
    <w:r>
      <w:fldChar w:fldCharType="separate"/>
    </w:r>
    <w:r w:rsidR="00851C01">
      <w:t>Part 5.5: Physical Markets Settlement Statements</w:t>
    </w:r>
    <w:r>
      <w:fldChar w:fldCharType="end"/>
    </w:r>
    <w:r w:rsidR="00851C01">
      <w:tab/>
    </w:r>
    <w:r w:rsidR="00851C01" w:rsidRPr="00555608">
      <w:t>References</w: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9F62F3" w14:textId="3C1B6E35" w:rsidR="00851C01" w:rsidRDefault="00851C01">
    <w:pPr>
      <w:pStyle w:val="Header"/>
    </w:pPr>
    <w:r>
      <w:t>Document Change History</w:t>
    </w:r>
    <w:r>
      <w:tab/>
    </w:r>
    <w:r w:rsidR="005C5CD4">
      <w:fldChar w:fldCharType="begin"/>
    </w:r>
    <w:r w:rsidR="005C5CD4">
      <w:instrText>KEYWORDS  \* MERGEFORMAT</w:instrText>
    </w:r>
    <w:r w:rsidR="005C5CD4">
      <w:fldChar w:fldCharType="separate"/>
    </w:r>
    <w:r>
      <w:t>MDP_PRO_0033</w:t>
    </w:r>
    <w:r w:rsidR="005C5CD4">
      <w:fldChar w:fldCharType="end"/>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BDF6C4" w14:textId="121F5413" w:rsidR="00851C01" w:rsidRDefault="005C5CD4" w:rsidP="00A40473">
    <w:pPr>
      <w:pStyle w:val="Header"/>
    </w:pPr>
    <w:r>
      <w:fldChar w:fldCharType="begin"/>
    </w:r>
    <w:r>
      <w:instrText>TITLE  \* MERGEFORMAT</w:instrText>
    </w:r>
    <w:r>
      <w:fldChar w:fldCharType="separate"/>
    </w:r>
    <w:r w:rsidR="00851C01">
      <w:t>Part 5.5: Physical Markets Settlement Statements</w:t>
    </w:r>
    <w:r>
      <w:fldChar w:fldCharType="end"/>
    </w:r>
    <w:r w:rsidR="00851C01">
      <w:tab/>
    </w:r>
    <w:r w:rsidR="00851C01">
      <w:rPr>
        <w:noProof/>
      </w:rPr>
      <w:fldChar w:fldCharType="begin"/>
    </w:r>
    <w:r w:rsidR="00851C01">
      <w:rPr>
        <w:noProof/>
      </w:rPr>
      <w:instrText xml:space="preserve"> STYLEREF  DocumentControlHeading  \* MERGEFORMAT </w:instrText>
    </w:r>
    <w:r w:rsidR="00851C01">
      <w:rPr>
        <w:noProof/>
      </w:rPr>
      <w:fldChar w:fldCharType="separate"/>
    </w:r>
    <w:r>
      <w:rPr>
        <w:noProof/>
      </w:rPr>
      <w:t>Related Documents</w:t>
    </w:r>
    <w:r w:rsidR="00851C01">
      <w:rPr>
        <w:noProof/>
      </w:rPr>
      <w:fldChar w:fldCharType="end"/>
    </w:r>
  </w:p>
  <w:p w14:paraId="24908E33" w14:textId="26D9DED8" w:rsidR="00851C01" w:rsidRDefault="00851C01" w:rsidP="000B29A5">
    <w:pPr>
      <w:pStyle w:val="Header"/>
      <w:pBdr>
        <w:bottom w:val="none" w:sz="0" w:space="0" w:color="auto"/>
      </w:pBd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6386E7" w14:textId="4BE73D1B" w:rsidR="00851C01" w:rsidRDefault="005C5CD4">
    <w:pPr>
      <w:pStyle w:val="Header"/>
    </w:pPr>
    <w:r>
      <w:fldChar w:fldCharType="begin"/>
    </w:r>
    <w:r>
      <w:instrText>TITLE  \* MERGEFORMAT</w:instrText>
    </w:r>
    <w:r>
      <w:fldChar w:fldCharType="separate"/>
    </w:r>
    <w:r w:rsidR="00851C01">
      <w:t>Part 5.5: Physical Markets Settlement Statements</w:t>
    </w:r>
    <w:r>
      <w:fldChar w:fldCharType="end"/>
    </w:r>
    <w:r w:rsidR="00851C01">
      <w:tab/>
      <w:t>Document Change History</w:t>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497AB0" w14:textId="137901CE" w:rsidR="00851C01" w:rsidRDefault="00851C01" w:rsidP="00E91F6C">
    <w:pPr>
      <w:pStyle w:val="Header"/>
      <w:tabs>
        <w:tab w:val="clear" w:pos="9540"/>
        <w:tab w:val="right" w:pos="8820"/>
        <w:tab w:val="right" w:pos="13500"/>
      </w:tabs>
      <w:ind w:right="90"/>
    </w:pPr>
    <w:r>
      <w:fldChar w:fldCharType="begin"/>
    </w:r>
    <w:r>
      <w:instrText xml:space="preserve"> STYLEREF \w "</w:instrText>
    </w:r>
    <w:r w:rsidR="005C5CD4">
      <w:fldChar w:fldCharType="begin"/>
    </w:r>
    <w:r w:rsidR="005C5CD4">
      <w:instrText>KEYWORDS  \* MERGEFORMAT</w:instrText>
    </w:r>
    <w:r w:rsidR="005C5CD4">
      <w:fldChar w:fldCharType="separate"/>
    </w:r>
    <w:r>
      <w:instrText>MDP_PRO_0033</w:instrText>
    </w:r>
    <w:r w:rsidR="005C5CD4">
      <w:fldChar w:fldCharType="end"/>
    </w:r>
    <w:r>
      <w:instrText xml:space="preserve">F "Heading 1" \* MERGEFORMAT </w:instrText>
    </w:r>
    <w:r>
      <w:fldChar w:fldCharType="separate"/>
    </w:r>
    <w:r>
      <w:rPr>
        <w:b/>
        <w:bCs/>
        <w:noProof/>
      </w:rPr>
      <w:t>Error! Use the Home tab to apply  to the text that you want to appear here.</w:t>
    </w:r>
    <w:r>
      <w:fldChar w:fldCharType="end"/>
    </w:r>
    <w:r>
      <w:tab/>
    </w:r>
    <w:r w:rsidR="005C5CD4">
      <w:fldChar w:fldCharType="begin"/>
    </w:r>
    <w:r w:rsidR="005C5CD4">
      <w:instrText>KEYWORDS  \* MERGEFORMAT</w:instrText>
    </w:r>
    <w:r w:rsidR="005C5CD4">
      <w:fldChar w:fldCharType="separate"/>
    </w:r>
    <w:r>
      <w:t>MDP_PRO_0033</w:t>
    </w:r>
    <w:r w:rsidR="005C5CD4">
      <w:fldChar w:fldCharType="end"/>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52D218" w14:textId="5771F077" w:rsidR="00851C01" w:rsidRPr="009A53F0" w:rsidRDefault="005C5CD4" w:rsidP="00FA22C9">
    <w:pPr>
      <w:pStyle w:val="Header"/>
    </w:pPr>
    <w:r>
      <w:fldChar w:fldCharType="begin"/>
    </w:r>
    <w:r>
      <w:instrText>TITLE  \* MERGEFORMAT</w:instrText>
    </w:r>
    <w:r>
      <w:fldChar w:fldCharType="separate"/>
    </w:r>
    <w:r w:rsidR="00851C01">
      <w:t>Part 5.5: Physical Markets Settlement Statements</w:t>
    </w:r>
    <w:r>
      <w:fldChar w:fldCharType="end"/>
    </w:r>
    <w:r w:rsidR="00851C01">
      <w:tab/>
    </w:r>
    <w:r w:rsidR="00851C01">
      <w:rPr>
        <w:noProof/>
      </w:rPr>
      <w:fldChar w:fldCharType="begin"/>
    </w:r>
    <w:r w:rsidR="00851C01">
      <w:rPr>
        <w:noProof/>
      </w:rPr>
      <w:instrText xml:space="preserve"> STYLEREF  TableofContents  \* MERGEFORMAT </w:instrText>
    </w:r>
    <w:r w:rsidR="00851C01">
      <w:rPr>
        <w:noProof/>
      </w:rPr>
      <w:fldChar w:fldCharType="separate"/>
    </w:r>
    <w:r>
      <w:rPr>
        <w:noProof/>
      </w:rPr>
      <w:t>Table of Changes</w:t>
    </w:r>
    <w:r w:rsidR="00851C01">
      <w:rPr>
        <w:noProof/>
      </w:rPr>
      <w:fldChar w:fldCharType="end"/>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7805BB" w14:textId="15CA40B3" w:rsidR="00851C01" w:rsidRPr="009A53F0" w:rsidRDefault="005C5CD4" w:rsidP="00FA22C9">
    <w:pPr>
      <w:pStyle w:val="Header"/>
    </w:pPr>
    <w:r>
      <w:fldChar w:fldCharType="begin"/>
    </w:r>
    <w:r>
      <w:instrText>TITLE  \* MERGEFORMAT</w:instrText>
    </w:r>
    <w:r>
      <w:fldChar w:fldCharType="separate"/>
    </w:r>
    <w:r w:rsidR="00851C01">
      <w:t>Part 5.5: Physical Markets Settlement Statements</w:t>
    </w:r>
    <w:r>
      <w:fldChar w:fldCharType="end"/>
    </w:r>
    <w:r w:rsidR="00851C01">
      <w:tab/>
    </w:r>
    <w:r w:rsidR="00851C01" w:rsidRPr="00991148">
      <w:rPr>
        <w:rStyle w:val="Heading1Char"/>
        <w:rFonts w:ascii="Times New Roman" w:hAnsi="Times New Roman"/>
        <w:b w:val="0"/>
        <w:sz w:val="20"/>
      </w:rPr>
      <w:t>Market Manuals</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E"/>
    <w:multiLevelType w:val="singleLevel"/>
    <w:tmpl w:val="CEAEA384"/>
    <w:lvl w:ilvl="0">
      <w:start w:val="1"/>
      <w:numFmt w:val="decimal"/>
      <w:pStyle w:val="ListNumber3"/>
      <w:lvlText w:val="%1."/>
      <w:lvlJc w:val="left"/>
      <w:pPr>
        <w:tabs>
          <w:tab w:val="num" w:pos="1800"/>
        </w:tabs>
        <w:ind w:left="1440" w:hanging="360"/>
      </w:pPr>
    </w:lvl>
  </w:abstractNum>
  <w:abstractNum w:abstractNumId="1" w15:restartNumberingAfterBreak="0">
    <w:nsid w:val="017818A1"/>
    <w:multiLevelType w:val="hybridMultilevel"/>
    <w:tmpl w:val="164A8A70"/>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364488E"/>
    <w:multiLevelType w:val="hybridMultilevel"/>
    <w:tmpl w:val="6FB273D6"/>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574747B"/>
    <w:multiLevelType w:val="hybridMultilevel"/>
    <w:tmpl w:val="DFD8FB98"/>
    <w:lvl w:ilvl="0" w:tplc="10090001">
      <w:start w:val="1"/>
      <w:numFmt w:val="bullet"/>
      <w:lvlText w:val=""/>
      <w:lvlJc w:val="left"/>
      <w:pPr>
        <w:ind w:left="720" w:hanging="360"/>
      </w:pPr>
      <w:rPr>
        <w:rFonts w:ascii="Symbol" w:hAnsi="Symbol"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 w15:restartNumberingAfterBreak="0">
    <w:nsid w:val="05A838BB"/>
    <w:multiLevelType w:val="multilevel"/>
    <w:tmpl w:val="A6E06BA6"/>
    <w:lvl w:ilvl="0">
      <w:start w:val="1"/>
      <w:numFmt w:val="decimal"/>
      <w:lvlText w:val="%1."/>
      <w:lvlJc w:val="left"/>
      <w:pPr>
        <w:tabs>
          <w:tab w:val="num" w:pos="1080"/>
        </w:tabs>
        <w:ind w:left="1080" w:hanging="1080"/>
      </w:pPr>
    </w:lvl>
    <w:lvl w:ilvl="1">
      <w:start w:val="1"/>
      <w:numFmt w:val="decimal"/>
      <w:lvlText w:val="%1.%2"/>
      <w:lvlJc w:val="left"/>
      <w:pPr>
        <w:tabs>
          <w:tab w:val="num" w:pos="1080"/>
        </w:tabs>
        <w:ind w:left="1080" w:hanging="1080"/>
      </w:pPr>
    </w:lvl>
    <w:lvl w:ilvl="2">
      <w:start w:val="1"/>
      <w:numFmt w:val="decimal"/>
      <w:lvlText w:val="%1.%2.%3"/>
      <w:lvlJc w:val="left"/>
      <w:pPr>
        <w:tabs>
          <w:tab w:val="num" w:pos="1080"/>
        </w:tabs>
        <w:ind w:left="1080" w:hanging="1080"/>
      </w:pPr>
      <w:rPr>
        <w:rFonts w:ascii="Times New Roman" w:hAnsi="Times New Roman" w:hint="default"/>
        <w:b w:val="0"/>
        <w:i w:val="0"/>
        <w:sz w:val="24"/>
      </w:rPr>
    </w:lvl>
    <w:lvl w:ilvl="3">
      <w:start w:val="1"/>
      <w:numFmt w:val="decimal"/>
      <w:pStyle w:val="BodyText4"/>
      <w:lvlText w:val="%1.%2.%3.%4"/>
      <w:lvlJc w:val="left"/>
      <w:pPr>
        <w:tabs>
          <w:tab w:val="num" w:pos="2160"/>
        </w:tabs>
        <w:ind w:left="2160" w:hanging="1080"/>
      </w:pPr>
      <w:rPr>
        <w:rFonts w:ascii="Times New Roman" w:hAnsi="Times New Roman" w:hint="default"/>
        <w:b w:val="0"/>
        <w:i w:val="0"/>
        <w:sz w:val="24"/>
      </w:rPr>
    </w:lvl>
    <w:lvl w:ilvl="4">
      <w:start w:val="1"/>
      <w:numFmt w:val="none"/>
      <w:suff w:val="nothing"/>
      <w:lvlText w:val=""/>
      <w:lvlJc w:val="left"/>
      <w:pPr>
        <w:ind w:left="108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5" w15:restartNumberingAfterBreak="0">
    <w:nsid w:val="05D31A96"/>
    <w:multiLevelType w:val="hybridMultilevel"/>
    <w:tmpl w:val="55843F72"/>
    <w:lvl w:ilvl="0" w:tplc="BF20A95A">
      <w:start w:val="1"/>
      <w:numFmt w:val="bullet"/>
      <w:pStyle w:val="ListBullet2"/>
      <w:lvlText w:val="−"/>
      <w:lvlJc w:val="left"/>
      <w:pPr>
        <w:tabs>
          <w:tab w:val="num" w:pos="1224"/>
        </w:tabs>
        <w:ind w:left="1224" w:hanging="360"/>
      </w:pPr>
      <w:rPr>
        <w:rFonts w:ascii="Times New Roman" w:hAnsi="Times New Roman" w:cs="Times New Roman"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70B4FD1"/>
    <w:multiLevelType w:val="hybridMultilevel"/>
    <w:tmpl w:val="8E5A8362"/>
    <w:lvl w:ilvl="0" w:tplc="10090001">
      <w:start w:val="1"/>
      <w:numFmt w:val="bullet"/>
      <w:lvlText w:val=""/>
      <w:lvlJc w:val="left"/>
      <w:pPr>
        <w:ind w:left="827" w:hanging="360"/>
      </w:pPr>
      <w:rPr>
        <w:rFonts w:ascii="Symbol" w:hAnsi="Symbol" w:hint="default"/>
      </w:rPr>
    </w:lvl>
    <w:lvl w:ilvl="1" w:tplc="10090003" w:tentative="1">
      <w:start w:val="1"/>
      <w:numFmt w:val="bullet"/>
      <w:lvlText w:val="o"/>
      <w:lvlJc w:val="left"/>
      <w:pPr>
        <w:ind w:left="1547" w:hanging="360"/>
      </w:pPr>
      <w:rPr>
        <w:rFonts w:ascii="Courier New" w:hAnsi="Courier New" w:cs="Courier New" w:hint="default"/>
      </w:rPr>
    </w:lvl>
    <w:lvl w:ilvl="2" w:tplc="10090005" w:tentative="1">
      <w:start w:val="1"/>
      <w:numFmt w:val="bullet"/>
      <w:lvlText w:val=""/>
      <w:lvlJc w:val="left"/>
      <w:pPr>
        <w:ind w:left="2267" w:hanging="360"/>
      </w:pPr>
      <w:rPr>
        <w:rFonts w:ascii="Wingdings" w:hAnsi="Wingdings" w:hint="default"/>
      </w:rPr>
    </w:lvl>
    <w:lvl w:ilvl="3" w:tplc="10090001" w:tentative="1">
      <w:start w:val="1"/>
      <w:numFmt w:val="bullet"/>
      <w:lvlText w:val=""/>
      <w:lvlJc w:val="left"/>
      <w:pPr>
        <w:ind w:left="2987" w:hanging="360"/>
      </w:pPr>
      <w:rPr>
        <w:rFonts w:ascii="Symbol" w:hAnsi="Symbol" w:hint="default"/>
      </w:rPr>
    </w:lvl>
    <w:lvl w:ilvl="4" w:tplc="10090003" w:tentative="1">
      <w:start w:val="1"/>
      <w:numFmt w:val="bullet"/>
      <w:lvlText w:val="o"/>
      <w:lvlJc w:val="left"/>
      <w:pPr>
        <w:ind w:left="3707" w:hanging="360"/>
      </w:pPr>
      <w:rPr>
        <w:rFonts w:ascii="Courier New" w:hAnsi="Courier New" w:cs="Courier New" w:hint="default"/>
      </w:rPr>
    </w:lvl>
    <w:lvl w:ilvl="5" w:tplc="10090005" w:tentative="1">
      <w:start w:val="1"/>
      <w:numFmt w:val="bullet"/>
      <w:lvlText w:val=""/>
      <w:lvlJc w:val="left"/>
      <w:pPr>
        <w:ind w:left="4427" w:hanging="360"/>
      </w:pPr>
      <w:rPr>
        <w:rFonts w:ascii="Wingdings" w:hAnsi="Wingdings" w:hint="default"/>
      </w:rPr>
    </w:lvl>
    <w:lvl w:ilvl="6" w:tplc="10090001" w:tentative="1">
      <w:start w:val="1"/>
      <w:numFmt w:val="bullet"/>
      <w:lvlText w:val=""/>
      <w:lvlJc w:val="left"/>
      <w:pPr>
        <w:ind w:left="5147" w:hanging="360"/>
      </w:pPr>
      <w:rPr>
        <w:rFonts w:ascii="Symbol" w:hAnsi="Symbol" w:hint="default"/>
      </w:rPr>
    </w:lvl>
    <w:lvl w:ilvl="7" w:tplc="10090003" w:tentative="1">
      <w:start w:val="1"/>
      <w:numFmt w:val="bullet"/>
      <w:lvlText w:val="o"/>
      <w:lvlJc w:val="left"/>
      <w:pPr>
        <w:ind w:left="5867" w:hanging="360"/>
      </w:pPr>
      <w:rPr>
        <w:rFonts w:ascii="Courier New" w:hAnsi="Courier New" w:cs="Courier New" w:hint="default"/>
      </w:rPr>
    </w:lvl>
    <w:lvl w:ilvl="8" w:tplc="10090005" w:tentative="1">
      <w:start w:val="1"/>
      <w:numFmt w:val="bullet"/>
      <w:lvlText w:val=""/>
      <w:lvlJc w:val="left"/>
      <w:pPr>
        <w:ind w:left="6587" w:hanging="360"/>
      </w:pPr>
      <w:rPr>
        <w:rFonts w:ascii="Wingdings" w:hAnsi="Wingdings" w:hint="default"/>
      </w:rPr>
    </w:lvl>
  </w:abstractNum>
  <w:abstractNum w:abstractNumId="7" w15:restartNumberingAfterBreak="0">
    <w:nsid w:val="070E5CAB"/>
    <w:multiLevelType w:val="hybridMultilevel"/>
    <w:tmpl w:val="8D6AC81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 w15:restartNumberingAfterBreak="0">
    <w:nsid w:val="080D0D48"/>
    <w:multiLevelType w:val="hybridMultilevel"/>
    <w:tmpl w:val="6854D4A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 w15:restartNumberingAfterBreak="0">
    <w:nsid w:val="090D57C0"/>
    <w:multiLevelType w:val="hybridMultilevel"/>
    <w:tmpl w:val="4D66BFDA"/>
    <w:lvl w:ilvl="0" w:tplc="CD1C461A">
      <w:start w:val="1"/>
      <w:numFmt w:val="lowerLetter"/>
      <w:lvlText w:val="%1)"/>
      <w:lvlJc w:val="left"/>
      <w:pPr>
        <w:ind w:left="720" w:hanging="360"/>
      </w:pPr>
      <w:rPr>
        <w:rFonts w:ascii="Times New Roman" w:eastAsia="Times New Roman" w:hAnsi="Times New Roman" w:cs="Times New Roman"/>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0" w15:restartNumberingAfterBreak="0">
    <w:nsid w:val="0B4343AE"/>
    <w:multiLevelType w:val="singleLevel"/>
    <w:tmpl w:val="D772E830"/>
    <w:lvl w:ilvl="0">
      <w:start w:val="1"/>
      <w:numFmt w:val="lowerLetter"/>
      <w:pStyle w:val="ListAlpha3"/>
      <w:lvlText w:val="%1."/>
      <w:lvlJc w:val="left"/>
      <w:pPr>
        <w:tabs>
          <w:tab w:val="num" w:pos="1584"/>
        </w:tabs>
        <w:ind w:left="1584" w:hanging="360"/>
      </w:pPr>
    </w:lvl>
  </w:abstractNum>
  <w:abstractNum w:abstractNumId="11" w15:restartNumberingAfterBreak="0">
    <w:nsid w:val="0C485E0A"/>
    <w:multiLevelType w:val="hybridMultilevel"/>
    <w:tmpl w:val="F52E76CE"/>
    <w:lvl w:ilvl="0" w:tplc="CD1C461A">
      <w:start w:val="1"/>
      <w:numFmt w:val="lowerLetter"/>
      <w:lvlText w:val="%1)"/>
      <w:lvlJc w:val="left"/>
      <w:pPr>
        <w:ind w:left="720" w:hanging="360"/>
      </w:pPr>
      <w:rPr>
        <w:rFonts w:ascii="Times New Roman" w:eastAsia="Times New Roman" w:hAnsi="Times New Roman" w:cs="Times New Roman"/>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2" w15:restartNumberingAfterBreak="0">
    <w:nsid w:val="0C6534C5"/>
    <w:multiLevelType w:val="hybridMultilevel"/>
    <w:tmpl w:val="481A9CB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3" w15:restartNumberingAfterBreak="0">
    <w:nsid w:val="0D8C6F01"/>
    <w:multiLevelType w:val="hybridMultilevel"/>
    <w:tmpl w:val="998AAD00"/>
    <w:lvl w:ilvl="0" w:tplc="10090001">
      <w:start w:val="1"/>
      <w:numFmt w:val="bullet"/>
      <w:lvlText w:val=""/>
      <w:lvlJc w:val="left"/>
      <w:pPr>
        <w:tabs>
          <w:tab w:val="num" w:pos="360"/>
        </w:tabs>
        <w:ind w:left="360" w:hanging="360"/>
      </w:pPr>
      <w:rPr>
        <w:rFonts w:ascii="Symbol" w:hAnsi="Symbol" w:hint="default"/>
      </w:rPr>
    </w:lvl>
    <w:lvl w:ilvl="1" w:tplc="10090003" w:tentative="1">
      <w:start w:val="1"/>
      <w:numFmt w:val="bullet"/>
      <w:lvlText w:val="o"/>
      <w:lvlJc w:val="left"/>
      <w:pPr>
        <w:tabs>
          <w:tab w:val="num" w:pos="1080"/>
        </w:tabs>
        <w:ind w:left="1080" w:hanging="360"/>
      </w:pPr>
      <w:rPr>
        <w:rFonts w:ascii="Courier New" w:hAnsi="Courier New" w:cs="Courier New" w:hint="default"/>
      </w:rPr>
    </w:lvl>
    <w:lvl w:ilvl="2" w:tplc="10090005" w:tentative="1">
      <w:start w:val="1"/>
      <w:numFmt w:val="bullet"/>
      <w:lvlText w:val=""/>
      <w:lvlJc w:val="left"/>
      <w:pPr>
        <w:tabs>
          <w:tab w:val="num" w:pos="1800"/>
        </w:tabs>
        <w:ind w:left="1800" w:hanging="360"/>
      </w:pPr>
      <w:rPr>
        <w:rFonts w:ascii="Wingdings" w:hAnsi="Wingdings" w:hint="default"/>
      </w:rPr>
    </w:lvl>
    <w:lvl w:ilvl="3" w:tplc="10090001" w:tentative="1">
      <w:start w:val="1"/>
      <w:numFmt w:val="bullet"/>
      <w:lvlText w:val=""/>
      <w:lvlJc w:val="left"/>
      <w:pPr>
        <w:tabs>
          <w:tab w:val="num" w:pos="2520"/>
        </w:tabs>
        <w:ind w:left="2520" w:hanging="360"/>
      </w:pPr>
      <w:rPr>
        <w:rFonts w:ascii="Symbol" w:hAnsi="Symbol" w:hint="default"/>
      </w:rPr>
    </w:lvl>
    <w:lvl w:ilvl="4" w:tplc="10090003" w:tentative="1">
      <w:start w:val="1"/>
      <w:numFmt w:val="bullet"/>
      <w:lvlText w:val="o"/>
      <w:lvlJc w:val="left"/>
      <w:pPr>
        <w:tabs>
          <w:tab w:val="num" w:pos="3240"/>
        </w:tabs>
        <w:ind w:left="3240" w:hanging="360"/>
      </w:pPr>
      <w:rPr>
        <w:rFonts w:ascii="Courier New" w:hAnsi="Courier New" w:cs="Courier New" w:hint="default"/>
      </w:rPr>
    </w:lvl>
    <w:lvl w:ilvl="5" w:tplc="10090005" w:tentative="1">
      <w:start w:val="1"/>
      <w:numFmt w:val="bullet"/>
      <w:lvlText w:val=""/>
      <w:lvlJc w:val="left"/>
      <w:pPr>
        <w:tabs>
          <w:tab w:val="num" w:pos="3960"/>
        </w:tabs>
        <w:ind w:left="3960" w:hanging="360"/>
      </w:pPr>
      <w:rPr>
        <w:rFonts w:ascii="Wingdings" w:hAnsi="Wingdings" w:hint="default"/>
      </w:rPr>
    </w:lvl>
    <w:lvl w:ilvl="6" w:tplc="10090001" w:tentative="1">
      <w:start w:val="1"/>
      <w:numFmt w:val="bullet"/>
      <w:lvlText w:val=""/>
      <w:lvlJc w:val="left"/>
      <w:pPr>
        <w:tabs>
          <w:tab w:val="num" w:pos="4680"/>
        </w:tabs>
        <w:ind w:left="4680" w:hanging="360"/>
      </w:pPr>
      <w:rPr>
        <w:rFonts w:ascii="Symbol" w:hAnsi="Symbol" w:hint="default"/>
      </w:rPr>
    </w:lvl>
    <w:lvl w:ilvl="7" w:tplc="10090003" w:tentative="1">
      <w:start w:val="1"/>
      <w:numFmt w:val="bullet"/>
      <w:lvlText w:val="o"/>
      <w:lvlJc w:val="left"/>
      <w:pPr>
        <w:tabs>
          <w:tab w:val="num" w:pos="5400"/>
        </w:tabs>
        <w:ind w:left="5400" w:hanging="360"/>
      </w:pPr>
      <w:rPr>
        <w:rFonts w:ascii="Courier New" w:hAnsi="Courier New" w:cs="Courier New" w:hint="default"/>
      </w:rPr>
    </w:lvl>
    <w:lvl w:ilvl="8" w:tplc="10090005" w:tentative="1">
      <w:start w:val="1"/>
      <w:numFmt w:val="bullet"/>
      <w:lvlText w:val=""/>
      <w:lvlJc w:val="left"/>
      <w:pPr>
        <w:tabs>
          <w:tab w:val="num" w:pos="6120"/>
        </w:tabs>
        <w:ind w:left="6120" w:hanging="360"/>
      </w:pPr>
      <w:rPr>
        <w:rFonts w:ascii="Wingdings" w:hAnsi="Wingdings" w:hint="default"/>
      </w:rPr>
    </w:lvl>
  </w:abstractNum>
  <w:abstractNum w:abstractNumId="14" w15:restartNumberingAfterBreak="0">
    <w:nsid w:val="0EB26745"/>
    <w:multiLevelType w:val="hybridMultilevel"/>
    <w:tmpl w:val="C3C85694"/>
    <w:lvl w:ilvl="0" w:tplc="CB3E9178">
      <w:start w:val="1"/>
      <w:numFmt w:val="bullet"/>
      <w:lvlText w:val=""/>
      <w:lvlJc w:val="left"/>
      <w:pPr>
        <w:tabs>
          <w:tab w:val="num" w:pos="1224"/>
        </w:tabs>
        <w:ind w:left="1224" w:hanging="360"/>
      </w:pPr>
      <w:rPr>
        <w:rFonts w:ascii="Wingdings" w:hAnsi="Wingdings" w:hint="default"/>
      </w:rPr>
    </w:lvl>
    <w:lvl w:ilvl="1" w:tplc="1009000B">
      <w:start w:val="1"/>
      <w:numFmt w:val="bullet"/>
      <w:lvlText w:val=""/>
      <w:lvlJc w:val="left"/>
      <w:pPr>
        <w:tabs>
          <w:tab w:val="num" w:pos="1440"/>
        </w:tabs>
        <w:ind w:left="1440" w:hanging="360"/>
      </w:pPr>
      <w:rPr>
        <w:rFonts w:ascii="Wingdings" w:hAnsi="Wingdings"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0ED2484B"/>
    <w:multiLevelType w:val="hybridMultilevel"/>
    <w:tmpl w:val="54CA46FA"/>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6" w15:restartNumberingAfterBreak="0">
    <w:nsid w:val="10E56746"/>
    <w:multiLevelType w:val="hybridMultilevel"/>
    <w:tmpl w:val="8CA41BEA"/>
    <w:lvl w:ilvl="0" w:tplc="10090005">
      <w:start w:val="1"/>
      <w:numFmt w:val="bullet"/>
      <w:lvlText w:val=""/>
      <w:lvlJc w:val="left"/>
      <w:pPr>
        <w:tabs>
          <w:tab w:val="num" w:pos="360"/>
        </w:tabs>
        <w:ind w:left="360" w:hanging="360"/>
      </w:pPr>
      <w:rPr>
        <w:rFonts w:ascii="Wingdings" w:hAnsi="Wingdings" w:hint="default"/>
      </w:rPr>
    </w:lvl>
    <w:lvl w:ilvl="1" w:tplc="10090003">
      <w:start w:val="1"/>
      <w:numFmt w:val="bullet"/>
      <w:lvlText w:val="o"/>
      <w:lvlJc w:val="left"/>
      <w:pPr>
        <w:tabs>
          <w:tab w:val="num" w:pos="360"/>
        </w:tabs>
        <w:ind w:left="360" w:hanging="360"/>
      </w:pPr>
      <w:rPr>
        <w:rFonts w:ascii="Courier New" w:hAnsi="Courier New" w:cs="Courier New" w:hint="default"/>
      </w:rPr>
    </w:lvl>
    <w:lvl w:ilvl="2" w:tplc="10090005">
      <w:start w:val="1"/>
      <w:numFmt w:val="bullet"/>
      <w:lvlText w:val=""/>
      <w:lvlJc w:val="left"/>
      <w:pPr>
        <w:tabs>
          <w:tab w:val="num" w:pos="1080"/>
        </w:tabs>
        <w:ind w:left="1080" w:hanging="360"/>
      </w:pPr>
      <w:rPr>
        <w:rFonts w:ascii="Wingdings" w:hAnsi="Wingdings" w:hint="default"/>
      </w:rPr>
    </w:lvl>
    <w:lvl w:ilvl="3" w:tplc="10090001" w:tentative="1">
      <w:start w:val="1"/>
      <w:numFmt w:val="bullet"/>
      <w:lvlText w:val=""/>
      <w:lvlJc w:val="left"/>
      <w:pPr>
        <w:tabs>
          <w:tab w:val="num" w:pos="1800"/>
        </w:tabs>
        <w:ind w:left="1800" w:hanging="360"/>
      </w:pPr>
      <w:rPr>
        <w:rFonts w:ascii="Symbol" w:hAnsi="Symbol" w:hint="default"/>
      </w:rPr>
    </w:lvl>
    <w:lvl w:ilvl="4" w:tplc="10090003" w:tentative="1">
      <w:start w:val="1"/>
      <w:numFmt w:val="bullet"/>
      <w:lvlText w:val="o"/>
      <w:lvlJc w:val="left"/>
      <w:pPr>
        <w:tabs>
          <w:tab w:val="num" w:pos="2520"/>
        </w:tabs>
        <w:ind w:left="2520" w:hanging="360"/>
      </w:pPr>
      <w:rPr>
        <w:rFonts w:ascii="Courier New" w:hAnsi="Courier New" w:cs="Courier New" w:hint="default"/>
      </w:rPr>
    </w:lvl>
    <w:lvl w:ilvl="5" w:tplc="10090005" w:tentative="1">
      <w:start w:val="1"/>
      <w:numFmt w:val="bullet"/>
      <w:lvlText w:val=""/>
      <w:lvlJc w:val="left"/>
      <w:pPr>
        <w:tabs>
          <w:tab w:val="num" w:pos="3240"/>
        </w:tabs>
        <w:ind w:left="3240" w:hanging="360"/>
      </w:pPr>
      <w:rPr>
        <w:rFonts w:ascii="Wingdings" w:hAnsi="Wingdings" w:hint="default"/>
      </w:rPr>
    </w:lvl>
    <w:lvl w:ilvl="6" w:tplc="10090001" w:tentative="1">
      <w:start w:val="1"/>
      <w:numFmt w:val="bullet"/>
      <w:lvlText w:val=""/>
      <w:lvlJc w:val="left"/>
      <w:pPr>
        <w:tabs>
          <w:tab w:val="num" w:pos="3960"/>
        </w:tabs>
        <w:ind w:left="3960" w:hanging="360"/>
      </w:pPr>
      <w:rPr>
        <w:rFonts w:ascii="Symbol" w:hAnsi="Symbol" w:hint="default"/>
      </w:rPr>
    </w:lvl>
    <w:lvl w:ilvl="7" w:tplc="10090003" w:tentative="1">
      <w:start w:val="1"/>
      <w:numFmt w:val="bullet"/>
      <w:lvlText w:val="o"/>
      <w:lvlJc w:val="left"/>
      <w:pPr>
        <w:tabs>
          <w:tab w:val="num" w:pos="4680"/>
        </w:tabs>
        <w:ind w:left="4680" w:hanging="360"/>
      </w:pPr>
      <w:rPr>
        <w:rFonts w:ascii="Courier New" w:hAnsi="Courier New" w:cs="Courier New" w:hint="default"/>
      </w:rPr>
    </w:lvl>
    <w:lvl w:ilvl="8" w:tplc="10090005" w:tentative="1">
      <w:start w:val="1"/>
      <w:numFmt w:val="bullet"/>
      <w:lvlText w:val=""/>
      <w:lvlJc w:val="left"/>
      <w:pPr>
        <w:tabs>
          <w:tab w:val="num" w:pos="5400"/>
        </w:tabs>
        <w:ind w:left="5400" w:hanging="360"/>
      </w:pPr>
      <w:rPr>
        <w:rFonts w:ascii="Wingdings" w:hAnsi="Wingdings" w:hint="default"/>
      </w:rPr>
    </w:lvl>
  </w:abstractNum>
  <w:abstractNum w:abstractNumId="17" w15:restartNumberingAfterBreak="0">
    <w:nsid w:val="10FD66A0"/>
    <w:multiLevelType w:val="hybridMultilevel"/>
    <w:tmpl w:val="E82C728C"/>
    <w:lvl w:ilvl="0" w:tplc="1009000F">
      <w:start w:val="1"/>
      <w:numFmt w:val="decimal"/>
      <w:lvlText w:val="%1."/>
      <w:lvlJc w:val="left"/>
      <w:pPr>
        <w:ind w:left="720" w:hanging="360"/>
      </w:pPr>
    </w:lvl>
    <w:lvl w:ilvl="1" w:tplc="10090003">
      <w:start w:val="1"/>
      <w:numFmt w:val="decimal"/>
      <w:lvlText w:val="%2."/>
      <w:lvlJc w:val="left"/>
      <w:pPr>
        <w:tabs>
          <w:tab w:val="num" w:pos="1440"/>
        </w:tabs>
        <w:ind w:left="1440" w:hanging="360"/>
      </w:pPr>
    </w:lvl>
    <w:lvl w:ilvl="2" w:tplc="10090005">
      <w:start w:val="1"/>
      <w:numFmt w:val="decimal"/>
      <w:lvlText w:val="%3."/>
      <w:lvlJc w:val="left"/>
      <w:pPr>
        <w:tabs>
          <w:tab w:val="num" w:pos="2160"/>
        </w:tabs>
        <w:ind w:left="2160" w:hanging="360"/>
      </w:pPr>
    </w:lvl>
    <w:lvl w:ilvl="3" w:tplc="10090001">
      <w:start w:val="1"/>
      <w:numFmt w:val="decimal"/>
      <w:lvlText w:val="%4."/>
      <w:lvlJc w:val="left"/>
      <w:pPr>
        <w:tabs>
          <w:tab w:val="num" w:pos="2880"/>
        </w:tabs>
        <w:ind w:left="2880" w:hanging="360"/>
      </w:pPr>
    </w:lvl>
    <w:lvl w:ilvl="4" w:tplc="10090003">
      <w:start w:val="1"/>
      <w:numFmt w:val="decimal"/>
      <w:lvlText w:val="%5."/>
      <w:lvlJc w:val="left"/>
      <w:pPr>
        <w:tabs>
          <w:tab w:val="num" w:pos="3600"/>
        </w:tabs>
        <w:ind w:left="3600" w:hanging="360"/>
      </w:pPr>
    </w:lvl>
    <w:lvl w:ilvl="5" w:tplc="10090005">
      <w:start w:val="1"/>
      <w:numFmt w:val="decimal"/>
      <w:lvlText w:val="%6."/>
      <w:lvlJc w:val="left"/>
      <w:pPr>
        <w:tabs>
          <w:tab w:val="num" w:pos="4320"/>
        </w:tabs>
        <w:ind w:left="4320" w:hanging="360"/>
      </w:pPr>
    </w:lvl>
    <w:lvl w:ilvl="6" w:tplc="10090001">
      <w:start w:val="1"/>
      <w:numFmt w:val="decimal"/>
      <w:lvlText w:val="%7."/>
      <w:lvlJc w:val="left"/>
      <w:pPr>
        <w:tabs>
          <w:tab w:val="num" w:pos="5040"/>
        </w:tabs>
        <w:ind w:left="5040" w:hanging="360"/>
      </w:pPr>
    </w:lvl>
    <w:lvl w:ilvl="7" w:tplc="10090003">
      <w:start w:val="1"/>
      <w:numFmt w:val="decimal"/>
      <w:lvlText w:val="%8."/>
      <w:lvlJc w:val="left"/>
      <w:pPr>
        <w:tabs>
          <w:tab w:val="num" w:pos="5760"/>
        </w:tabs>
        <w:ind w:left="5760" w:hanging="360"/>
      </w:pPr>
    </w:lvl>
    <w:lvl w:ilvl="8" w:tplc="10090005">
      <w:start w:val="1"/>
      <w:numFmt w:val="decimal"/>
      <w:lvlText w:val="%9."/>
      <w:lvlJc w:val="left"/>
      <w:pPr>
        <w:tabs>
          <w:tab w:val="num" w:pos="6480"/>
        </w:tabs>
        <w:ind w:left="6480" w:hanging="360"/>
      </w:pPr>
    </w:lvl>
  </w:abstractNum>
  <w:abstractNum w:abstractNumId="18" w15:restartNumberingAfterBreak="0">
    <w:nsid w:val="121601F5"/>
    <w:multiLevelType w:val="hybridMultilevel"/>
    <w:tmpl w:val="80FCA16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9" w15:restartNumberingAfterBreak="0">
    <w:nsid w:val="149430F3"/>
    <w:multiLevelType w:val="hybridMultilevel"/>
    <w:tmpl w:val="883E3EA0"/>
    <w:lvl w:ilvl="0" w:tplc="EC90E16C">
      <w:start w:val="1"/>
      <w:numFmt w:val="decimal"/>
      <w:lvlText w:val="%1."/>
      <w:lvlJc w:val="left"/>
      <w:pPr>
        <w:tabs>
          <w:tab w:val="num" w:pos="720"/>
        </w:tabs>
        <w:ind w:left="720" w:hanging="360"/>
      </w:pPr>
      <w:rPr>
        <w:rFonts w:hint="default"/>
      </w:rPr>
    </w:lvl>
    <w:lvl w:ilvl="1" w:tplc="10090019" w:tentative="1">
      <w:start w:val="1"/>
      <w:numFmt w:val="lowerLetter"/>
      <w:lvlText w:val="%2."/>
      <w:lvlJc w:val="left"/>
      <w:pPr>
        <w:tabs>
          <w:tab w:val="num" w:pos="1440"/>
        </w:tabs>
        <w:ind w:left="1440" w:hanging="360"/>
      </w:pPr>
    </w:lvl>
    <w:lvl w:ilvl="2" w:tplc="1009001B">
      <w:start w:val="1"/>
      <w:numFmt w:val="lowerRoman"/>
      <w:lvlText w:val="%3."/>
      <w:lvlJc w:val="right"/>
      <w:pPr>
        <w:tabs>
          <w:tab w:val="num" w:pos="2160"/>
        </w:tabs>
        <w:ind w:left="2160" w:hanging="180"/>
      </w:pPr>
    </w:lvl>
    <w:lvl w:ilvl="3" w:tplc="1009000F" w:tentative="1">
      <w:start w:val="1"/>
      <w:numFmt w:val="decimal"/>
      <w:lvlText w:val="%4."/>
      <w:lvlJc w:val="left"/>
      <w:pPr>
        <w:tabs>
          <w:tab w:val="num" w:pos="2880"/>
        </w:tabs>
        <w:ind w:left="2880" w:hanging="360"/>
      </w:pPr>
    </w:lvl>
    <w:lvl w:ilvl="4" w:tplc="10090019" w:tentative="1">
      <w:start w:val="1"/>
      <w:numFmt w:val="lowerLetter"/>
      <w:lvlText w:val="%5."/>
      <w:lvlJc w:val="left"/>
      <w:pPr>
        <w:tabs>
          <w:tab w:val="num" w:pos="3600"/>
        </w:tabs>
        <w:ind w:left="3600" w:hanging="360"/>
      </w:pPr>
    </w:lvl>
    <w:lvl w:ilvl="5" w:tplc="1009001B" w:tentative="1">
      <w:start w:val="1"/>
      <w:numFmt w:val="lowerRoman"/>
      <w:lvlText w:val="%6."/>
      <w:lvlJc w:val="right"/>
      <w:pPr>
        <w:tabs>
          <w:tab w:val="num" w:pos="4320"/>
        </w:tabs>
        <w:ind w:left="4320" w:hanging="180"/>
      </w:pPr>
    </w:lvl>
    <w:lvl w:ilvl="6" w:tplc="1009000F" w:tentative="1">
      <w:start w:val="1"/>
      <w:numFmt w:val="decimal"/>
      <w:lvlText w:val="%7."/>
      <w:lvlJc w:val="left"/>
      <w:pPr>
        <w:tabs>
          <w:tab w:val="num" w:pos="5040"/>
        </w:tabs>
        <w:ind w:left="5040" w:hanging="360"/>
      </w:pPr>
    </w:lvl>
    <w:lvl w:ilvl="7" w:tplc="10090019" w:tentative="1">
      <w:start w:val="1"/>
      <w:numFmt w:val="lowerLetter"/>
      <w:lvlText w:val="%8."/>
      <w:lvlJc w:val="left"/>
      <w:pPr>
        <w:tabs>
          <w:tab w:val="num" w:pos="5760"/>
        </w:tabs>
        <w:ind w:left="5760" w:hanging="360"/>
      </w:pPr>
    </w:lvl>
    <w:lvl w:ilvl="8" w:tplc="1009001B" w:tentative="1">
      <w:start w:val="1"/>
      <w:numFmt w:val="lowerRoman"/>
      <w:lvlText w:val="%9."/>
      <w:lvlJc w:val="right"/>
      <w:pPr>
        <w:tabs>
          <w:tab w:val="num" w:pos="6480"/>
        </w:tabs>
        <w:ind w:left="6480" w:hanging="180"/>
      </w:pPr>
    </w:lvl>
  </w:abstractNum>
  <w:abstractNum w:abstractNumId="20" w15:restartNumberingAfterBreak="0">
    <w:nsid w:val="15593117"/>
    <w:multiLevelType w:val="hybridMultilevel"/>
    <w:tmpl w:val="1E6213B8"/>
    <w:lvl w:ilvl="0" w:tplc="10090003">
      <w:start w:val="1"/>
      <w:numFmt w:val="bullet"/>
      <w:lvlText w:val="o"/>
      <w:lvlJc w:val="left"/>
      <w:pPr>
        <w:ind w:left="1260" w:hanging="360"/>
      </w:pPr>
      <w:rPr>
        <w:rFonts w:ascii="Courier New" w:hAnsi="Courier New" w:cs="Courier New" w:hint="default"/>
      </w:rPr>
    </w:lvl>
    <w:lvl w:ilvl="1" w:tplc="10090003" w:tentative="1">
      <w:start w:val="1"/>
      <w:numFmt w:val="bullet"/>
      <w:lvlText w:val="o"/>
      <w:lvlJc w:val="left"/>
      <w:pPr>
        <w:ind w:left="1980" w:hanging="360"/>
      </w:pPr>
      <w:rPr>
        <w:rFonts w:ascii="Courier New" w:hAnsi="Courier New" w:cs="Courier New" w:hint="default"/>
      </w:rPr>
    </w:lvl>
    <w:lvl w:ilvl="2" w:tplc="10090005" w:tentative="1">
      <w:start w:val="1"/>
      <w:numFmt w:val="bullet"/>
      <w:lvlText w:val=""/>
      <w:lvlJc w:val="left"/>
      <w:pPr>
        <w:ind w:left="2700" w:hanging="360"/>
      </w:pPr>
      <w:rPr>
        <w:rFonts w:ascii="Wingdings" w:hAnsi="Wingdings" w:hint="default"/>
      </w:rPr>
    </w:lvl>
    <w:lvl w:ilvl="3" w:tplc="10090001" w:tentative="1">
      <w:start w:val="1"/>
      <w:numFmt w:val="bullet"/>
      <w:lvlText w:val=""/>
      <w:lvlJc w:val="left"/>
      <w:pPr>
        <w:ind w:left="3420" w:hanging="360"/>
      </w:pPr>
      <w:rPr>
        <w:rFonts w:ascii="Symbol" w:hAnsi="Symbol" w:hint="default"/>
      </w:rPr>
    </w:lvl>
    <w:lvl w:ilvl="4" w:tplc="10090003" w:tentative="1">
      <w:start w:val="1"/>
      <w:numFmt w:val="bullet"/>
      <w:lvlText w:val="o"/>
      <w:lvlJc w:val="left"/>
      <w:pPr>
        <w:ind w:left="4140" w:hanging="360"/>
      </w:pPr>
      <w:rPr>
        <w:rFonts w:ascii="Courier New" w:hAnsi="Courier New" w:cs="Courier New" w:hint="default"/>
      </w:rPr>
    </w:lvl>
    <w:lvl w:ilvl="5" w:tplc="10090005" w:tentative="1">
      <w:start w:val="1"/>
      <w:numFmt w:val="bullet"/>
      <w:lvlText w:val=""/>
      <w:lvlJc w:val="left"/>
      <w:pPr>
        <w:ind w:left="4860" w:hanging="360"/>
      </w:pPr>
      <w:rPr>
        <w:rFonts w:ascii="Wingdings" w:hAnsi="Wingdings" w:hint="default"/>
      </w:rPr>
    </w:lvl>
    <w:lvl w:ilvl="6" w:tplc="10090001" w:tentative="1">
      <w:start w:val="1"/>
      <w:numFmt w:val="bullet"/>
      <w:lvlText w:val=""/>
      <w:lvlJc w:val="left"/>
      <w:pPr>
        <w:ind w:left="5580" w:hanging="360"/>
      </w:pPr>
      <w:rPr>
        <w:rFonts w:ascii="Symbol" w:hAnsi="Symbol" w:hint="default"/>
      </w:rPr>
    </w:lvl>
    <w:lvl w:ilvl="7" w:tplc="10090003" w:tentative="1">
      <w:start w:val="1"/>
      <w:numFmt w:val="bullet"/>
      <w:lvlText w:val="o"/>
      <w:lvlJc w:val="left"/>
      <w:pPr>
        <w:ind w:left="6300" w:hanging="360"/>
      </w:pPr>
      <w:rPr>
        <w:rFonts w:ascii="Courier New" w:hAnsi="Courier New" w:cs="Courier New" w:hint="default"/>
      </w:rPr>
    </w:lvl>
    <w:lvl w:ilvl="8" w:tplc="10090005" w:tentative="1">
      <w:start w:val="1"/>
      <w:numFmt w:val="bullet"/>
      <w:lvlText w:val=""/>
      <w:lvlJc w:val="left"/>
      <w:pPr>
        <w:ind w:left="7020" w:hanging="360"/>
      </w:pPr>
      <w:rPr>
        <w:rFonts w:ascii="Wingdings" w:hAnsi="Wingdings" w:hint="default"/>
      </w:rPr>
    </w:lvl>
  </w:abstractNum>
  <w:abstractNum w:abstractNumId="21" w15:restartNumberingAfterBreak="0">
    <w:nsid w:val="169038D6"/>
    <w:multiLevelType w:val="hybridMultilevel"/>
    <w:tmpl w:val="6E6C92A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2" w15:restartNumberingAfterBreak="0">
    <w:nsid w:val="170B3D8F"/>
    <w:multiLevelType w:val="hybridMultilevel"/>
    <w:tmpl w:val="9C2496A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3" w15:restartNumberingAfterBreak="0">
    <w:nsid w:val="17B66719"/>
    <w:multiLevelType w:val="hybridMultilevel"/>
    <w:tmpl w:val="3766C15C"/>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189302A0"/>
    <w:multiLevelType w:val="hybridMultilevel"/>
    <w:tmpl w:val="59D83DB0"/>
    <w:lvl w:ilvl="0" w:tplc="FFFFFFFF">
      <w:start w:val="1"/>
      <w:numFmt w:val="bullet"/>
      <w:pStyle w:val="BulletedList"/>
      <w:lvlText w:val=""/>
      <w:lvlJc w:val="left"/>
      <w:pPr>
        <w:tabs>
          <w:tab w:val="num" w:pos="773"/>
        </w:tabs>
        <w:ind w:left="773" w:hanging="360"/>
      </w:pPr>
      <w:rPr>
        <w:rFonts w:ascii="Symbol" w:hAnsi="Symbol" w:hint="default"/>
      </w:rPr>
    </w:lvl>
    <w:lvl w:ilvl="1" w:tplc="FFFFFFFF">
      <w:start w:val="1"/>
      <w:numFmt w:val="bullet"/>
      <w:lvlText w:val="o"/>
      <w:lvlJc w:val="left"/>
      <w:pPr>
        <w:tabs>
          <w:tab w:val="num" w:pos="1493"/>
        </w:tabs>
        <w:ind w:left="1493" w:hanging="360"/>
      </w:pPr>
      <w:rPr>
        <w:rFonts w:ascii="Courier New" w:hAnsi="Courier New" w:cs="Courier New" w:hint="default"/>
      </w:rPr>
    </w:lvl>
    <w:lvl w:ilvl="2" w:tplc="FFFFFFFF" w:tentative="1">
      <w:start w:val="1"/>
      <w:numFmt w:val="bullet"/>
      <w:lvlText w:val=""/>
      <w:lvlJc w:val="left"/>
      <w:pPr>
        <w:tabs>
          <w:tab w:val="num" w:pos="2213"/>
        </w:tabs>
        <w:ind w:left="2213" w:hanging="360"/>
      </w:pPr>
      <w:rPr>
        <w:rFonts w:ascii="Wingdings" w:hAnsi="Wingdings" w:hint="default"/>
      </w:rPr>
    </w:lvl>
    <w:lvl w:ilvl="3" w:tplc="FFFFFFFF" w:tentative="1">
      <w:start w:val="1"/>
      <w:numFmt w:val="bullet"/>
      <w:lvlText w:val=""/>
      <w:lvlJc w:val="left"/>
      <w:pPr>
        <w:tabs>
          <w:tab w:val="num" w:pos="2933"/>
        </w:tabs>
        <w:ind w:left="2933" w:hanging="360"/>
      </w:pPr>
      <w:rPr>
        <w:rFonts w:ascii="Symbol" w:hAnsi="Symbol" w:hint="default"/>
      </w:rPr>
    </w:lvl>
    <w:lvl w:ilvl="4" w:tplc="FFFFFFFF" w:tentative="1">
      <w:start w:val="1"/>
      <w:numFmt w:val="bullet"/>
      <w:lvlText w:val="o"/>
      <w:lvlJc w:val="left"/>
      <w:pPr>
        <w:tabs>
          <w:tab w:val="num" w:pos="3653"/>
        </w:tabs>
        <w:ind w:left="3653" w:hanging="360"/>
      </w:pPr>
      <w:rPr>
        <w:rFonts w:ascii="Courier New" w:hAnsi="Courier New" w:cs="Courier New" w:hint="default"/>
      </w:rPr>
    </w:lvl>
    <w:lvl w:ilvl="5" w:tplc="FFFFFFFF" w:tentative="1">
      <w:start w:val="1"/>
      <w:numFmt w:val="bullet"/>
      <w:lvlText w:val=""/>
      <w:lvlJc w:val="left"/>
      <w:pPr>
        <w:tabs>
          <w:tab w:val="num" w:pos="4373"/>
        </w:tabs>
        <w:ind w:left="4373" w:hanging="360"/>
      </w:pPr>
      <w:rPr>
        <w:rFonts w:ascii="Wingdings" w:hAnsi="Wingdings" w:hint="default"/>
      </w:rPr>
    </w:lvl>
    <w:lvl w:ilvl="6" w:tplc="FFFFFFFF" w:tentative="1">
      <w:start w:val="1"/>
      <w:numFmt w:val="bullet"/>
      <w:lvlText w:val=""/>
      <w:lvlJc w:val="left"/>
      <w:pPr>
        <w:tabs>
          <w:tab w:val="num" w:pos="5093"/>
        </w:tabs>
        <w:ind w:left="5093" w:hanging="360"/>
      </w:pPr>
      <w:rPr>
        <w:rFonts w:ascii="Symbol" w:hAnsi="Symbol" w:hint="default"/>
      </w:rPr>
    </w:lvl>
    <w:lvl w:ilvl="7" w:tplc="FFFFFFFF" w:tentative="1">
      <w:start w:val="1"/>
      <w:numFmt w:val="bullet"/>
      <w:lvlText w:val="o"/>
      <w:lvlJc w:val="left"/>
      <w:pPr>
        <w:tabs>
          <w:tab w:val="num" w:pos="5813"/>
        </w:tabs>
        <w:ind w:left="5813" w:hanging="360"/>
      </w:pPr>
      <w:rPr>
        <w:rFonts w:ascii="Courier New" w:hAnsi="Courier New" w:cs="Courier New" w:hint="default"/>
      </w:rPr>
    </w:lvl>
    <w:lvl w:ilvl="8" w:tplc="FFFFFFFF" w:tentative="1">
      <w:start w:val="1"/>
      <w:numFmt w:val="bullet"/>
      <w:lvlText w:val=""/>
      <w:lvlJc w:val="left"/>
      <w:pPr>
        <w:tabs>
          <w:tab w:val="num" w:pos="6533"/>
        </w:tabs>
        <w:ind w:left="6533" w:hanging="360"/>
      </w:pPr>
      <w:rPr>
        <w:rFonts w:ascii="Wingdings" w:hAnsi="Wingdings" w:hint="default"/>
      </w:rPr>
    </w:lvl>
  </w:abstractNum>
  <w:abstractNum w:abstractNumId="25" w15:restartNumberingAfterBreak="0">
    <w:nsid w:val="1C1D39DB"/>
    <w:multiLevelType w:val="hybridMultilevel"/>
    <w:tmpl w:val="6F2A3888"/>
    <w:lvl w:ilvl="0" w:tplc="10090001">
      <w:start w:val="1"/>
      <w:numFmt w:val="bullet"/>
      <w:lvlText w:val=""/>
      <w:lvlJc w:val="left"/>
      <w:pPr>
        <w:ind w:left="2520" w:hanging="360"/>
      </w:pPr>
      <w:rPr>
        <w:rFonts w:ascii="Symbol" w:hAnsi="Symbol" w:hint="default"/>
      </w:rPr>
    </w:lvl>
    <w:lvl w:ilvl="1" w:tplc="10090019" w:tentative="1">
      <w:start w:val="1"/>
      <w:numFmt w:val="lowerLetter"/>
      <w:lvlText w:val="%2."/>
      <w:lvlJc w:val="left"/>
      <w:pPr>
        <w:ind w:left="3240" w:hanging="360"/>
      </w:pPr>
    </w:lvl>
    <w:lvl w:ilvl="2" w:tplc="1009001B" w:tentative="1">
      <w:start w:val="1"/>
      <w:numFmt w:val="lowerRoman"/>
      <w:lvlText w:val="%3."/>
      <w:lvlJc w:val="right"/>
      <w:pPr>
        <w:ind w:left="3960" w:hanging="180"/>
      </w:pPr>
    </w:lvl>
    <w:lvl w:ilvl="3" w:tplc="1009000F" w:tentative="1">
      <w:start w:val="1"/>
      <w:numFmt w:val="decimal"/>
      <w:lvlText w:val="%4."/>
      <w:lvlJc w:val="left"/>
      <w:pPr>
        <w:ind w:left="4680" w:hanging="360"/>
      </w:pPr>
    </w:lvl>
    <w:lvl w:ilvl="4" w:tplc="10090019" w:tentative="1">
      <w:start w:val="1"/>
      <w:numFmt w:val="lowerLetter"/>
      <w:lvlText w:val="%5."/>
      <w:lvlJc w:val="left"/>
      <w:pPr>
        <w:ind w:left="5400" w:hanging="360"/>
      </w:pPr>
    </w:lvl>
    <w:lvl w:ilvl="5" w:tplc="1009001B" w:tentative="1">
      <w:start w:val="1"/>
      <w:numFmt w:val="lowerRoman"/>
      <w:lvlText w:val="%6."/>
      <w:lvlJc w:val="right"/>
      <w:pPr>
        <w:ind w:left="6120" w:hanging="180"/>
      </w:pPr>
    </w:lvl>
    <w:lvl w:ilvl="6" w:tplc="1009000F" w:tentative="1">
      <w:start w:val="1"/>
      <w:numFmt w:val="decimal"/>
      <w:lvlText w:val="%7."/>
      <w:lvlJc w:val="left"/>
      <w:pPr>
        <w:ind w:left="6840" w:hanging="360"/>
      </w:pPr>
    </w:lvl>
    <w:lvl w:ilvl="7" w:tplc="10090019" w:tentative="1">
      <w:start w:val="1"/>
      <w:numFmt w:val="lowerLetter"/>
      <w:lvlText w:val="%8."/>
      <w:lvlJc w:val="left"/>
      <w:pPr>
        <w:ind w:left="7560" w:hanging="360"/>
      </w:pPr>
    </w:lvl>
    <w:lvl w:ilvl="8" w:tplc="1009001B" w:tentative="1">
      <w:start w:val="1"/>
      <w:numFmt w:val="lowerRoman"/>
      <w:lvlText w:val="%9."/>
      <w:lvlJc w:val="right"/>
      <w:pPr>
        <w:ind w:left="8280" w:hanging="180"/>
      </w:pPr>
    </w:lvl>
  </w:abstractNum>
  <w:abstractNum w:abstractNumId="26" w15:restartNumberingAfterBreak="0">
    <w:nsid w:val="1C576307"/>
    <w:multiLevelType w:val="hybridMultilevel"/>
    <w:tmpl w:val="A8BA7B1E"/>
    <w:lvl w:ilvl="0" w:tplc="10090011">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7" w15:restartNumberingAfterBreak="0">
    <w:nsid w:val="1CAE6B4B"/>
    <w:multiLevelType w:val="hybridMultilevel"/>
    <w:tmpl w:val="1D4E7FCE"/>
    <w:lvl w:ilvl="0" w:tplc="61FC5640">
      <w:start w:val="1"/>
      <w:numFmt w:val="lowerLetter"/>
      <w:lvlText w:val="%1)"/>
      <w:lvlJc w:val="left"/>
      <w:pPr>
        <w:ind w:left="1080" w:hanging="360"/>
      </w:pPr>
      <w:rPr>
        <w:rFonts w:hint="default"/>
      </w:rPr>
    </w:lvl>
    <w:lvl w:ilvl="1" w:tplc="1009001B">
      <w:start w:val="1"/>
      <w:numFmt w:val="lowerRoman"/>
      <w:lvlText w:val="%2."/>
      <w:lvlJc w:val="right"/>
      <w:pPr>
        <w:ind w:left="1800" w:hanging="360"/>
      </w:pPr>
    </w:lvl>
    <w:lvl w:ilvl="2" w:tplc="10090015">
      <w:start w:val="1"/>
      <w:numFmt w:val="upperLetter"/>
      <w:lvlText w:val="%3."/>
      <w:lvlJc w:val="left"/>
      <w:pPr>
        <w:ind w:left="2520" w:hanging="180"/>
      </w:pPr>
    </w:lvl>
    <w:lvl w:ilvl="3" w:tplc="1009000F">
      <w:start w:val="1"/>
      <w:numFmt w:val="decimal"/>
      <w:lvlText w:val="%4."/>
      <w:lvlJc w:val="left"/>
      <w:pPr>
        <w:ind w:left="3240" w:hanging="360"/>
      </w:pPr>
    </w:lvl>
    <w:lvl w:ilvl="4" w:tplc="10090019">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28" w15:restartNumberingAfterBreak="0">
    <w:nsid w:val="1E4C10F5"/>
    <w:multiLevelType w:val="hybridMultilevel"/>
    <w:tmpl w:val="5DA2A1D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9" w15:restartNumberingAfterBreak="0">
    <w:nsid w:val="1FAC4E22"/>
    <w:multiLevelType w:val="hybridMultilevel"/>
    <w:tmpl w:val="528062D4"/>
    <w:lvl w:ilvl="0" w:tplc="65AC1856">
      <w:start w:val="1"/>
      <w:numFmt w:val="bullet"/>
      <w:lvlText w:val=""/>
      <w:lvlJc w:val="left"/>
      <w:pPr>
        <w:tabs>
          <w:tab w:val="num" w:pos="720"/>
        </w:tabs>
        <w:ind w:left="720" w:hanging="360"/>
      </w:pPr>
      <w:rPr>
        <w:rFonts w:ascii="Wingdings" w:hAnsi="Wingdings" w:hint="default"/>
      </w:rPr>
    </w:lvl>
    <w:lvl w:ilvl="1" w:tplc="10090003">
      <w:start w:val="1"/>
      <w:numFmt w:val="bullet"/>
      <w:lvlText w:val="o"/>
      <w:lvlJc w:val="left"/>
      <w:pPr>
        <w:tabs>
          <w:tab w:val="num" w:pos="720"/>
        </w:tabs>
        <w:ind w:left="720" w:hanging="360"/>
      </w:pPr>
      <w:rPr>
        <w:rFonts w:ascii="Courier New" w:hAnsi="Courier New" w:cs="Courier New" w:hint="default"/>
      </w:rPr>
    </w:lvl>
    <w:lvl w:ilvl="2" w:tplc="10090005">
      <w:start w:val="1"/>
      <w:numFmt w:val="bullet"/>
      <w:lvlText w:val=""/>
      <w:lvlJc w:val="left"/>
      <w:pPr>
        <w:tabs>
          <w:tab w:val="num" w:pos="1440"/>
        </w:tabs>
        <w:ind w:left="1440" w:hanging="360"/>
      </w:pPr>
      <w:rPr>
        <w:rFonts w:ascii="Wingdings" w:hAnsi="Wingdings" w:hint="default"/>
      </w:rPr>
    </w:lvl>
    <w:lvl w:ilvl="3" w:tplc="10090001" w:tentative="1">
      <w:start w:val="1"/>
      <w:numFmt w:val="bullet"/>
      <w:lvlText w:val=""/>
      <w:lvlJc w:val="left"/>
      <w:pPr>
        <w:tabs>
          <w:tab w:val="num" w:pos="2160"/>
        </w:tabs>
        <w:ind w:left="2160" w:hanging="360"/>
      </w:pPr>
      <w:rPr>
        <w:rFonts w:ascii="Symbol" w:hAnsi="Symbol" w:hint="default"/>
      </w:rPr>
    </w:lvl>
    <w:lvl w:ilvl="4" w:tplc="10090003" w:tentative="1">
      <w:start w:val="1"/>
      <w:numFmt w:val="bullet"/>
      <w:lvlText w:val="o"/>
      <w:lvlJc w:val="left"/>
      <w:pPr>
        <w:tabs>
          <w:tab w:val="num" w:pos="2880"/>
        </w:tabs>
        <w:ind w:left="2880" w:hanging="360"/>
      </w:pPr>
      <w:rPr>
        <w:rFonts w:ascii="Courier New" w:hAnsi="Courier New" w:cs="Courier New" w:hint="default"/>
      </w:rPr>
    </w:lvl>
    <w:lvl w:ilvl="5" w:tplc="10090005" w:tentative="1">
      <w:start w:val="1"/>
      <w:numFmt w:val="bullet"/>
      <w:lvlText w:val=""/>
      <w:lvlJc w:val="left"/>
      <w:pPr>
        <w:tabs>
          <w:tab w:val="num" w:pos="3600"/>
        </w:tabs>
        <w:ind w:left="3600" w:hanging="360"/>
      </w:pPr>
      <w:rPr>
        <w:rFonts w:ascii="Wingdings" w:hAnsi="Wingdings" w:hint="default"/>
      </w:rPr>
    </w:lvl>
    <w:lvl w:ilvl="6" w:tplc="10090001" w:tentative="1">
      <w:start w:val="1"/>
      <w:numFmt w:val="bullet"/>
      <w:lvlText w:val=""/>
      <w:lvlJc w:val="left"/>
      <w:pPr>
        <w:tabs>
          <w:tab w:val="num" w:pos="4320"/>
        </w:tabs>
        <w:ind w:left="4320" w:hanging="360"/>
      </w:pPr>
      <w:rPr>
        <w:rFonts w:ascii="Symbol" w:hAnsi="Symbol" w:hint="default"/>
      </w:rPr>
    </w:lvl>
    <w:lvl w:ilvl="7" w:tplc="10090003" w:tentative="1">
      <w:start w:val="1"/>
      <w:numFmt w:val="bullet"/>
      <w:lvlText w:val="o"/>
      <w:lvlJc w:val="left"/>
      <w:pPr>
        <w:tabs>
          <w:tab w:val="num" w:pos="5040"/>
        </w:tabs>
        <w:ind w:left="5040" w:hanging="360"/>
      </w:pPr>
      <w:rPr>
        <w:rFonts w:ascii="Courier New" w:hAnsi="Courier New" w:cs="Courier New" w:hint="default"/>
      </w:rPr>
    </w:lvl>
    <w:lvl w:ilvl="8" w:tplc="10090005" w:tentative="1">
      <w:start w:val="1"/>
      <w:numFmt w:val="bullet"/>
      <w:lvlText w:val=""/>
      <w:lvlJc w:val="left"/>
      <w:pPr>
        <w:tabs>
          <w:tab w:val="num" w:pos="5760"/>
        </w:tabs>
        <w:ind w:left="5760" w:hanging="360"/>
      </w:pPr>
      <w:rPr>
        <w:rFonts w:ascii="Wingdings" w:hAnsi="Wingdings" w:hint="default"/>
      </w:rPr>
    </w:lvl>
  </w:abstractNum>
  <w:abstractNum w:abstractNumId="30" w15:restartNumberingAfterBreak="0">
    <w:nsid w:val="208717E3"/>
    <w:multiLevelType w:val="hybridMultilevel"/>
    <w:tmpl w:val="4F3656EC"/>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2330165C"/>
    <w:multiLevelType w:val="hybridMultilevel"/>
    <w:tmpl w:val="12964A8A"/>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2474318D"/>
    <w:multiLevelType w:val="hybridMultilevel"/>
    <w:tmpl w:val="B15E1698"/>
    <w:lvl w:ilvl="0" w:tplc="1009000F">
      <w:start w:val="1"/>
      <w:numFmt w:val="decimal"/>
      <w:lvlText w:val="%1."/>
      <w:lvlJc w:val="left"/>
      <w:pPr>
        <w:ind w:left="360" w:hanging="360"/>
      </w:pPr>
      <w:rPr>
        <w:rFonts w:hint="default"/>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33" w15:restartNumberingAfterBreak="0">
    <w:nsid w:val="24D53710"/>
    <w:multiLevelType w:val="singleLevel"/>
    <w:tmpl w:val="CFF4442E"/>
    <w:lvl w:ilvl="0">
      <w:start w:val="1"/>
      <w:numFmt w:val="bullet"/>
      <w:pStyle w:val="ListBullet"/>
      <w:lvlText w:val=""/>
      <w:lvlJc w:val="left"/>
      <w:pPr>
        <w:tabs>
          <w:tab w:val="num" w:pos="720"/>
        </w:tabs>
        <w:ind w:left="720" w:hanging="360"/>
      </w:pPr>
      <w:rPr>
        <w:rFonts w:ascii="Symbol" w:hAnsi="Symbol" w:hint="default"/>
      </w:rPr>
    </w:lvl>
  </w:abstractNum>
  <w:abstractNum w:abstractNumId="34" w15:restartNumberingAfterBreak="0">
    <w:nsid w:val="25FB52AA"/>
    <w:multiLevelType w:val="hybridMultilevel"/>
    <w:tmpl w:val="2062DAD4"/>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27D9730C"/>
    <w:multiLevelType w:val="hybridMultilevel"/>
    <w:tmpl w:val="D3226046"/>
    <w:lvl w:ilvl="0" w:tplc="D67A859C">
      <w:numFmt w:val="bullet"/>
      <w:lvlText w:val="•"/>
      <w:lvlJc w:val="left"/>
      <w:pPr>
        <w:ind w:left="1080" w:hanging="360"/>
      </w:pPr>
      <w:rPr>
        <w:rFonts w:ascii="Times New Roman" w:eastAsia="Times New Roman" w:hAnsi="Times New Roman" w:cs="Times New Roman"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6" w15:restartNumberingAfterBreak="0">
    <w:nsid w:val="27F76C39"/>
    <w:multiLevelType w:val="hybridMultilevel"/>
    <w:tmpl w:val="C046DE00"/>
    <w:lvl w:ilvl="0" w:tplc="1009000F">
      <w:start w:val="1"/>
      <w:numFmt w:val="decimal"/>
      <w:lvlText w:val="%1."/>
      <w:lvlJc w:val="left"/>
      <w:pPr>
        <w:ind w:left="720" w:hanging="360"/>
      </w:pPr>
    </w:lvl>
    <w:lvl w:ilvl="1" w:tplc="10090001">
      <w:start w:val="1"/>
      <w:numFmt w:val="bullet"/>
      <w:lvlText w:val=""/>
      <w:lvlJc w:val="left"/>
      <w:pPr>
        <w:ind w:left="1440" w:hanging="360"/>
      </w:pPr>
      <w:rPr>
        <w:rFonts w:ascii="Symbol" w:hAnsi="Symbol" w:hint="default"/>
      </w:rPr>
    </w:lvl>
    <w:lvl w:ilvl="2" w:tplc="1009001B">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7" w15:restartNumberingAfterBreak="0">
    <w:nsid w:val="28980EE3"/>
    <w:multiLevelType w:val="multilevel"/>
    <w:tmpl w:val="8B560434"/>
    <w:lvl w:ilvl="0">
      <w:start w:val="1"/>
      <w:numFmt w:val="bullet"/>
      <w:lvlText w:val=""/>
      <w:lvlJc w:val="left"/>
      <w:pPr>
        <w:tabs>
          <w:tab w:val="num" w:pos="360"/>
        </w:tabs>
        <w:ind w:left="360" w:hanging="360"/>
      </w:pPr>
      <w:rPr>
        <w:rFonts w:ascii="Symbol" w:hAnsi="Symbol" w:hint="default"/>
      </w:rPr>
    </w:lvl>
    <w:lvl w:ilvl="1" w:tentative="1">
      <w:start w:val="1"/>
      <w:numFmt w:val="bullet"/>
      <w:lvlText w:val="o"/>
      <w:lvlJc w:val="left"/>
      <w:pPr>
        <w:tabs>
          <w:tab w:val="num" w:pos="1080"/>
        </w:tabs>
        <w:ind w:left="1080" w:hanging="360"/>
      </w:pPr>
      <w:rPr>
        <w:rFonts w:ascii="Courier New" w:hAnsi="Courier New" w:cs="Wingdings" w:hint="default"/>
      </w:rPr>
    </w:lvl>
    <w:lvl w:ilvl="2" w:tentative="1">
      <w:start w:val="1"/>
      <w:numFmt w:val="bullet"/>
      <w:lvlText w:val=""/>
      <w:lvlJc w:val="left"/>
      <w:pPr>
        <w:tabs>
          <w:tab w:val="num" w:pos="1800"/>
        </w:tabs>
        <w:ind w:left="1800" w:hanging="360"/>
      </w:pPr>
      <w:rPr>
        <w:rFonts w:ascii="Wingdings" w:hAnsi="Wingdings" w:hint="default"/>
      </w:rPr>
    </w:lvl>
    <w:lvl w:ilvl="3" w:tentative="1">
      <w:start w:val="1"/>
      <w:numFmt w:val="bullet"/>
      <w:lvlText w:val=""/>
      <w:lvlJc w:val="left"/>
      <w:pPr>
        <w:tabs>
          <w:tab w:val="num" w:pos="2520"/>
        </w:tabs>
        <w:ind w:left="2520" w:hanging="360"/>
      </w:pPr>
      <w:rPr>
        <w:rFonts w:ascii="Symbol" w:hAnsi="Symbol" w:hint="default"/>
      </w:rPr>
    </w:lvl>
    <w:lvl w:ilvl="4" w:tentative="1">
      <w:start w:val="1"/>
      <w:numFmt w:val="bullet"/>
      <w:lvlText w:val="o"/>
      <w:lvlJc w:val="left"/>
      <w:pPr>
        <w:tabs>
          <w:tab w:val="num" w:pos="3240"/>
        </w:tabs>
        <w:ind w:left="3240" w:hanging="360"/>
      </w:pPr>
      <w:rPr>
        <w:rFonts w:ascii="Courier New" w:hAnsi="Courier New" w:cs="Wingdings" w:hint="default"/>
      </w:rPr>
    </w:lvl>
    <w:lvl w:ilvl="5" w:tentative="1">
      <w:start w:val="1"/>
      <w:numFmt w:val="bullet"/>
      <w:lvlText w:val=""/>
      <w:lvlJc w:val="left"/>
      <w:pPr>
        <w:tabs>
          <w:tab w:val="num" w:pos="3960"/>
        </w:tabs>
        <w:ind w:left="3960" w:hanging="360"/>
      </w:pPr>
      <w:rPr>
        <w:rFonts w:ascii="Wingdings" w:hAnsi="Wingdings" w:hint="default"/>
      </w:rPr>
    </w:lvl>
    <w:lvl w:ilvl="6" w:tentative="1">
      <w:start w:val="1"/>
      <w:numFmt w:val="bullet"/>
      <w:lvlText w:val=""/>
      <w:lvlJc w:val="left"/>
      <w:pPr>
        <w:tabs>
          <w:tab w:val="num" w:pos="4680"/>
        </w:tabs>
        <w:ind w:left="4680" w:hanging="360"/>
      </w:pPr>
      <w:rPr>
        <w:rFonts w:ascii="Symbol" w:hAnsi="Symbol" w:hint="default"/>
      </w:rPr>
    </w:lvl>
    <w:lvl w:ilvl="7" w:tentative="1">
      <w:start w:val="1"/>
      <w:numFmt w:val="bullet"/>
      <w:lvlText w:val="o"/>
      <w:lvlJc w:val="left"/>
      <w:pPr>
        <w:tabs>
          <w:tab w:val="num" w:pos="5400"/>
        </w:tabs>
        <w:ind w:left="5400" w:hanging="360"/>
      </w:pPr>
      <w:rPr>
        <w:rFonts w:ascii="Courier New" w:hAnsi="Courier New" w:cs="Wingdings" w:hint="default"/>
      </w:rPr>
    </w:lvl>
    <w:lvl w:ilvl="8" w:tentative="1">
      <w:start w:val="1"/>
      <w:numFmt w:val="bullet"/>
      <w:lvlText w:val=""/>
      <w:lvlJc w:val="left"/>
      <w:pPr>
        <w:tabs>
          <w:tab w:val="num" w:pos="6120"/>
        </w:tabs>
        <w:ind w:left="6120" w:hanging="360"/>
      </w:pPr>
      <w:rPr>
        <w:rFonts w:ascii="Wingdings" w:hAnsi="Wingdings" w:hint="default"/>
      </w:rPr>
    </w:lvl>
  </w:abstractNum>
  <w:abstractNum w:abstractNumId="38" w15:restartNumberingAfterBreak="0">
    <w:nsid w:val="28B157A9"/>
    <w:multiLevelType w:val="hybridMultilevel"/>
    <w:tmpl w:val="754EBC78"/>
    <w:lvl w:ilvl="0" w:tplc="10090001">
      <w:start w:val="1"/>
      <w:numFmt w:val="bullet"/>
      <w:lvlText w:val=""/>
      <w:lvlJc w:val="left"/>
      <w:pPr>
        <w:ind w:left="720" w:hanging="360"/>
      </w:pPr>
      <w:rPr>
        <w:rFonts w:ascii="Symbol" w:hAnsi="Symbol" w:hint="default"/>
      </w:rPr>
    </w:lvl>
    <w:lvl w:ilvl="1" w:tplc="1009001B">
      <w:start w:val="1"/>
      <w:numFmt w:val="lowerRoman"/>
      <w:lvlText w:val="%2."/>
      <w:lvlJc w:val="right"/>
      <w:pPr>
        <w:ind w:left="1440" w:hanging="360"/>
      </w:pPr>
      <w:rPr>
        <w:rFonts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9" w15:restartNumberingAfterBreak="0">
    <w:nsid w:val="29253BB1"/>
    <w:multiLevelType w:val="hybridMultilevel"/>
    <w:tmpl w:val="4EB60D6A"/>
    <w:lvl w:ilvl="0" w:tplc="10090003">
      <w:start w:val="1"/>
      <w:numFmt w:val="bullet"/>
      <w:lvlText w:val="o"/>
      <w:lvlJc w:val="left"/>
      <w:pPr>
        <w:ind w:left="1260" w:hanging="360"/>
      </w:pPr>
      <w:rPr>
        <w:rFonts w:ascii="Courier New" w:hAnsi="Courier New" w:cs="Courier New" w:hint="default"/>
      </w:rPr>
    </w:lvl>
    <w:lvl w:ilvl="1" w:tplc="10090003" w:tentative="1">
      <w:start w:val="1"/>
      <w:numFmt w:val="bullet"/>
      <w:lvlText w:val="o"/>
      <w:lvlJc w:val="left"/>
      <w:pPr>
        <w:ind w:left="1980" w:hanging="360"/>
      </w:pPr>
      <w:rPr>
        <w:rFonts w:ascii="Courier New" w:hAnsi="Courier New" w:cs="Courier New" w:hint="default"/>
      </w:rPr>
    </w:lvl>
    <w:lvl w:ilvl="2" w:tplc="10090005" w:tentative="1">
      <w:start w:val="1"/>
      <w:numFmt w:val="bullet"/>
      <w:lvlText w:val=""/>
      <w:lvlJc w:val="left"/>
      <w:pPr>
        <w:ind w:left="2700" w:hanging="360"/>
      </w:pPr>
      <w:rPr>
        <w:rFonts w:ascii="Wingdings" w:hAnsi="Wingdings" w:hint="default"/>
      </w:rPr>
    </w:lvl>
    <w:lvl w:ilvl="3" w:tplc="10090001" w:tentative="1">
      <w:start w:val="1"/>
      <w:numFmt w:val="bullet"/>
      <w:lvlText w:val=""/>
      <w:lvlJc w:val="left"/>
      <w:pPr>
        <w:ind w:left="3420" w:hanging="360"/>
      </w:pPr>
      <w:rPr>
        <w:rFonts w:ascii="Symbol" w:hAnsi="Symbol" w:hint="default"/>
      </w:rPr>
    </w:lvl>
    <w:lvl w:ilvl="4" w:tplc="10090003" w:tentative="1">
      <w:start w:val="1"/>
      <w:numFmt w:val="bullet"/>
      <w:lvlText w:val="o"/>
      <w:lvlJc w:val="left"/>
      <w:pPr>
        <w:ind w:left="4140" w:hanging="360"/>
      </w:pPr>
      <w:rPr>
        <w:rFonts w:ascii="Courier New" w:hAnsi="Courier New" w:cs="Courier New" w:hint="default"/>
      </w:rPr>
    </w:lvl>
    <w:lvl w:ilvl="5" w:tplc="10090005" w:tentative="1">
      <w:start w:val="1"/>
      <w:numFmt w:val="bullet"/>
      <w:lvlText w:val=""/>
      <w:lvlJc w:val="left"/>
      <w:pPr>
        <w:ind w:left="4860" w:hanging="360"/>
      </w:pPr>
      <w:rPr>
        <w:rFonts w:ascii="Wingdings" w:hAnsi="Wingdings" w:hint="default"/>
      </w:rPr>
    </w:lvl>
    <w:lvl w:ilvl="6" w:tplc="10090001" w:tentative="1">
      <w:start w:val="1"/>
      <w:numFmt w:val="bullet"/>
      <w:lvlText w:val=""/>
      <w:lvlJc w:val="left"/>
      <w:pPr>
        <w:ind w:left="5580" w:hanging="360"/>
      </w:pPr>
      <w:rPr>
        <w:rFonts w:ascii="Symbol" w:hAnsi="Symbol" w:hint="default"/>
      </w:rPr>
    </w:lvl>
    <w:lvl w:ilvl="7" w:tplc="10090003" w:tentative="1">
      <w:start w:val="1"/>
      <w:numFmt w:val="bullet"/>
      <w:lvlText w:val="o"/>
      <w:lvlJc w:val="left"/>
      <w:pPr>
        <w:ind w:left="6300" w:hanging="360"/>
      </w:pPr>
      <w:rPr>
        <w:rFonts w:ascii="Courier New" w:hAnsi="Courier New" w:cs="Courier New" w:hint="default"/>
      </w:rPr>
    </w:lvl>
    <w:lvl w:ilvl="8" w:tplc="10090005" w:tentative="1">
      <w:start w:val="1"/>
      <w:numFmt w:val="bullet"/>
      <w:lvlText w:val=""/>
      <w:lvlJc w:val="left"/>
      <w:pPr>
        <w:ind w:left="7020" w:hanging="360"/>
      </w:pPr>
      <w:rPr>
        <w:rFonts w:ascii="Wingdings" w:hAnsi="Wingdings" w:hint="default"/>
      </w:rPr>
    </w:lvl>
  </w:abstractNum>
  <w:abstractNum w:abstractNumId="40" w15:restartNumberingAfterBreak="0">
    <w:nsid w:val="29526821"/>
    <w:multiLevelType w:val="singleLevel"/>
    <w:tmpl w:val="969EAED8"/>
    <w:lvl w:ilvl="0">
      <w:start w:val="1"/>
      <w:numFmt w:val="lowerLetter"/>
      <w:pStyle w:val="TableTextAlpha"/>
      <w:lvlText w:val="%1)"/>
      <w:lvlJc w:val="left"/>
      <w:pPr>
        <w:tabs>
          <w:tab w:val="num" w:pos="360"/>
        </w:tabs>
        <w:ind w:left="360" w:hanging="360"/>
      </w:pPr>
    </w:lvl>
  </w:abstractNum>
  <w:abstractNum w:abstractNumId="41" w15:restartNumberingAfterBreak="0">
    <w:nsid w:val="29875E15"/>
    <w:multiLevelType w:val="hybridMultilevel"/>
    <w:tmpl w:val="47980B4C"/>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29D62AC7"/>
    <w:multiLevelType w:val="hybridMultilevel"/>
    <w:tmpl w:val="B58AF728"/>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2BD96EA7"/>
    <w:multiLevelType w:val="hybridMultilevel"/>
    <w:tmpl w:val="7410E610"/>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2CA60A95"/>
    <w:multiLevelType w:val="hybridMultilevel"/>
    <w:tmpl w:val="C5DC1DB4"/>
    <w:lvl w:ilvl="0" w:tplc="026641D4">
      <w:start w:val="1"/>
      <w:numFmt w:val="decimal"/>
      <w:lvlText w:val="%1."/>
      <w:lvlJc w:val="left"/>
      <w:pPr>
        <w:tabs>
          <w:tab w:val="num" w:pos="720"/>
        </w:tabs>
        <w:ind w:left="720" w:hanging="360"/>
      </w:pPr>
      <w:rPr>
        <w:b w:val="0"/>
      </w:rPr>
    </w:lvl>
    <w:lvl w:ilvl="1" w:tplc="10090019" w:tentative="1">
      <w:start w:val="1"/>
      <w:numFmt w:val="lowerLetter"/>
      <w:lvlText w:val="%2."/>
      <w:lvlJc w:val="left"/>
      <w:pPr>
        <w:tabs>
          <w:tab w:val="num" w:pos="1440"/>
        </w:tabs>
        <w:ind w:left="1440" w:hanging="360"/>
      </w:pPr>
    </w:lvl>
    <w:lvl w:ilvl="2" w:tplc="1009001B" w:tentative="1">
      <w:start w:val="1"/>
      <w:numFmt w:val="lowerRoman"/>
      <w:lvlText w:val="%3."/>
      <w:lvlJc w:val="right"/>
      <w:pPr>
        <w:tabs>
          <w:tab w:val="num" w:pos="2160"/>
        </w:tabs>
        <w:ind w:left="2160" w:hanging="180"/>
      </w:pPr>
    </w:lvl>
    <w:lvl w:ilvl="3" w:tplc="1009000F" w:tentative="1">
      <w:start w:val="1"/>
      <w:numFmt w:val="decimal"/>
      <w:lvlText w:val="%4."/>
      <w:lvlJc w:val="left"/>
      <w:pPr>
        <w:tabs>
          <w:tab w:val="num" w:pos="2880"/>
        </w:tabs>
        <w:ind w:left="2880" w:hanging="360"/>
      </w:pPr>
    </w:lvl>
    <w:lvl w:ilvl="4" w:tplc="10090019" w:tentative="1">
      <w:start w:val="1"/>
      <w:numFmt w:val="lowerLetter"/>
      <w:lvlText w:val="%5."/>
      <w:lvlJc w:val="left"/>
      <w:pPr>
        <w:tabs>
          <w:tab w:val="num" w:pos="3600"/>
        </w:tabs>
        <w:ind w:left="3600" w:hanging="360"/>
      </w:pPr>
    </w:lvl>
    <w:lvl w:ilvl="5" w:tplc="1009001B" w:tentative="1">
      <w:start w:val="1"/>
      <w:numFmt w:val="lowerRoman"/>
      <w:lvlText w:val="%6."/>
      <w:lvlJc w:val="right"/>
      <w:pPr>
        <w:tabs>
          <w:tab w:val="num" w:pos="4320"/>
        </w:tabs>
        <w:ind w:left="4320" w:hanging="180"/>
      </w:pPr>
    </w:lvl>
    <w:lvl w:ilvl="6" w:tplc="1009000F" w:tentative="1">
      <w:start w:val="1"/>
      <w:numFmt w:val="decimal"/>
      <w:lvlText w:val="%7."/>
      <w:lvlJc w:val="left"/>
      <w:pPr>
        <w:tabs>
          <w:tab w:val="num" w:pos="5040"/>
        </w:tabs>
        <w:ind w:left="5040" w:hanging="360"/>
      </w:pPr>
    </w:lvl>
    <w:lvl w:ilvl="7" w:tplc="10090019" w:tentative="1">
      <w:start w:val="1"/>
      <w:numFmt w:val="lowerLetter"/>
      <w:lvlText w:val="%8."/>
      <w:lvlJc w:val="left"/>
      <w:pPr>
        <w:tabs>
          <w:tab w:val="num" w:pos="5760"/>
        </w:tabs>
        <w:ind w:left="5760" w:hanging="360"/>
      </w:pPr>
    </w:lvl>
    <w:lvl w:ilvl="8" w:tplc="1009001B" w:tentative="1">
      <w:start w:val="1"/>
      <w:numFmt w:val="lowerRoman"/>
      <w:lvlText w:val="%9."/>
      <w:lvlJc w:val="right"/>
      <w:pPr>
        <w:tabs>
          <w:tab w:val="num" w:pos="6480"/>
        </w:tabs>
        <w:ind w:left="6480" w:hanging="180"/>
      </w:pPr>
    </w:lvl>
  </w:abstractNum>
  <w:abstractNum w:abstractNumId="45" w15:restartNumberingAfterBreak="0">
    <w:nsid w:val="2CCC3F84"/>
    <w:multiLevelType w:val="hybridMultilevel"/>
    <w:tmpl w:val="CFA806E4"/>
    <w:lvl w:ilvl="0" w:tplc="1009000B">
      <w:start w:val="1"/>
      <w:numFmt w:val="bullet"/>
      <w:lvlText w:val=""/>
      <w:lvlJc w:val="left"/>
      <w:pPr>
        <w:tabs>
          <w:tab w:val="num" w:pos="1080"/>
        </w:tabs>
        <w:ind w:left="1080" w:hanging="360"/>
      </w:pPr>
      <w:rPr>
        <w:rFonts w:ascii="Wingdings" w:hAnsi="Wingdings" w:hint="default"/>
      </w:rPr>
    </w:lvl>
    <w:lvl w:ilvl="1" w:tplc="10090001">
      <w:start w:val="1"/>
      <w:numFmt w:val="bullet"/>
      <w:lvlText w:val=""/>
      <w:lvlJc w:val="left"/>
      <w:pPr>
        <w:tabs>
          <w:tab w:val="num" w:pos="1656"/>
        </w:tabs>
        <w:ind w:left="1656" w:hanging="360"/>
      </w:pPr>
      <w:rPr>
        <w:rFonts w:ascii="Symbol" w:hAnsi="Symbol" w:hint="default"/>
      </w:rPr>
    </w:lvl>
    <w:lvl w:ilvl="2" w:tplc="10090005" w:tentative="1">
      <w:start w:val="1"/>
      <w:numFmt w:val="bullet"/>
      <w:lvlText w:val=""/>
      <w:lvlJc w:val="left"/>
      <w:pPr>
        <w:tabs>
          <w:tab w:val="num" w:pos="2376"/>
        </w:tabs>
        <w:ind w:left="2376" w:hanging="360"/>
      </w:pPr>
      <w:rPr>
        <w:rFonts w:ascii="Wingdings" w:hAnsi="Wingdings" w:hint="default"/>
      </w:rPr>
    </w:lvl>
    <w:lvl w:ilvl="3" w:tplc="10090001" w:tentative="1">
      <w:start w:val="1"/>
      <w:numFmt w:val="bullet"/>
      <w:lvlText w:val=""/>
      <w:lvlJc w:val="left"/>
      <w:pPr>
        <w:tabs>
          <w:tab w:val="num" w:pos="3096"/>
        </w:tabs>
        <w:ind w:left="3096" w:hanging="360"/>
      </w:pPr>
      <w:rPr>
        <w:rFonts w:ascii="Symbol" w:hAnsi="Symbol" w:hint="default"/>
      </w:rPr>
    </w:lvl>
    <w:lvl w:ilvl="4" w:tplc="10090003" w:tentative="1">
      <w:start w:val="1"/>
      <w:numFmt w:val="bullet"/>
      <w:lvlText w:val="o"/>
      <w:lvlJc w:val="left"/>
      <w:pPr>
        <w:tabs>
          <w:tab w:val="num" w:pos="3816"/>
        </w:tabs>
        <w:ind w:left="3816" w:hanging="360"/>
      </w:pPr>
      <w:rPr>
        <w:rFonts w:ascii="Courier New" w:hAnsi="Courier New" w:cs="Courier New" w:hint="default"/>
      </w:rPr>
    </w:lvl>
    <w:lvl w:ilvl="5" w:tplc="10090005" w:tentative="1">
      <w:start w:val="1"/>
      <w:numFmt w:val="bullet"/>
      <w:lvlText w:val=""/>
      <w:lvlJc w:val="left"/>
      <w:pPr>
        <w:tabs>
          <w:tab w:val="num" w:pos="4536"/>
        </w:tabs>
        <w:ind w:left="4536" w:hanging="360"/>
      </w:pPr>
      <w:rPr>
        <w:rFonts w:ascii="Wingdings" w:hAnsi="Wingdings" w:hint="default"/>
      </w:rPr>
    </w:lvl>
    <w:lvl w:ilvl="6" w:tplc="10090001" w:tentative="1">
      <w:start w:val="1"/>
      <w:numFmt w:val="bullet"/>
      <w:lvlText w:val=""/>
      <w:lvlJc w:val="left"/>
      <w:pPr>
        <w:tabs>
          <w:tab w:val="num" w:pos="5256"/>
        </w:tabs>
        <w:ind w:left="5256" w:hanging="360"/>
      </w:pPr>
      <w:rPr>
        <w:rFonts w:ascii="Symbol" w:hAnsi="Symbol" w:hint="default"/>
      </w:rPr>
    </w:lvl>
    <w:lvl w:ilvl="7" w:tplc="10090003" w:tentative="1">
      <w:start w:val="1"/>
      <w:numFmt w:val="bullet"/>
      <w:lvlText w:val="o"/>
      <w:lvlJc w:val="left"/>
      <w:pPr>
        <w:tabs>
          <w:tab w:val="num" w:pos="5976"/>
        </w:tabs>
        <w:ind w:left="5976" w:hanging="360"/>
      </w:pPr>
      <w:rPr>
        <w:rFonts w:ascii="Courier New" w:hAnsi="Courier New" w:cs="Courier New" w:hint="default"/>
      </w:rPr>
    </w:lvl>
    <w:lvl w:ilvl="8" w:tplc="10090005" w:tentative="1">
      <w:start w:val="1"/>
      <w:numFmt w:val="bullet"/>
      <w:lvlText w:val=""/>
      <w:lvlJc w:val="left"/>
      <w:pPr>
        <w:tabs>
          <w:tab w:val="num" w:pos="6696"/>
        </w:tabs>
        <w:ind w:left="6696" w:hanging="360"/>
      </w:pPr>
      <w:rPr>
        <w:rFonts w:ascii="Wingdings" w:hAnsi="Wingdings" w:hint="default"/>
      </w:rPr>
    </w:lvl>
  </w:abstractNum>
  <w:abstractNum w:abstractNumId="46" w15:restartNumberingAfterBreak="0">
    <w:nsid w:val="2CE9319E"/>
    <w:multiLevelType w:val="hybridMultilevel"/>
    <w:tmpl w:val="1960FA2C"/>
    <w:lvl w:ilvl="0" w:tplc="10090001">
      <w:start w:val="1"/>
      <w:numFmt w:val="bullet"/>
      <w:lvlText w:val=""/>
      <w:lvlJc w:val="left"/>
      <w:pPr>
        <w:tabs>
          <w:tab w:val="num" w:pos="720"/>
        </w:tabs>
        <w:ind w:left="720" w:hanging="360"/>
      </w:pPr>
      <w:rPr>
        <w:rFonts w:ascii="Symbol" w:hAnsi="Symbol" w:hint="default"/>
      </w:rPr>
    </w:lvl>
    <w:lvl w:ilvl="1" w:tplc="10090003">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30446DB3"/>
    <w:multiLevelType w:val="hybridMultilevel"/>
    <w:tmpl w:val="B764F762"/>
    <w:lvl w:ilvl="0" w:tplc="10090001">
      <w:start w:val="1"/>
      <w:numFmt w:val="bullet"/>
      <w:lvlText w:val=""/>
      <w:lvlJc w:val="left"/>
      <w:pPr>
        <w:ind w:left="1224" w:hanging="360"/>
      </w:pPr>
      <w:rPr>
        <w:rFonts w:ascii="Symbol" w:hAnsi="Symbol" w:hint="default"/>
      </w:rPr>
    </w:lvl>
    <w:lvl w:ilvl="1" w:tplc="10090003" w:tentative="1">
      <w:start w:val="1"/>
      <w:numFmt w:val="bullet"/>
      <w:lvlText w:val="o"/>
      <w:lvlJc w:val="left"/>
      <w:pPr>
        <w:ind w:left="1944" w:hanging="360"/>
      </w:pPr>
      <w:rPr>
        <w:rFonts w:ascii="Courier New" w:hAnsi="Courier New" w:cs="Courier New" w:hint="default"/>
      </w:rPr>
    </w:lvl>
    <w:lvl w:ilvl="2" w:tplc="10090005" w:tentative="1">
      <w:start w:val="1"/>
      <w:numFmt w:val="bullet"/>
      <w:lvlText w:val=""/>
      <w:lvlJc w:val="left"/>
      <w:pPr>
        <w:ind w:left="2664" w:hanging="360"/>
      </w:pPr>
      <w:rPr>
        <w:rFonts w:ascii="Wingdings" w:hAnsi="Wingdings" w:hint="default"/>
      </w:rPr>
    </w:lvl>
    <w:lvl w:ilvl="3" w:tplc="10090001" w:tentative="1">
      <w:start w:val="1"/>
      <w:numFmt w:val="bullet"/>
      <w:lvlText w:val=""/>
      <w:lvlJc w:val="left"/>
      <w:pPr>
        <w:ind w:left="3384" w:hanging="360"/>
      </w:pPr>
      <w:rPr>
        <w:rFonts w:ascii="Symbol" w:hAnsi="Symbol" w:hint="default"/>
      </w:rPr>
    </w:lvl>
    <w:lvl w:ilvl="4" w:tplc="10090003" w:tentative="1">
      <w:start w:val="1"/>
      <w:numFmt w:val="bullet"/>
      <w:lvlText w:val="o"/>
      <w:lvlJc w:val="left"/>
      <w:pPr>
        <w:ind w:left="4104" w:hanging="360"/>
      </w:pPr>
      <w:rPr>
        <w:rFonts w:ascii="Courier New" w:hAnsi="Courier New" w:cs="Courier New" w:hint="default"/>
      </w:rPr>
    </w:lvl>
    <w:lvl w:ilvl="5" w:tplc="10090005" w:tentative="1">
      <w:start w:val="1"/>
      <w:numFmt w:val="bullet"/>
      <w:lvlText w:val=""/>
      <w:lvlJc w:val="left"/>
      <w:pPr>
        <w:ind w:left="4824" w:hanging="360"/>
      </w:pPr>
      <w:rPr>
        <w:rFonts w:ascii="Wingdings" w:hAnsi="Wingdings" w:hint="default"/>
      </w:rPr>
    </w:lvl>
    <w:lvl w:ilvl="6" w:tplc="10090001" w:tentative="1">
      <w:start w:val="1"/>
      <w:numFmt w:val="bullet"/>
      <w:lvlText w:val=""/>
      <w:lvlJc w:val="left"/>
      <w:pPr>
        <w:ind w:left="5544" w:hanging="360"/>
      </w:pPr>
      <w:rPr>
        <w:rFonts w:ascii="Symbol" w:hAnsi="Symbol" w:hint="default"/>
      </w:rPr>
    </w:lvl>
    <w:lvl w:ilvl="7" w:tplc="10090003" w:tentative="1">
      <w:start w:val="1"/>
      <w:numFmt w:val="bullet"/>
      <w:lvlText w:val="o"/>
      <w:lvlJc w:val="left"/>
      <w:pPr>
        <w:ind w:left="6264" w:hanging="360"/>
      </w:pPr>
      <w:rPr>
        <w:rFonts w:ascii="Courier New" w:hAnsi="Courier New" w:cs="Courier New" w:hint="default"/>
      </w:rPr>
    </w:lvl>
    <w:lvl w:ilvl="8" w:tplc="10090005" w:tentative="1">
      <w:start w:val="1"/>
      <w:numFmt w:val="bullet"/>
      <w:lvlText w:val=""/>
      <w:lvlJc w:val="left"/>
      <w:pPr>
        <w:ind w:left="6984" w:hanging="360"/>
      </w:pPr>
      <w:rPr>
        <w:rFonts w:ascii="Wingdings" w:hAnsi="Wingdings" w:hint="default"/>
      </w:rPr>
    </w:lvl>
  </w:abstractNum>
  <w:abstractNum w:abstractNumId="48" w15:restartNumberingAfterBreak="0">
    <w:nsid w:val="30A4304A"/>
    <w:multiLevelType w:val="hybridMultilevel"/>
    <w:tmpl w:val="886E7FD0"/>
    <w:lvl w:ilvl="0" w:tplc="10090001">
      <w:start w:val="1"/>
      <w:numFmt w:val="bullet"/>
      <w:lvlText w:val=""/>
      <w:lvlJc w:val="left"/>
      <w:pPr>
        <w:ind w:left="1440" w:hanging="360"/>
      </w:pPr>
      <w:rPr>
        <w:rFonts w:ascii="Symbol" w:hAnsi="Symbol" w:hint="default"/>
      </w:rPr>
    </w:lvl>
    <w:lvl w:ilvl="1" w:tplc="10090003">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49" w15:restartNumberingAfterBreak="0">
    <w:nsid w:val="34B24C49"/>
    <w:multiLevelType w:val="hybridMultilevel"/>
    <w:tmpl w:val="95BCD6A6"/>
    <w:lvl w:ilvl="0" w:tplc="1009001B">
      <w:start w:val="1"/>
      <w:numFmt w:val="lowerRoman"/>
      <w:lvlText w:val="%1."/>
      <w:lvlJc w:val="righ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0" w15:restartNumberingAfterBreak="0">
    <w:nsid w:val="358B497C"/>
    <w:multiLevelType w:val="singleLevel"/>
    <w:tmpl w:val="9D4AAA2A"/>
    <w:lvl w:ilvl="0">
      <w:start w:val="1"/>
      <w:numFmt w:val="bullet"/>
      <w:pStyle w:val="TableBullet"/>
      <w:lvlText w:val=""/>
      <w:lvlJc w:val="left"/>
      <w:pPr>
        <w:tabs>
          <w:tab w:val="num" w:pos="360"/>
        </w:tabs>
        <w:ind w:left="216" w:hanging="216"/>
      </w:pPr>
      <w:rPr>
        <w:rFonts w:ascii="Symbol" w:hAnsi="Symbol" w:hint="default"/>
        <w:sz w:val="20"/>
      </w:rPr>
    </w:lvl>
  </w:abstractNum>
  <w:abstractNum w:abstractNumId="51" w15:restartNumberingAfterBreak="0">
    <w:nsid w:val="37185CFD"/>
    <w:multiLevelType w:val="hybridMultilevel"/>
    <w:tmpl w:val="2AAA1836"/>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52" w15:restartNumberingAfterBreak="0">
    <w:nsid w:val="37810650"/>
    <w:multiLevelType w:val="multilevel"/>
    <w:tmpl w:val="D8141B8C"/>
    <w:lvl w:ilvl="0">
      <w:start w:val="1"/>
      <w:numFmt w:val="decimal"/>
      <w:pStyle w:val="ConstructionL1"/>
      <w:lvlText w:val="%1.0"/>
      <w:lvlJc w:val="left"/>
      <w:pPr>
        <w:tabs>
          <w:tab w:val="num" w:pos="720"/>
        </w:tabs>
        <w:ind w:left="720" w:hanging="720"/>
      </w:pPr>
      <w:rPr>
        <w:rFonts w:ascii="Times New Roman" w:hAnsi="Times New Roman" w:cs="Times New Roman" w:hint="default"/>
        <w:b/>
        <w:i w:val="0"/>
        <w:sz w:val="20"/>
        <w:u w:val="none"/>
      </w:rPr>
    </w:lvl>
    <w:lvl w:ilvl="1">
      <w:start w:val="1"/>
      <w:numFmt w:val="decimal"/>
      <w:pStyle w:val="ConstructionL2"/>
      <w:lvlText w:val="%1.%2"/>
      <w:lvlJc w:val="left"/>
      <w:pPr>
        <w:tabs>
          <w:tab w:val="num" w:pos="720"/>
        </w:tabs>
        <w:ind w:left="720" w:hanging="720"/>
      </w:pPr>
      <w:rPr>
        <w:rFonts w:ascii="Times New Roman" w:hAnsi="Times New Roman" w:cs="Times New Roman" w:hint="default"/>
        <w:b/>
        <w:i w:val="0"/>
        <w:caps w:val="0"/>
        <w:strike w:val="0"/>
        <w:dstrike w:val="0"/>
        <w:vanish w:val="0"/>
        <w:color w:val="000000"/>
        <w:sz w:val="20"/>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ConstructionL3"/>
      <w:lvlText w:val="%1.%2.%3"/>
      <w:lvlJc w:val="left"/>
      <w:pPr>
        <w:tabs>
          <w:tab w:val="num" w:pos="834"/>
        </w:tabs>
        <w:ind w:left="834" w:hanging="720"/>
      </w:pPr>
      <w:rPr>
        <w:rFonts w:ascii="Times New Roman" w:hAnsi="Times New Roman" w:cs="Times New Roman" w:hint="default"/>
        <w:b w:val="0"/>
        <w:i w:val="0"/>
        <w:caps w:val="0"/>
        <w:strike w:val="0"/>
        <w:dstrike w:val="0"/>
        <w:vanish w:val="0"/>
        <w:color w:val="000000"/>
        <w:sz w:val="20"/>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lowerLetter"/>
      <w:pStyle w:val="ConstructionL4"/>
      <w:lvlText w:val="(%4)"/>
      <w:lvlJc w:val="left"/>
      <w:pPr>
        <w:tabs>
          <w:tab w:val="num" w:pos="1440"/>
        </w:tabs>
        <w:ind w:left="1440" w:hanging="720"/>
      </w:pPr>
      <w:rPr>
        <w:rFonts w:ascii="Times New Roman" w:hAnsi="Times New Roman" w:cs="Times New Roman" w:hint="default"/>
        <w:b w:val="0"/>
        <w:i w:val="0"/>
        <w:caps w:val="0"/>
        <w:strike w:val="0"/>
        <w:dstrike w:val="0"/>
        <w:vanish w:val="0"/>
        <w:color w:val="000000"/>
        <w:sz w:val="20"/>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lowerRoman"/>
      <w:pStyle w:val="ConstructionL5"/>
      <w:lvlText w:val="(%5)"/>
      <w:lvlJc w:val="left"/>
      <w:pPr>
        <w:tabs>
          <w:tab w:val="num" w:pos="2160"/>
        </w:tabs>
        <w:ind w:left="2160" w:hanging="720"/>
      </w:pPr>
      <w:rPr>
        <w:rFonts w:ascii="Times New Roman" w:hAnsi="Times New Roman" w:cs="Times New Roman" w:hint="default"/>
        <w:b w:val="0"/>
        <w:i w:val="0"/>
        <w:caps w:val="0"/>
        <w:strike w:val="0"/>
        <w:dstrike w:val="0"/>
        <w:vanish w:val="0"/>
        <w:color w:val="000000"/>
        <w:sz w:val="20"/>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start w:val="1"/>
      <w:numFmt w:val="upperLetter"/>
      <w:lvlText w:val="%6."/>
      <w:lvlJc w:val="left"/>
      <w:pPr>
        <w:tabs>
          <w:tab w:val="num" w:pos="360"/>
        </w:tabs>
        <w:ind w:left="360" w:hanging="360"/>
      </w:pPr>
      <w:rPr>
        <w:rFonts w:hint="default"/>
        <w:b w:val="0"/>
        <w:i w:val="0"/>
        <w:sz w:val="20"/>
        <w:u w:val="none"/>
      </w:rPr>
    </w:lvl>
    <w:lvl w:ilvl="6">
      <w:start w:val="1"/>
      <w:numFmt w:val="upperRoman"/>
      <w:pStyle w:val="ConstructionL7"/>
      <w:lvlText w:val="(%7)"/>
      <w:lvlJc w:val="left"/>
      <w:pPr>
        <w:tabs>
          <w:tab w:val="num" w:pos="3600"/>
        </w:tabs>
        <w:ind w:left="3600" w:hanging="720"/>
      </w:pPr>
      <w:rPr>
        <w:rFonts w:hint="default"/>
        <w:b w:val="0"/>
        <w:i w:val="0"/>
        <w:caps w:val="0"/>
        <w:strike w:val="0"/>
        <w:dstrike w:val="0"/>
        <w:vanish w:val="0"/>
        <w:color w:val="000000"/>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53" w15:restartNumberingAfterBreak="0">
    <w:nsid w:val="39732CE3"/>
    <w:multiLevelType w:val="hybridMultilevel"/>
    <w:tmpl w:val="85F0B702"/>
    <w:lvl w:ilvl="0" w:tplc="04090003">
      <w:start w:val="1"/>
      <w:numFmt w:val="bullet"/>
      <w:lvlText w:val="o"/>
      <w:lvlJc w:val="left"/>
      <w:pPr>
        <w:ind w:left="864" w:hanging="360"/>
      </w:pPr>
      <w:rPr>
        <w:rFonts w:ascii="Courier New" w:hAnsi="Courier New" w:cs="Courier New" w:hint="default"/>
      </w:rPr>
    </w:lvl>
    <w:lvl w:ilvl="1" w:tplc="04090003" w:tentative="1">
      <w:start w:val="1"/>
      <w:numFmt w:val="bullet"/>
      <w:lvlText w:val="o"/>
      <w:lvlJc w:val="left"/>
      <w:pPr>
        <w:ind w:left="1584" w:hanging="360"/>
      </w:pPr>
      <w:rPr>
        <w:rFonts w:ascii="Courier New" w:hAnsi="Courier New" w:cs="Courier New" w:hint="default"/>
      </w:rPr>
    </w:lvl>
    <w:lvl w:ilvl="2" w:tplc="04090005" w:tentative="1">
      <w:start w:val="1"/>
      <w:numFmt w:val="bullet"/>
      <w:lvlText w:val=""/>
      <w:lvlJc w:val="left"/>
      <w:pPr>
        <w:ind w:left="2304" w:hanging="360"/>
      </w:pPr>
      <w:rPr>
        <w:rFonts w:ascii="Wingdings" w:hAnsi="Wingdings" w:hint="default"/>
      </w:rPr>
    </w:lvl>
    <w:lvl w:ilvl="3" w:tplc="04090001" w:tentative="1">
      <w:start w:val="1"/>
      <w:numFmt w:val="bullet"/>
      <w:lvlText w:val=""/>
      <w:lvlJc w:val="left"/>
      <w:pPr>
        <w:ind w:left="3024" w:hanging="360"/>
      </w:pPr>
      <w:rPr>
        <w:rFonts w:ascii="Symbol" w:hAnsi="Symbol" w:hint="default"/>
      </w:rPr>
    </w:lvl>
    <w:lvl w:ilvl="4" w:tplc="04090003" w:tentative="1">
      <w:start w:val="1"/>
      <w:numFmt w:val="bullet"/>
      <w:lvlText w:val="o"/>
      <w:lvlJc w:val="left"/>
      <w:pPr>
        <w:ind w:left="3744" w:hanging="360"/>
      </w:pPr>
      <w:rPr>
        <w:rFonts w:ascii="Courier New" w:hAnsi="Courier New" w:cs="Courier New" w:hint="default"/>
      </w:rPr>
    </w:lvl>
    <w:lvl w:ilvl="5" w:tplc="04090005" w:tentative="1">
      <w:start w:val="1"/>
      <w:numFmt w:val="bullet"/>
      <w:lvlText w:val=""/>
      <w:lvlJc w:val="left"/>
      <w:pPr>
        <w:ind w:left="4464" w:hanging="360"/>
      </w:pPr>
      <w:rPr>
        <w:rFonts w:ascii="Wingdings" w:hAnsi="Wingdings" w:hint="default"/>
      </w:rPr>
    </w:lvl>
    <w:lvl w:ilvl="6" w:tplc="04090001" w:tentative="1">
      <w:start w:val="1"/>
      <w:numFmt w:val="bullet"/>
      <w:lvlText w:val=""/>
      <w:lvlJc w:val="left"/>
      <w:pPr>
        <w:ind w:left="5184" w:hanging="360"/>
      </w:pPr>
      <w:rPr>
        <w:rFonts w:ascii="Symbol" w:hAnsi="Symbol" w:hint="default"/>
      </w:rPr>
    </w:lvl>
    <w:lvl w:ilvl="7" w:tplc="04090003" w:tentative="1">
      <w:start w:val="1"/>
      <w:numFmt w:val="bullet"/>
      <w:lvlText w:val="o"/>
      <w:lvlJc w:val="left"/>
      <w:pPr>
        <w:ind w:left="5904" w:hanging="360"/>
      </w:pPr>
      <w:rPr>
        <w:rFonts w:ascii="Courier New" w:hAnsi="Courier New" w:cs="Courier New" w:hint="default"/>
      </w:rPr>
    </w:lvl>
    <w:lvl w:ilvl="8" w:tplc="04090005" w:tentative="1">
      <w:start w:val="1"/>
      <w:numFmt w:val="bullet"/>
      <w:lvlText w:val=""/>
      <w:lvlJc w:val="left"/>
      <w:pPr>
        <w:ind w:left="6624" w:hanging="360"/>
      </w:pPr>
      <w:rPr>
        <w:rFonts w:ascii="Wingdings" w:hAnsi="Wingdings" w:hint="default"/>
      </w:rPr>
    </w:lvl>
  </w:abstractNum>
  <w:abstractNum w:abstractNumId="54" w15:restartNumberingAfterBreak="0">
    <w:nsid w:val="39967D7D"/>
    <w:multiLevelType w:val="hybridMultilevel"/>
    <w:tmpl w:val="E3E690D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5" w15:restartNumberingAfterBreak="0">
    <w:nsid w:val="3BAE3D16"/>
    <w:multiLevelType w:val="hybridMultilevel"/>
    <w:tmpl w:val="8D3EED46"/>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6" w15:restartNumberingAfterBreak="0">
    <w:nsid w:val="3C0C56F2"/>
    <w:multiLevelType w:val="hybridMultilevel"/>
    <w:tmpl w:val="E18EA0B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7" w15:restartNumberingAfterBreak="0">
    <w:nsid w:val="3DEC3605"/>
    <w:multiLevelType w:val="hybridMultilevel"/>
    <w:tmpl w:val="86FE1F94"/>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58" w15:restartNumberingAfterBreak="0">
    <w:nsid w:val="400B39E5"/>
    <w:multiLevelType w:val="hybridMultilevel"/>
    <w:tmpl w:val="816EE746"/>
    <w:lvl w:ilvl="0" w:tplc="AFF60AD8">
      <w:start w:val="1"/>
      <w:numFmt w:val="bullet"/>
      <w:lvlText w:val=""/>
      <w:lvlJc w:val="left"/>
      <w:pPr>
        <w:tabs>
          <w:tab w:val="num" w:pos="864"/>
        </w:tabs>
        <w:ind w:left="864" w:hanging="360"/>
      </w:pPr>
      <w:rPr>
        <w:rFonts w:ascii="Wingdings" w:hAnsi="Wingdings"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59" w15:restartNumberingAfterBreak="0">
    <w:nsid w:val="41F3527C"/>
    <w:multiLevelType w:val="hybridMultilevel"/>
    <w:tmpl w:val="5E72B6BE"/>
    <w:lvl w:ilvl="0" w:tplc="10090001">
      <w:start w:val="1"/>
      <w:numFmt w:val="bullet"/>
      <w:lvlText w:val=""/>
      <w:lvlJc w:val="left"/>
      <w:pPr>
        <w:ind w:left="780" w:hanging="360"/>
      </w:pPr>
      <w:rPr>
        <w:rFonts w:ascii="Symbol" w:hAnsi="Symbol" w:hint="default"/>
      </w:rPr>
    </w:lvl>
    <w:lvl w:ilvl="1" w:tplc="10090003" w:tentative="1">
      <w:start w:val="1"/>
      <w:numFmt w:val="bullet"/>
      <w:lvlText w:val="o"/>
      <w:lvlJc w:val="left"/>
      <w:pPr>
        <w:ind w:left="1500" w:hanging="360"/>
      </w:pPr>
      <w:rPr>
        <w:rFonts w:ascii="Courier New" w:hAnsi="Courier New" w:cs="Courier New" w:hint="default"/>
      </w:rPr>
    </w:lvl>
    <w:lvl w:ilvl="2" w:tplc="10090005" w:tentative="1">
      <w:start w:val="1"/>
      <w:numFmt w:val="bullet"/>
      <w:lvlText w:val=""/>
      <w:lvlJc w:val="left"/>
      <w:pPr>
        <w:ind w:left="2220" w:hanging="360"/>
      </w:pPr>
      <w:rPr>
        <w:rFonts w:ascii="Wingdings" w:hAnsi="Wingdings" w:hint="default"/>
      </w:rPr>
    </w:lvl>
    <w:lvl w:ilvl="3" w:tplc="10090001" w:tentative="1">
      <w:start w:val="1"/>
      <w:numFmt w:val="bullet"/>
      <w:lvlText w:val=""/>
      <w:lvlJc w:val="left"/>
      <w:pPr>
        <w:ind w:left="2940" w:hanging="360"/>
      </w:pPr>
      <w:rPr>
        <w:rFonts w:ascii="Symbol" w:hAnsi="Symbol" w:hint="default"/>
      </w:rPr>
    </w:lvl>
    <w:lvl w:ilvl="4" w:tplc="10090003" w:tentative="1">
      <w:start w:val="1"/>
      <w:numFmt w:val="bullet"/>
      <w:lvlText w:val="o"/>
      <w:lvlJc w:val="left"/>
      <w:pPr>
        <w:ind w:left="3660" w:hanging="360"/>
      </w:pPr>
      <w:rPr>
        <w:rFonts w:ascii="Courier New" w:hAnsi="Courier New" w:cs="Courier New" w:hint="default"/>
      </w:rPr>
    </w:lvl>
    <w:lvl w:ilvl="5" w:tplc="10090005" w:tentative="1">
      <w:start w:val="1"/>
      <w:numFmt w:val="bullet"/>
      <w:lvlText w:val=""/>
      <w:lvlJc w:val="left"/>
      <w:pPr>
        <w:ind w:left="4380" w:hanging="360"/>
      </w:pPr>
      <w:rPr>
        <w:rFonts w:ascii="Wingdings" w:hAnsi="Wingdings" w:hint="default"/>
      </w:rPr>
    </w:lvl>
    <w:lvl w:ilvl="6" w:tplc="10090001" w:tentative="1">
      <w:start w:val="1"/>
      <w:numFmt w:val="bullet"/>
      <w:lvlText w:val=""/>
      <w:lvlJc w:val="left"/>
      <w:pPr>
        <w:ind w:left="5100" w:hanging="360"/>
      </w:pPr>
      <w:rPr>
        <w:rFonts w:ascii="Symbol" w:hAnsi="Symbol" w:hint="default"/>
      </w:rPr>
    </w:lvl>
    <w:lvl w:ilvl="7" w:tplc="10090003" w:tentative="1">
      <w:start w:val="1"/>
      <w:numFmt w:val="bullet"/>
      <w:lvlText w:val="o"/>
      <w:lvlJc w:val="left"/>
      <w:pPr>
        <w:ind w:left="5820" w:hanging="360"/>
      </w:pPr>
      <w:rPr>
        <w:rFonts w:ascii="Courier New" w:hAnsi="Courier New" w:cs="Courier New" w:hint="default"/>
      </w:rPr>
    </w:lvl>
    <w:lvl w:ilvl="8" w:tplc="10090005" w:tentative="1">
      <w:start w:val="1"/>
      <w:numFmt w:val="bullet"/>
      <w:lvlText w:val=""/>
      <w:lvlJc w:val="left"/>
      <w:pPr>
        <w:ind w:left="6540" w:hanging="360"/>
      </w:pPr>
      <w:rPr>
        <w:rFonts w:ascii="Wingdings" w:hAnsi="Wingdings" w:hint="default"/>
      </w:rPr>
    </w:lvl>
  </w:abstractNum>
  <w:abstractNum w:abstractNumId="60" w15:restartNumberingAfterBreak="0">
    <w:nsid w:val="43962391"/>
    <w:multiLevelType w:val="hybridMultilevel"/>
    <w:tmpl w:val="4C8ACA8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1" w15:restartNumberingAfterBreak="0">
    <w:nsid w:val="43D57C82"/>
    <w:multiLevelType w:val="hybridMultilevel"/>
    <w:tmpl w:val="BAD617D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2" w15:restartNumberingAfterBreak="0">
    <w:nsid w:val="43E16121"/>
    <w:multiLevelType w:val="hybridMultilevel"/>
    <w:tmpl w:val="E99EFC8E"/>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63" w15:restartNumberingAfterBreak="0">
    <w:nsid w:val="443E3F38"/>
    <w:multiLevelType w:val="hybridMultilevel"/>
    <w:tmpl w:val="0E7E4D8E"/>
    <w:lvl w:ilvl="0" w:tplc="D67A859C">
      <w:numFmt w:val="bullet"/>
      <w:lvlText w:val="•"/>
      <w:lvlJc w:val="left"/>
      <w:pPr>
        <w:ind w:left="1080" w:hanging="360"/>
      </w:pPr>
      <w:rPr>
        <w:rFonts w:ascii="Times New Roman" w:eastAsia="Times New Roman" w:hAnsi="Times New Roman" w:cs="Times New Roman"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4" w15:restartNumberingAfterBreak="0">
    <w:nsid w:val="449A7D41"/>
    <w:multiLevelType w:val="hybridMultilevel"/>
    <w:tmpl w:val="04EE58EC"/>
    <w:lvl w:ilvl="0" w:tplc="10090001">
      <w:start w:val="1"/>
      <w:numFmt w:val="bullet"/>
      <w:lvlText w:val=""/>
      <w:lvlJc w:val="left"/>
      <w:pPr>
        <w:tabs>
          <w:tab w:val="num" w:pos="780"/>
        </w:tabs>
        <w:ind w:left="780" w:hanging="360"/>
      </w:pPr>
      <w:rPr>
        <w:rFonts w:ascii="Symbol" w:hAnsi="Symbol" w:hint="default"/>
      </w:rPr>
    </w:lvl>
    <w:lvl w:ilvl="1" w:tplc="10090003" w:tentative="1">
      <w:start w:val="1"/>
      <w:numFmt w:val="bullet"/>
      <w:lvlText w:val="o"/>
      <w:lvlJc w:val="left"/>
      <w:pPr>
        <w:tabs>
          <w:tab w:val="num" w:pos="1500"/>
        </w:tabs>
        <w:ind w:left="1500" w:hanging="360"/>
      </w:pPr>
      <w:rPr>
        <w:rFonts w:ascii="Courier New" w:hAnsi="Courier New" w:cs="Courier New" w:hint="default"/>
      </w:rPr>
    </w:lvl>
    <w:lvl w:ilvl="2" w:tplc="10090005" w:tentative="1">
      <w:start w:val="1"/>
      <w:numFmt w:val="bullet"/>
      <w:lvlText w:val=""/>
      <w:lvlJc w:val="left"/>
      <w:pPr>
        <w:tabs>
          <w:tab w:val="num" w:pos="2220"/>
        </w:tabs>
        <w:ind w:left="2220" w:hanging="360"/>
      </w:pPr>
      <w:rPr>
        <w:rFonts w:ascii="Wingdings" w:hAnsi="Wingdings" w:hint="default"/>
      </w:rPr>
    </w:lvl>
    <w:lvl w:ilvl="3" w:tplc="10090001" w:tentative="1">
      <w:start w:val="1"/>
      <w:numFmt w:val="bullet"/>
      <w:lvlText w:val=""/>
      <w:lvlJc w:val="left"/>
      <w:pPr>
        <w:tabs>
          <w:tab w:val="num" w:pos="2940"/>
        </w:tabs>
        <w:ind w:left="2940" w:hanging="360"/>
      </w:pPr>
      <w:rPr>
        <w:rFonts w:ascii="Symbol" w:hAnsi="Symbol" w:hint="default"/>
      </w:rPr>
    </w:lvl>
    <w:lvl w:ilvl="4" w:tplc="10090003" w:tentative="1">
      <w:start w:val="1"/>
      <w:numFmt w:val="bullet"/>
      <w:lvlText w:val="o"/>
      <w:lvlJc w:val="left"/>
      <w:pPr>
        <w:tabs>
          <w:tab w:val="num" w:pos="3660"/>
        </w:tabs>
        <w:ind w:left="3660" w:hanging="360"/>
      </w:pPr>
      <w:rPr>
        <w:rFonts w:ascii="Courier New" w:hAnsi="Courier New" w:cs="Courier New" w:hint="default"/>
      </w:rPr>
    </w:lvl>
    <w:lvl w:ilvl="5" w:tplc="10090005" w:tentative="1">
      <w:start w:val="1"/>
      <w:numFmt w:val="bullet"/>
      <w:lvlText w:val=""/>
      <w:lvlJc w:val="left"/>
      <w:pPr>
        <w:tabs>
          <w:tab w:val="num" w:pos="4380"/>
        </w:tabs>
        <w:ind w:left="4380" w:hanging="360"/>
      </w:pPr>
      <w:rPr>
        <w:rFonts w:ascii="Wingdings" w:hAnsi="Wingdings" w:hint="default"/>
      </w:rPr>
    </w:lvl>
    <w:lvl w:ilvl="6" w:tplc="10090001" w:tentative="1">
      <w:start w:val="1"/>
      <w:numFmt w:val="bullet"/>
      <w:lvlText w:val=""/>
      <w:lvlJc w:val="left"/>
      <w:pPr>
        <w:tabs>
          <w:tab w:val="num" w:pos="5100"/>
        </w:tabs>
        <w:ind w:left="5100" w:hanging="360"/>
      </w:pPr>
      <w:rPr>
        <w:rFonts w:ascii="Symbol" w:hAnsi="Symbol" w:hint="default"/>
      </w:rPr>
    </w:lvl>
    <w:lvl w:ilvl="7" w:tplc="10090003" w:tentative="1">
      <w:start w:val="1"/>
      <w:numFmt w:val="bullet"/>
      <w:lvlText w:val="o"/>
      <w:lvlJc w:val="left"/>
      <w:pPr>
        <w:tabs>
          <w:tab w:val="num" w:pos="5820"/>
        </w:tabs>
        <w:ind w:left="5820" w:hanging="360"/>
      </w:pPr>
      <w:rPr>
        <w:rFonts w:ascii="Courier New" w:hAnsi="Courier New" w:cs="Courier New" w:hint="default"/>
      </w:rPr>
    </w:lvl>
    <w:lvl w:ilvl="8" w:tplc="10090005" w:tentative="1">
      <w:start w:val="1"/>
      <w:numFmt w:val="bullet"/>
      <w:lvlText w:val=""/>
      <w:lvlJc w:val="left"/>
      <w:pPr>
        <w:tabs>
          <w:tab w:val="num" w:pos="6540"/>
        </w:tabs>
        <w:ind w:left="6540" w:hanging="360"/>
      </w:pPr>
      <w:rPr>
        <w:rFonts w:ascii="Wingdings" w:hAnsi="Wingdings" w:hint="default"/>
      </w:rPr>
    </w:lvl>
  </w:abstractNum>
  <w:abstractNum w:abstractNumId="65" w15:restartNumberingAfterBreak="0">
    <w:nsid w:val="46A7402F"/>
    <w:multiLevelType w:val="hybridMultilevel"/>
    <w:tmpl w:val="4D66BFDA"/>
    <w:lvl w:ilvl="0" w:tplc="CD1C461A">
      <w:start w:val="1"/>
      <w:numFmt w:val="lowerLetter"/>
      <w:lvlText w:val="%1)"/>
      <w:lvlJc w:val="left"/>
      <w:pPr>
        <w:ind w:left="720" w:hanging="360"/>
      </w:pPr>
      <w:rPr>
        <w:rFonts w:ascii="Times New Roman" w:eastAsia="Times New Roman" w:hAnsi="Times New Roman" w:cs="Times New Roman"/>
      </w:rPr>
    </w:lvl>
    <w:lvl w:ilvl="1" w:tplc="10090019">
      <w:start w:val="1"/>
      <w:numFmt w:val="decimal"/>
      <w:lvlText w:val="%2."/>
      <w:lvlJc w:val="left"/>
      <w:pPr>
        <w:tabs>
          <w:tab w:val="num" w:pos="1440"/>
        </w:tabs>
        <w:ind w:left="1440" w:hanging="360"/>
      </w:pPr>
    </w:lvl>
    <w:lvl w:ilvl="2" w:tplc="1009001B">
      <w:start w:val="1"/>
      <w:numFmt w:val="decimal"/>
      <w:lvlText w:val="%3."/>
      <w:lvlJc w:val="left"/>
      <w:pPr>
        <w:tabs>
          <w:tab w:val="num" w:pos="2160"/>
        </w:tabs>
        <w:ind w:left="2160" w:hanging="360"/>
      </w:pPr>
    </w:lvl>
    <w:lvl w:ilvl="3" w:tplc="1009000F">
      <w:start w:val="1"/>
      <w:numFmt w:val="decimal"/>
      <w:lvlText w:val="%4."/>
      <w:lvlJc w:val="left"/>
      <w:pPr>
        <w:tabs>
          <w:tab w:val="num" w:pos="2880"/>
        </w:tabs>
        <w:ind w:left="2880" w:hanging="360"/>
      </w:pPr>
    </w:lvl>
    <w:lvl w:ilvl="4" w:tplc="10090019">
      <w:start w:val="1"/>
      <w:numFmt w:val="decimal"/>
      <w:lvlText w:val="%5."/>
      <w:lvlJc w:val="left"/>
      <w:pPr>
        <w:tabs>
          <w:tab w:val="num" w:pos="3600"/>
        </w:tabs>
        <w:ind w:left="3600" w:hanging="360"/>
      </w:pPr>
    </w:lvl>
    <w:lvl w:ilvl="5" w:tplc="1009001B">
      <w:start w:val="1"/>
      <w:numFmt w:val="decimal"/>
      <w:lvlText w:val="%6."/>
      <w:lvlJc w:val="left"/>
      <w:pPr>
        <w:tabs>
          <w:tab w:val="num" w:pos="4320"/>
        </w:tabs>
        <w:ind w:left="4320" w:hanging="360"/>
      </w:pPr>
    </w:lvl>
    <w:lvl w:ilvl="6" w:tplc="1009000F">
      <w:start w:val="1"/>
      <w:numFmt w:val="decimal"/>
      <w:lvlText w:val="%7."/>
      <w:lvlJc w:val="left"/>
      <w:pPr>
        <w:tabs>
          <w:tab w:val="num" w:pos="5040"/>
        </w:tabs>
        <w:ind w:left="5040" w:hanging="360"/>
      </w:pPr>
    </w:lvl>
    <w:lvl w:ilvl="7" w:tplc="10090019">
      <w:start w:val="1"/>
      <w:numFmt w:val="decimal"/>
      <w:lvlText w:val="%8."/>
      <w:lvlJc w:val="left"/>
      <w:pPr>
        <w:tabs>
          <w:tab w:val="num" w:pos="5760"/>
        </w:tabs>
        <w:ind w:left="5760" w:hanging="360"/>
      </w:pPr>
    </w:lvl>
    <w:lvl w:ilvl="8" w:tplc="1009001B">
      <w:start w:val="1"/>
      <w:numFmt w:val="decimal"/>
      <w:lvlText w:val="%9."/>
      <w:lvlJc w:val="left"/>
      <w:pPr>
        <w:tabs>
          <w:tab w:val="num" w:pos="6480"/>
        </w:tabs>
        <w:ind w:left="6480" w:hanging="360"/>
      </w:pPr>
    </w:lvl>
  </w:abstractNum>
  <w:abstractNum w:abstractNumId="66" w15:restartNumberingAfterBreak="0">
    <w:nsid w:val="46B26685"/>
    <w:multiLevelType w:val="hybridMultilevel"/>
    <w:tmpl w:val="95BCD6A6"/>
    <w:lvl w:ilvl="0" w:tplc="1009001B">
      <w:start w:val="1"/>
      <w:numFmt w:val="lowerRoman"/>
      <w:lvlText w:val="%1."/>
      <w:lvlJc w:val="righ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67" w15:restartNumberingAfterBreak="0">
    <w:nsid w:val="47845956"/>
    <w:multiLevelType w:val="singleLevel"/>
    <w:tmpl w:val="760AF532"/>
    <w:lvl w:ilvl="0">
      <w:start w:val="1"/>
      <w:numFmt w:val="bullet"/>
      <w:pStyle w:val="Bullet"/>
      <w:lvlText w:val=""/>
      <w:lvlJc w:val="left"/>
      <w:pPr>
        <w:tabs>
          <w:tab w:val="num" w:pos="720"/>
        </w:tabs>
        <w:ind w:left="720" w:hanging="360"/>
      </w:pPr>
      <w:rPr>
        <w:rFonts w:ascii="Symbol" w:hAnsi="Symbol" w:hint="default"/>
      </w:rPr>
    </w:lvl>
  </w:abstractNum>
  <w:abstractNum w:abstractNumId="68" w15:restartNumberingAfterBreak="0">
    <w:nsid w:val="47875738"/>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69" w15:restartNumberingAfterBreak="0">
    <w:nsid w:val="47B24380"/>
    <w:multiLevelType w:val="hybridMultilevel"/>
    <w:tmpl w:val="BA2A8E4A"/>
    <w:lvl w:ilvl="0" w:tplc="16CAC8F8">
      <w:start w:val="1"/>
      <w:numFmt w:val="lowerRoman"/>
      <w:lvlText w:val="(%1)"/>
      <w:lvlJc w:val="left"/>
      <w:pPr>
        <w:ind w:left="1080" w:hanging="720"/>
      </w:pPr>
      <w:rPr>
        <w:rFonts w:hint="default"/>
        <w:strike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70" w15:restartNumberingAfterBreak="0">
    <w:nsid w:val="48494BF5"/>
    <w:multiLevelType w:val="hybridMultilevel"/>
    <w:tmpl w:val="662AC488"/>
    <w:lvl w:ilvl="0" w:tplc="D67A859C">
      <w:numFmt w:val="bullet"/>
      <w:lvlText w:val="•"/>
      <w:lvlJc w:val="left"/>
      <w:pPr>
        <w:ind w:left="1800" w:hanging="360"/>
      </w:pPr>
      <w:rPr>
        <w:rFonts w:ascii="Times New Roman" w:eastAsia="Times New Roman" w:hAnsi="Times New Roman" w:cs="Times New Roman"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71" w15:restartNumberingAfterBreak="0">
    <w:nsid w:val="49E178A6"/>
    <w:multiLevelType w:val="hybridMultilevel"/>
    <w:tmpl w:val="095A13B8"/>
    <w:lvl w:ilvl="0" w:tplc="1009000F">
      <w:start w:val="1"/>
      <w:numFmt w:val="decimal"/>
      <w:lvlText w:val="%1."/>
      <w:lvlJc w:val="left"/>
      <w:pPr>
        <w:tabs>
          <w:tab w:val="num" w:pos="504"/>
        </w:tabs>
        <w:ind w:left="504" w:hanging="504"/>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72" w15:restartNumberingAfterBreak="0">
    <w:nsid w:val="4A5B50A0"/>
    <w:multiLevelType w:val="hybridMultilevel"/>
    <w:tmpl w:val="8F567B8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3" w15:restartNumberingAfterBreak="0">
    <w:nsid w:val="4A7708AD"/>
    <w:multiLevelType w:val="singleLevel"/>
    <w:tmpl w:val="8546754E"/>
    <w:lvl w:ilvl="0">
      <w:start w:val="1"/>
      <w:numFmt w:val="lowerLetter"/>
      <w:pStyle w:val="ListAlpha2"/>
      <w:lvlText w:val="%1."/>
      <w:lvlJc w:val="left"/>
      <w:pPr>
        <w:tabs>
          <w:tab w:val="num" w:pos="1224"/>
        </w:tabs>
        <w:ind w:left="1224" w:hanging="360"/>
      </w:pPr>
    </w:lvl>
  </w:abstractNum>
  <w:abstractNum w:abstractNumId="74" w15:restartNumberingAfterBreak="0">
    <w:nsid w:val="4BE4275E"/>
    <w:multiLevelType w:val="singleLevel"/>
    <w:tmpl w:val="0409000F"/>
    <w:lvl w:ilvl="0">
      <w:start w:val="1"/>
      <w:numFmt w:val="decimal"/>
      <w:lvlText w:val="%1."/>
      <w:lvlJc w:val="left"/>
      <w:pPr>
        <w:tabs>
          <w:tab w:val="num" w:pos="360"/>
        </w:tabs>
        <w:ind w:left="360" w:hanging="360"/>
      </w:pPr>
    </w:lvl>
  </w:abstractNum>
  <w:abstractNum w:abstractNumId="75" w15:restartNumberingAfterBreak="0">
    <w:nsid w:val="4DFC1436"/>
    <w:multiLevelType w:val="hybridMultilevel"/>
    <w:tmpl w:val="1268A354"/>
    <w:lvl w:ilvl="0" w:tplc="D67A859C">
      <w:numFmt w:val="bullet"/>
      <w:lvlText w:val="•"/>
      <w:lvlJc w:val="left"/>
      <w:pPr>
        <w:ind w:left="1080" w:hanging="360"/>
      </w:pPr>
      <w:rPr>
        <w:rFonts w:ascii="Times New Roman" w:eastAsia="Times New Roman" w:hAnsi="Times New Roman" w:cs="Times New Roman"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6" w15:restartNumberingAfterBreak="0">
    <w:nsid w:val="503E1484"/>
    <w:multiLevelType w:val="hybridMultilevel"/>
    <w:tmpl w:val="811813C0"/>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77" w15:restartNumberingAfterBreak="0">
    <w:nsid w:val="51514519"/>
    <w:multiLevelType w:val="hybridMultilevel"/>
    <w:tmpl w:val="0F80260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8" w15:restartNumberingAfterBreak="0">
    <w:nsid w:val="543833F9"/>
    <w:multiLevelType w:val="hybridMultilevel"/>
    <w:tmpl w:val="3156199A"/>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79" w15:restartNumberingAfterBreak="0">
    <w:nsid w:val="54534EB2"/>
    <w:multiLevelType w:val="hybridMultilevel"/>
    <w:tmpl w:val="B6E4F576"/>
    <w:lvl w:ilvl="0" w:tplc="10090017">
      <w:start w:val="1"/>
      <w:numFmt w:val="lowerLetter"/>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80" w15:restartNumberingAfterBreak="0">
    <w:nsid w:val="54562C50"/>
    <w:multiLevelType w:val="singleLevel"/>
    <w:tmpl w:val="0409000F"/>
    <w:lvl w:ilvl="0">
      <w:start w:val="1"/>
      <w:numFmt w:val="decimal"/>
      <w:lvlText w:val="%1."/>
      <w:lvlJc w:val="left"/>
      <w:pPr>
        <w:tabs>
          <w:tab w:val="num" w:pos="360"/>
        </w:tabs>
        <w:ind w:left="360" w:hanging="360"/>
      </w:pPr>
    </w:lvl>
  </w:abstractNum>
  <w:abstractNum w:abstractNumId="81" w15:restartNumberingAfterBreak="0">
    <w:nsid w:val="553C1B4B"/>
    <w:multiLevelType w:val="hybridMultilevel"/>
    <w:tmpl w:val="A89ABAD8"/>
    <w:lvl w:ilvl="0" w:tplc="B1DCEFFE">
      <w:start w:val="1"/>
      <w:numFmt w:val="decimal"/>
      <w:lvlText w:val="%1.6.26.3.2A"/>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82" w15:restartNumberingAfterBreak="0">
    <w:nsid w:val="553F1ED1"/>
    <w:multiLevelType w:val="singleLevel"/>
    <w:tmpl w:val="2856E322"/>
    <w:lvl w:ilvl="0">
      <w:start w:val="1"/>
      <w:numFmt w:val="bullet"/>
      <w:pStyle w:val="Bullet2"/>
      <w:lvlText w:val=""/>
      <w:lvlJc w:val="left"/>
      <w:pPr>
        <w:tabs>
          <w:tab w:val="num" w:pos="360"/>
        </w:tabs>
        <w:ind w:left="360" w:hanging="360"/>
      </w:pPr>
      <w:rPr>
        <w:rFonts w:ascii="Wingdings" w:hAnsi="Wingdings" w:hint="default"/>
      </w:rPr>
    </w:lvl>
  </w:abstractNum>
  <w:abstractNum w:abstractNumId="83" w15:restartNumberingAfterBreak="0">
    <w:nsid w:val="56AF42B4"/>
    <w:multiLevelType w:val="hybridMultilevel"/>
    <w:tmpl w:val="5E880D2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4" w15:restartNumberingAfterBreak="0">
    <w:nsid w:val="579B1963"/>
    <w:multiLevelType w:val="hybridMultilevel"/>
    <w:tmpl w:val="0C92BC66"/>
    <w:lvl w:ilvl="0" w:tplc="F29047E2">
      <w:start w:val="1"/>
      <w:numFmt w:val="decimal"/>
      <w:lvlText w:val="%1)"/>
      <w:lvlJc w:val="left"/>
      <w:pPr>
        <w:ind w:left="504" w:hanging="360"/>
      </w:pPr>
      <w:rPr>
        <w:rFonts w:hint="default"/>
      </w:rPr>
    </w:lvl>
    <w:lvl w:ilvl="1" w:tplc="10090019" w:tentative="1">
      <w:start w:val="1"/>
      <w:numFmt w:val="lowerLetter"/>
      <w:lvlText w:val="%2."/>
      <w:lvlJc w:val="left"/>
      <w:pPr>
        <w:ind w:left="1224" w:hanging="360"/>
      </w:pPr>
    </w:lvl>
    <w:lvl w:ilvl="2" w:tplc="1009001B" w:tentative="1">
      <w:start w:val="1"/>
      <w:numFmt w:val="lowerRoman"/>
      <w:lvlText w:val="%3."/>
      <w:lvlJc w:val="right"/>
      <w:pPr>
        <w:ind w:left="1944" w:hanging="180"/>
      </w:pPr>
    </w:lvl>
    <w:lvl w:ilvl="3" w:tplc="1009000F" w:tentative="1">
      <w:start w:val="1"/>
      <w:numFmt w:val="decimal"/>
      <w:lvlText w:val="%4."/>
      <w:lvlJc w:val="left"/>
      <w:pPr>
        <w:ind w:left="2664" w:hanging="360"/>
      </w:pPr>
    </w:lvl>
    <w:lvl w:ilvl="4" w:tplc="10090019" w:tentative="1">
      <w:start w:val="1"/>
      <w:numFmt w:val="lowerLetter"/>
      <w:lvlText w:val="%5."/>
      <w:lvlJc w:val="left"/>
      <w:pPr>
        <w:ind w:left="3384" w:hanging="360"/>
      </w:pPr>
    </w:lvl>
    <w:lvl w:ilvl="5" w:tplc="1009001B" w:tentative="1">
      <w:start w:val="1"/>
      <w:numFmt w:val="lowerRoman"/>
      <w:lvlText w:val="%6."/>
      <w:lvlJc w:val="right"/>
      <w:pPr>
        <w:ind w:left="4104" w:hanging="180"/>
      </w:pPr>
    </w:lvl>
    <w:lvl w:ilvl="6" w:tplc="1009000F" w:tentative="1">
      <w:start w:val="1"/>
      <w:numFmt w:val="decimal"/>
      <w:lvlText w:val="%7."/>
      <w:lvlJc w:val="left"/>
      <w:pPr>
        <w:ind w:left="4824" w:hanging="360"/>
      </w:pPr>
    </w:lvl>
    <w:lvl w:ilvl="7" w:tplc="10090019" w:tentative="1">
      <w:start w:val="1"/>
      <w:numFmt w:val="lowerLetter"/>
      <w:lvlText w:val="%8."/>
      <w:lvlJc w:val="left"/>
      <w:pPr>
        <w:ind w:left="5544" w:hanging="360"/>
      </w:pPr>
    </w:lvl>
    <w:lvl w:ilvl="8" w:tplc="1009001B" w:tentative="1">
      <w:start w:val="1"/>
      <w:numFmt w:val="lowerRoman"/>
      <w:lvlText w:val="%9."/>
      <w:lvlJc w:val="right"/>
      <w:pPr>
        <w:ind w:left="6264" w:hanging="180"/>
      </w:pPr>
    </w:lvl>
  </w:abstractNum>
  <w:abstractNum w:abstractNumId="85" w15:restartNumberingAfterBreak="0">
    <w:nsid w:val="579E096B"/>
    <w:multiLevelType w:val="hybridMultilevel"/>
    <w:tmpl w:val="16E012F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6" w15:restartNumberingAfterBreak="0">
    <w:nsid w:val="58A0319A"/>
    <w:multiLevelType w:val="hybridMultilevel"/>
    <w:tmpl w:val="1ADCE1FA"/>
    <w:lvl w:ilvl="0" w:tplc="10090001">
      <w:start w:val="1"/>
      <w:numFmt w:val="bullet"/>
      <w:lvlText w:val=""/>
      <w:lvlJc w:val="left"/>
      <w:pPr>
        <w:ind w:left="1800" w:hanging="360"/>
      </w:pPr>
      <w:rPr>
        <w:rFonts w:ascii="Symbol" w:hAnsi="Symbol"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87" w15:restartNumberingAfterBreak="0">
    <w:nsid w:val="58FB6048"/>
    <w:multiLevelType w:val="hybridMultilevel"/>
    <w:tmpl w:val="5B7AB83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8" w15:restartNumberingAfterBreak="0">
    <w:nsid w:val="5A454AF3"/>
    <w:multiLevelType w:val="hybridMultilevel"/>
    <w:tmpl w:val="1FB01FA8"/>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89" w15:restartNumberingAfterBreak="0">
    <w:nsid w:val="5B4A77B1"/>
    <w:multiLevelType w:val="hybridMultilevel"/>
    <w:tmpl w:val="1CFE9726"/>
    <w:lvl w:ilvl="0" w:tplc="10090001">
      <w:start w:val="1"/>
      <w:numFmt w:val="bullet"/>
      <w:lvlText w:val=""/>
      <w:lvlJc w:val="left"/>
      <w:pPr>
        <w:ind w:left="2160" w:hanging="360"/>
      </w:pPr>
      <w:rPr>
        <w:rFonts w:ascii="Symbol" w:hAnsi="Symbol" w:hint="default"/>
      </w:rPr>
    </w:lvl>
    <w:lvl w:ilvl="1" w:tplc="10090003" w:tentative="1">
      <w:start w:val="1"/>
      <w:numFmt w:val="bullet"/>
      <w:lvlText w:val="o"/>
      <w:lvlJc w:val="left"/>
      <w:pPr>
        <w:ind w:left="2880" w:hanging="360"/>
      </w:pPr>
      <w:rPr>
        <w:rFonts w:ascii="Courier New" w:hAnsi="Courier New" w:cs="Courier New" w:hint="default"/>
      </w:rPr>
    </w:lvl>
    <w:lvl w:ilvl="2" w:tplc="10090005" w:tentative="1">
      <w:start w:val="1"/>
      <w:numFmt w:val="bullet"/>
      <w:lvlText w:val=""/>
      <w:lvlJc w:val="left"/>
      <w:pPr>
        <w:ind w:left="3600" w:hanging="360"/>
      </w:pPr>
      <w:rPr>
        <w:rFonts w:ascii="Wingdings" w:hAnsi="Wingdings" w:hint="default"/>
      </w:rPr>
    </w:lvl>
    <w:lvl w:ilvl="3" w:tplc="10090001" w:tentative="1">
      <w:start w:val="1"/>
      <w:numFmt w:val="bullet"/>
      <w:lvlText w:val=""/>
      <w:lvlJc w:val="left"/>
      <w:pPr>
        <w:ind w:left="4320" w:hanging="360"/>
      </w:pPr>
      <w:rPr>
        <w:rFonts w:ascii="Symbol" w:hAnsi="Symbol" w:hint="default"/>
      </w:rPr>
    </w:lvl>
    <w:lvl w:ilvl="4" w:tplc="10090003" w:tentative="1">
      <w:start w:val="1"/>
      <w:numFmt w:val="bullet"/>
      <w:lvlText w:val="o"/>
      <w:lvlJc w:val="left"/>
      <w:pPr>
        <w:ind w:left="5040" w:hanging="360"/>
      </w:pPr>
      <w:rPr>
        <w:rFonts w:ascii="Courier New" w:hAnsi="Courier New" w:cs="Courier New" w:hint="default"/>
      </w:rPr>
    </w:lvl>
    <w:lvl w:ilvl="5" w:tplc="10090005" w:tentative="1">
      <w:start w:val="1"/>
      <w:numFmt w:val="bullet"/>
      <w:lvlText w:val=""/>
      <w:lvlJc w:val="left"/>
      <w:pPr>
        <w:ind w:left="5760" w:hanging="360"/>
      </w:pPr>
      <w:rPr>
        <w:rFonts w:ascii="Wingdings" w:hAnsi="Wingdings" w:hint="default"/>
      </w:rPr>
    </w:lvl>
    <w:lvl w:ilvl="6" w:tplc="10090001" w:tentative="1">
      <w:start w:val="1"/>
      <w:numFmt w:val="bullet"/>
      <w:lvlText w:val=""/>
      <w:lvlJc w:val="left"/>
      <w:pPr>
        <w:ind w:left="6480" w:hanging="360"/>
      </w:pPr>
      <w:rPr>
        <w:rFonts w:ascii="Symbol" w:hAnsi="Symbol" w:hint="default"/>
      </w:rPr>
    </w:lvl>
    <w:lvl w:ilvl="7" w:tplc="10090003" w:tentative="1">
      <w:start w:val="1"/>
      <w:numFmt w:val="bullet"/>
      <w:lvlText w:val="o"/>
      <w:lvlJc w:val="left"/>
      <w:pPr>
        <w:ind w:left="7200" w:hanging="360"/>
      </w:pPr>
      <w:rPr>
        <w:rFonts w:ascii="Courier New" w:hAnsi="Courier New" w:cs="Courier New" w:hint="default"/>
      </w:rPr>
    </w:lvl>
    <w:lvl w:ilvl="8" w:tplc="10090005" w:tentative="1">
      <w:start w:val="1"/>
      <w:numFmt w:val="bullet"/>
      <w:lvlText w:val=""/>
      <w:lvlJc w:val="left"/>
      <w:pPr>
        <w:ind w:left="7920" w:hanging="360"/>
      </w:pPr>
      <w:rPr>
        <w:rFonts w:ascii="Wingdings" w:hAnsi="Wingdings" w:hint="default"/>
      </w:rPr>
    </w:lvl>
  </w:abstractNum>
  <w:abstractNum w:abstractNumId="90" w15:restartNumberingAfterBreak="0">
    <w:nsid w:val="5D706D92"/>
    <w:multiLevelType w:val="multilevel"/>
    <w:tmpl w:val="AB0675C8"/>
    <w:lvl w:ilvl="0">
      <w:start w:val="1"/>
      <w:numFmt w:val="decimal"/>
      <w:lvlText w:val="%1."/>
      <w:lvlJc w:val="left"/>
      <w:pPr>
        <w:tabs>
          <w:tab w:val="num" w:pos="720"/>
        </w:tabs>
        <w:ind w:left="720" w:hanging="720"/>
      </w:pPr>
    </w:lvl>
    <w:lvl w:ilvl="1">
      <w:start w:val="1"/>
      <w:numFmt w:val="decimal"/>
      <w:lvlText w:val="%1.%2"/>
      <w:lvlJc w:val="left"/>
      <w:pPr>
        <w:tabs>
          <w:tab w:val="num" w:pos="1080"/>
        </w:tabs>
        <w:ind w:left="1080" w:hanging="1080"/>
      </w:pPr>
    </w:lvl>
    <w:lvl w:ilvl="2">
      <w:start w:val="1"/>
      <w:numFmt w:val="decimal"/>
      <w:lvlText w:val="%1.%2.%3"/>
      <w:lvlJc w:val="left"/>
      <w:pPr>
        <w:tabs>
          <w:tab w:val="num" w:pos="1080"/>
        </w:tabs>
        <w:ind w:left="1080" w:hanging="108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6"/>
      <w:lvlJc w:val="left"/>
      <w:pPr>
        <w:ind w:left="504" w:hanging="504"/>
      </w:pPr>
      <w:rPr>
        <w:rFonts w:ascii="Times New Roman" w:hAnsi="Times New Roman" w:hint="default"/>
        <w:b/>
        <w:i w:val="0"/>
        <w:sz w:val="22"/>
      </w:rPr>
    </w:lvl>
    <w:lvl w:ilvl="6">
      <w:start w:val="1"/>
      <w:numFmt w:val="upperLetter"/>
      <w:lvlRestart w:val="0"/>
      <w:pStyle w:val="Heading7"/>
      <w:suff w:val="space"/>
      <w:lvlText w:val="Appendix %7: "/>
      <w:lvlJc w:val="left"/>
      <w:pPr>
        <w:ind w:left="2880" w:hanging="2880"/>
      </w:pPr>
      <w:rPr>
        <w:rFonts w:cs="Times New Roman"/>
        <w:bCs w:val="0"/>
        <w:i w:val="0"/>
        <w:iCs w:val="0"/>
        <w:caps w:val="0"/>
        <w:smallCaps w:val="0"/>
        <w:strike w:val="0"/>
        <w:dstrike w:val="0"/>
        <w:vanish w:val="0"/>
        <w:color w:val="000000"/>
        <w:spacing w:val="0"/>
        <w:kern w:val="0"/>
        <w:position w:val="0"/>
        <w:u w:val="none"/>
        <w:vertAlign w:val="baseline"/>
        <w:em w:val="none"/>
      </w:rPr>
    </w:lvl>
    <w:lvl w:ilvl="7">
      <w:start w:val="1"/>
      <w:numFmt w:val="decimal"/>
      <w:lvlText w:val="%7.%8"/>
      <w:lvlJc w:val="left"/>
      <w:pPr>
        <w:tabs>
          <w:tab w:val="num" w:pos="1080"/>
        </w:tabs>
        <w:ind w:left="1080" w:hanging="1080"/>
      </w:pPr>
    </w:lvl>
    <w:lvl w:ilvl="8">
      <w:start w:val="1"/>
      <w:numFmt w:val="decimal"/>
      <w:lvlText w:val="%7.%8.%9"/>
      <w:lvlJc w:val="left"/>
      <w:pPr>
        <w:tabs>
          <w:tab w:val="num" w:pos="1080"/>
        </w:tabs>
        <w:ind w:left="1080" w:hanging="1080"/>
      </w:pPr>
    </w:lvl>
  </w:abstractNum>
  <w:abstractNum w:abstractNumId="91" w15:restartNumberingAfterBreak="0">
    <w:nsid w:val="5D8918C8"/>
    <w:multiLevelType w:val="hybridMultilevel"/>
    <w:tmpl w:val="3086ED30"/>
    <w:lvl w:ilvl="0" w:tplc="CD1C461A">
      <w:start w:val="1"/>
      <w:numFmt w:val="lowerLetter"/>
      <w:lvlText w:val="%1)"/>
      <w:lvlJc w:val="left"/>
      <w:pPr>
        <w:ind w:left="720" w:hanging="360"/>
      </w:pPr>
      <w:rPr>
        <w:rFonts w:ascii="Times New Roman" w:eastAsia="Times New Roman" w:hAnsi="Times New Roman" w:cs="Times New Roman"/>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2" w15:restartNumberingAfterBreak="0">
    <w:nsid w:val="5E052F77"/>
    <w:multiLevelType w:val="hybridMultilevel"/>
    <w:tmpl w:val="2EA007D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3" w15:restartNumberingAfterBreak="0">
    <w:nsid w:val="5ECA44CB"/>
    <w:multiLevelType w:val="hybridMultilevel"/>
    <w:tmpl w:val="E0BC106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4" w15:restartNumberingAfterBreak="0">
    <w:nsid w:val="5ECE4DF2"/>
    <w:multiLevelType w:val="hybridMultilevel"/>
    <w:tmpl w:val="1946D49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5" w15:restartNumberingAfterBreak="0">
    <w:nsid w:val="5F1A3E4A"/>
    <w:multiLevelType w:val="singleLevel"/>
    <w:tmpl w:val="1DAA4D30"/>
    <w:lvl w:ilvl="0">
      <w:start w:val="1"/>
      <w:numFmt w:val="decimal"/>
      <w:pStyle w:val="TableTextNumber"/>
      <w:lvlText w:val="%1."/>
      <w:lvlJc w:val="left"/>
      <w:pPr>
        <w:tabs>
          <w:tab w:val="num" w:pos="360"/>
        </w:tabs>
        <w:ind w:left="360" w:hanging="360"/>
      </w:pPr>
    </w:lvl>
  </w:abstractNum>
  <w:abstractNum w:abstractNumId="96" w15:restartNumberingAfterBreak="0">
    <w:nsid w:val="609C0763"/>
    <w:multiLevelType w:val="hybridMultilevel"/>
    <w:tmpl w:val="13FC1512"/>
    <w:lvl w:ilvl="0" w:tplc="10090001">
      <w:start w:val="1"/>
      <w:numFmt w:val="bullet"/>
      <w:lvlText w:val=""/>
      <w:lvlJc w:val="left"/>
      <w:pPr>
        <w:ind w:left="1800" w:hanging="360"/>
      </w:pPr>
      <w:rPr>
        <w:rFonts w:ascii="Symbol" w:hAnsi="Symbol"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97" w15:restartNumberingAfterBreak="0">
    <w:nsid w:val="6176327D"/>
    <w:multiLevelType w:val="hybridMultilevel"/>
    <w:tmpl w:val="46908262"/>
    <w:lvl w:ilvl="0" w:tplc="10090001">
      <w:start w:val="1"/>
      <w:numFmt w:val="bullet"/>
      <w:lvlText w:val=""/>
      <w:lvlJc w:val="left"/>
      <w:pPr>
        <w:ind w:left="1080" w:hanging="360"/>
      </w:pPr>
      <w:rPr>
        <w:rFonts w:ascii="Symbol" w:hAnsi="Symbol"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98" w15:restartNumberingAfterBreak="0">
    <w:nsid w:val="618F0104"/>
    <w:multiLevelType w:val="multilevel"/>
    <w:tmpl w:val="CB587580"/>
    <w:lvl w:ilvl="0">
      <w:start w:val="5"/>
      <w:numFmt w:val="upperLetter"/>
      <w:lvlText w:val="%1."/>
      <w:lvlJc w:val="left"/>
      <w:pPr>
        <w:tabs>
          <w:tab w:val="num" w:pos="1080"/>
        </w:tabs>
        <w:ind w:left="1080" w:hanging="1080"/>
      </w:pPr>
      <w:rPr>
        <w:rFonts w:hint="default"/>
      </w:rPr>
    </w:lvl>
    <w:lvl w:ilvl="1">
      <w:start w:val="1"/>
      <w:numFmt w:val="decimal"/>
      <w:lvlText w:val="%1.%2"/>
      <w:lvlJc w:val="left"/>
      <w:pPr>
        <w:tabs>
          <w:tab w:val="num" w:pos="1080"/>
        </w:tabs>
        <w:ind w:left="1080" w:hanging="1080"/>
      </w:pPr>
      <w:rPr>
        <w:rFonts w:hint="default"/>
      </w:rPr>
    </w:lvl>
    <w:lvl w:ilvl="2">
      <w:start w:val="1"/>
      <w:numFmt w:val="decimal"/>
      <w:lvlText w:val="%1.%2.%3"/>
      <w:lvlJc w:val="left"/>
      <w:pPr>
        <w:tabs>
          <w:tab w:val="num" w:pos="1080"/>
        </w:tabs>
        <w:ind w:left="1080" w:hanging="1080"/>
      </w:pPr>
      <w:rPr>
        <w:rFonts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3">
      <w:start w:val="1"/>
      <w:numFmt w:val="decimal"/>
      <w:lvlText w:val="%1.%2.%3.%4"/>
      <w:lvlJc w:val="left"/>
      <w:pPr>
        <w:tabs>
          <w:tab w:val="num" w:pos="2160"/>
        </w:tabs>
        <w:ind w:left="2160" w:hanging="1080"/>
      </w:pPr>
      <w:rPr>
        <w:rFonts w:hint="default"/>
      </w:rPr>
    </w:lvl>
    <w:lvl w:ilvl="4">
      <w:start w:val="1"/>
      <w:numFmt w:val="lowerLetter"/>
      <w:lvlText w:val="%5."/>
      <w:lvlJc w:val="left"/>
      <w:pPr>
        <w:tabs>
          <w:tab w:val="num" w:pos="2736"/>
        </w:tabs>
        <w:ind w:left="2736" w:hanging="576"/>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99" w15:restartNumberingAfterBreak="0">
    <w:nsid w:val="61CE6455"/>
    <w:multiLevelType w:val="hybridMultilevel"/>
    <w:tmpl w:val="A4F4961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0" w15:restartNumberingAfterBreak="0">
    <w:nsid w:val="62B16131"/>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01" w15:restartNumberingAfterBreak="0">
    <w:nsid w:val="63B90828"/>
    <w:multiLevelType w:val="multilevel"/>
    <w:tmpl w:val="CA8CF640"/>
    <w:lvl w:ilvl="0">
      <w:start w:val="1"/>
      <w:numFmt w:val="decimal"/>
      <w:pStyle w:val="Heading1"/>
      <w:lvlText w:val="%1."/>
      <w:lvlJc w:val="left"/>
      <w:pPr>
        <w:tabs>
          <w:tab w:val="num" w:pos="1080"/>
        </w:tabs>
        <w:ind w:left="1080" w:hanging="1080"/>
      </w:pPr>
      <w:rPr>
        <w:rFonts w:ascii="Arial" w:hAnsi="Arial" w:hint="default"/>
        <w:b/>
        <w:i w:val="0"/>
        <w:sz w:val="44"/>
      </w:rPr>
    </w:lvl>
    <w:lvl w:ilvl="1">
      <w:start w:val="1"/>
      <w:numFmt w:val="decimal"/>
      <w:pStyle w:val="Heading2"/>
      <w:lvlText w:val="%1.%2"/>
      <w:lvlJc w:val="left"/>
      <w:pPr>
        <w:tabs>
          <w:tab w:val="num" w:pos="1080"/>
        </w:tabs>
        <w:ind w:left="1080" w:hanging="1080"/>
      </w:pPr>
      <w:rPr>
        <w:rFonts w:ascii="Arial" w:hAnsi="Arial" w:hint="default"/>
        <w:b/>
        <w:i w:val="0"/>
        <w:sz w:val="32"/>
      </w:rPr>
    </w:lvl>
    <w:lvl w:ilvl="2">
      <w:start w:val="1"/>
      <w:numFmt w:val="decimal"/>
      <w:pStyle w:val="Heading3"/>
      <w:lvlText w:val="%1.%2.%3"/>
      <w:lvlJc w:val="left"/>
      <w:pPr>
        <w:tabs>
          <w:tab w:val="num" w:pos="1080"/>
        </w:tabs>
        <w:ind w:left="1080" w:hanging="1080"/>
      </w:pPr>
      <w:rPr>
        <w:rFonts w:cs="Times New Roman" w:hint="default"/>
        <w:bCs w:val="0"/>
        <w:i w:val="0"/>
        <w:iCs w:val="0"/>
        <w:caps w:val="0"/>
        <w:smallCaps w:val="0"/>
        <w:strike w:val="0"/>
        <w:dstrike w:val="0"/>
        <w:vanish w:val="0"/>
        <w:color w:val="000000" w:themeColor="text1"/>
        <w:spacing w:val="0"/>
        <w:kern w:val="0"/>
        <w:position w:val="0"/>
        <w:u w:val="none"/>
        <w:vertAlign w:val="baseline"/>
        <w:em w:val="none"/>
      </w:rPr>
    </w:lvl>
    <w:lvl w:ilvl="3">
      <w:start w:val="1"/>
      <w:numFmt w:val="decimal"/>
      <w:pStyle w:val="Heading4"/>
      <w:lvlText w:val="%1.%2.%3.%4"/>
      <w:lvlJc w:val="left"/>
      <w:pPr>
        <w:tabs>
          <w:tab w:val="num" w:pos="6030"/>
        </w:tabs>
        <w:ind w:left="6030" w:hanging="1080"/>
      </w:pPr>
      <w:rPr>
        <w:rFonts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upperLetter"/>
      <w:lvlRestart w:val="0"/>
      <w:lvlText w:val="Appendix %7:"/>
      <w:lvlJc w:val="left"/>
      <w:pPr>
        <w:tabs>
          <w:tab w:val="num" w:pos="2880"/>
        </w:tabs>
        <w:ind w:left="2880" w:hanging="2880"/>
      </w:pPr>
      <w:rPr>
        <w:rFonts w:hint="default"/>
      </w:rPr>
    </w:lvl>
    <w:lvl w:ilvl="7">
      <w:start w:val="1"/>
      <w:numFmt w:val="decimal"/>
      <w:lvlText w:val="%7.%8"/>
      <w:lvlJc w:val="left"/>
      <w:pPr>
        <w:tabs>
          <w:tab w:val="num" w:pos="1080"/>
        </w:tabs>
        <w:ind w:left="1080" w:hanging="1080"/>
      </w:pPr>
      <w:rPr>
        <w:rFonts w:hint="default"/>
      </w:rPr>
    </w:lvl>
    <w:lvl w:ilvl="8">
      <w:start w:val="1"/>
      <w:numFmt w:val="decimal"/>
      <w:lvlText w:val="%7.%8.%9"/>
      <w:lvlJc w:val="left"/>
      <w:pPr>
        <w:tabs>
          <w:tab w:val="num" w:pos="1080"/>
        </w:tabs>
        <w:ind w:left="1080" w:hanging="1080"/>
      </w:pPr>
      <w:rPr>
        <w:rFonts w:hint="default"/>
      </w:rPr>
    </w:lvl>
  </w:abstractNum>
  <w:abstractNum w:abstractNumId="102" w15:restartNumberingAfterBreak="0">
    <w:nsid w:val="65791E56"/>
    <w:multiLevelType w:val="hybridMultilevel"/>
    <w:tmpl w:val="383A87AE"/>
    <w:lvl w:ilvl="0" w:tplc="10090011">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03" w15:restartNumberingAfterBreak="0">
    <w:nsid w:val="6703212B"/>
    <w:multiLevelType w:val="singleLevel"/>
    <w:tmpl w:val="9FC2700E"/>
    <w:lvl w:ilvl="0">
      <w:start w:val="1"/>
      <w:numFmt w:val="bullet"/>
      <w:pStyle w:val="TableBullet2"/>
      <w:lvlText w:val=""/>
      <w:lvlJc w:val="left"/>
      <w:pPr>
        <w:tabs>
          <w:tab w:val="num" w:pos="576"/>
        </w:tabs>
        <w:ind w:left="432" w:hanging="216"/>
      </w:pPr>
      <w:rPr>
        <w:rFonts w:ascii="Symbol" w:hAnsi="Symbol" w:hint="default"/>
        <w:sz w:val="20"/>
      </w:rPr>
    </w:lvl>
  </w:abstractNum>
  <w:abstractNum w:abstractNumId="104" w15:restartNumberingAfterBreak="0">
    <w:nsid w:val="67CA07E1"/>
    <w:multiLevelType w:val="hybridMultilevel"/>
    <w:tmpl w:val="B89E1CBE"/>
    <w:lvl w:ilvl="0" w:tplc="D2524880">
      <w:start w:val="1"/>
      <w:numFmt w:val="bullet"/>
      <w:lvlText w:val="-"/>
      <w:lvlJc w:val="left"/>
      <w:pPr>
        <w:ind w:left="720" w:hanging="360"/>
      </w:pPr>
      <w:rPr>
        <w:rFonts w:ascii="Times New Roman" w:eastAsia="Times New Roman" w:hAnsi="Times New Roman" w:cs="Times New Roman"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5" w15:restartNumberingAfterBreak="0">
    <w:nsid w:val="67FB6832"/>
    <w:multiLevelType w:val="hybridMultilevel"/>
    <w:tmpl w:val="328227A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6" w15:restartNumberingAfterBreak="0">
    <w:nsid w:val="68166F64"/>
    <w:multiLevelType w:val="hybridMultilevel"/>
    <w:tmpl w:val="4636D7B2"/>
    <w:lvl w:ilvl="0" w:tplc="10090001">
      <w:start w:val="1"/>
      <w:numFmt w:val="bullet"/>
      <w:lvlText w:val=""/>
      <w:lvlJc w:val="left"/>
      <w:pPr>
        <w:tabs>
          <w:tab w:val="num" w:pos="780"/>
        </w:tabs>
        <w:ind w:left="780" w:hanging="360"/>
      </w:pPr>
      <w:rPr>
        <w:rFonts w:ascii="Symbol" w:hAnsi="Symbol" w:hint="default"/>
      </w:rPr>
    </w:lvl>
    <w:lvl w:ilvl="1" w:tplc="10090003" w:tentative="1">
      <w:start w:val="1"/>
      <w:numFmt w:val="bullet"/>
      <w:lvlText w:val="o"/>
      <w:lvlJc w:val="left"/>
      <w:pPr>
        <w:tabs>
          <w:tab w:val="num" w:pos="1500"/>
        </w:tabs>
        <w:ind w:left="1500" w:hanging="360"/>
      </w:pPr>
      <w:rPr>
        <w:rFonts w:ascii="Courier New" w:hAnsi="Courier New" w:cs="Courier New" w:hint="default"/>
      </w:rPr>
    </w:lvl>
    <w:lvl w:ilvl="2" w:tplc="10090005" w:tentative="1">
      <w:start w:val="1"/>
      <w:numFmt w:val="bullet"/>
      <w:lvlText w:val=""/>
      <w:lvlJc w:val="left"/>
      <w:pPr>
        <w:tabs>
          <w:tab w:val="num" w:pos="2220"/>
        </w:tabs>
        <w:ind w:left="2220" w:hanging="360"/>
      </w:pPr>
      <w:rPr>
        <w:rFonts w:ascii="Wingdings" w:hAnsi="Wingdings" w:hint="default"/>
      </w:rPr>
    </w:lvl>
    <w:lvl w:ilvl="3" w:tplc="10090001" w:tentative="1">
      <w:start w:val="1"/>
      <w:numFmt w:val="bullet"/>
      <w:lvlText w:val=""/>
      <w:lvlJc w:val="left"/>
      <w:pPr>
        <w:tabs>
          <w:tab w:val="num" w:pos="2940"/>
        </w:tabs>
        <w:ind w:left="2940" w:hanging="360"/>
      </w:pPr>
      <w:rPr>
        <w:rFonts w:ascii="Symbol" w:hAnsi="Symbol" w:hint="default"/>
      </w:rPr>
    </w:lvl>
    <w:lvl w:ilvl="4" w:tplc="10090003" w:tentative="1">
      <w:start w:val="1"/>
      <w:numFmt w:val="bullet"/>
      <w:lvlText w:val="o"/>
      <w:lvlJc w:val="left"/>
      <w:pPr>
        <w:tabs>
          <w:tab w:val="num" w:pos="3660"/>
        </w:tabs>
        <w:ind w:left="3660" w:hanging="360"/>
      </w:pPr>
      <w:rPr>
        <w:rFonts w:ascii="Courier New" w:hAnsi="Courier New" w:cs="Courier New" w:hint="default"/>
      </w:rPr>
    </w:lvl>
    <w:lvl w:ilvl="5" w:tplc="10090005" w:tentative="1">
      <w:start w:val="1"/>
      <w:numFmt w:val="bullet"/>
      <w:lvlText w:val=""/>
      <w:lvlJc w:val="left"/>
      <w:pPr>
        <w:tabs>
          <w:tab w:val="num" w:pos="4380"/>
        </w:tabs>
        <w:ind w:left="4380" w:hanging="360"/>
      </w:pPr>
      <w:rPr>
        <w:rFonts w:ascii="Wingdings" w:hAnsi="Wingdings" w:hint="default"/>
      </w:rPr>
    </w:lvl>
    <w:lvl w:ilvl="6" w:tplc="10090001" w:tentative="1">
      <w:start w:val="1"/>
      <w:numFmt w:val="bullet"/>
      <w:lvlText w:val=""/>
      <w:lvlJc w:val="left"/>
      <w:pPr>
        <w:tabs>
          <w:tab w:val="num" w:pos="5100"/>
        </w:tabs>
        <w:ind w:left="5100" w:hanging="360"/>
      </w:pPr>
      <w:rPr>
        <w:rFonts w:ascii="Symbol" w:hAnsi="Symbol" w:hint="default"/>
      </w:rPr>
    </w:lvl>
    <w:lvl w:ilvl="7" w:tplc="10090003" w:tentative="1">
      <w:start w:val="1"/>
      <w:numFmt w:val="bullet"/>
      <w:lvlText w:val="o"/>
      <w:lvlJc w:val="left"/>
      <w:pPr>
        <w:tabs>
          <w:tab w:val="num" w:pos="5820"/>
        </w:tabs>
        <w:ind w:left="5820" w:hanging="360"/>
      </w:pPr>
      <w:rPr>
        <w:rFonts w:ascii="Courier New" w:hAnsi="Courier New" w:cs="Courier New" w:hint="default"/>
      </w:rPr>
    </w:lvl>
    <w:lvl w:ilvl="8" w:tplc="10090005" w:tentative="1">
      <w:start w:val="1"/>
      <w:numFmt w:val="bullet"/>
      <w:lvlText w:val=""/>
      <w:lvlJc w:val="left"/>
      <w:pPr>
        <w:tabs>
          <w:tab w:val="num" w:pos="6540"/>
        </w:tabs>
        <w:ind w:left="6540" w:hanging="360"/>
      </w:pPr>
      <w:rPr>
        <w:rFonts w:ascii="Wingdings" w:hAnsi="Wingdings" w:hint="default"/>
      </w:rPr>
    </w:lvl>
  </w:abstractNum>
  <w:abstractNum w:abstractNumId="107" w15:restartNumberingAfterBreak="0">
    <w:nsid w:val="694371D6"/>
    <w:multiLevelType w:val="hybridMultilevel"/>
    <w:tmpl w:val="620CE142"/>
    <w:lvl w:ilvl="0" w:tplc="1009000B">
      <w:start w:val="1"/>
      <w:numFmt w:val="bullet"/>
      <w:lvlText w:val=""/>
      <w:lvlJc w:val="left"/>
      <w:pPr>
        <w:tabs>
          <w:tab w:val="num" w:pos="864"/>
        </w:tabs>
        <w:ind w:left="864" w:hanging="360"/>
      </w:pPr>
      <w:rPr>
        <w:rFonts w:ascii="Wingdings" w:hAnsi="Wingdings" w:hint="default"/>
      </w:rPr>
    </w:lvl>
    <w:lvl w:ilvl="1" w:tplc="10090001">
      <w:start w:val="1"/>
      <w:numFmt w:val="bullet"/>
      <w:lvlText w:val=""/>
      <w:lvlJc w:val="left"/>
      <w:pPr>
        <w:tabs>
          <w:tab w:val="num" w:pos="1440"/>
        </w:tabs>
        <w:ind w:left="1440" w:hanging="360"/>
      </w:pPr>
      <w:rPr>
        <w:rFonts w:ascii="Symbol" w:hAnsi="Symbol"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108" w15:restartNumberingAfterBreak="0">
    <w:nsid w:val="6A6B522B"/>
    <w:multiLevelType w:val="singleLevel"/>
    <w:tmpl w:val="E06C31FC"/>
    <w:lvl w:ilvl="0">
      <w:start w:val="1"/>
      <w:numFmt w:val="decimal"/>
      <w:pStyle w:val="ListNumber"/>
      <w:lvlText w:val="%1."/>
      <w:lvlJc w:val="left"/>
      <w:pPr>
        <w:tabs>
          <w:tab w:val="num" w:pos="1224"/>
        </w:tabs>
        <w:ind w:left="864" w:hanging="360"/>
      </w:pPr>
    </w:lvl>
  </w:abstractNum>
  <w:abstractNum w:abstractNumId="109" w15:restartNumberingAfterBreak="0">
    <w:nsid w:val="6ACB4F0D"/>
    <w:multiLevelType w:val="hybridMultilevel"/>
    <w:tmpl w:val="B538C8C2"/>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110" w15:restartNumberingAfterBreak="0">
    <w:nsid w:val="6C041282"/>
    <w:multiLevelType w:val="hybridMultilevel"/>
    <w:tmpl w:val="548CE904"/>
    <w:lvl w:ilvl="0" w:tplc="10090011">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11" w15:restartNumberingAfterBreak="0">
    <w:nsid w:val="6C596B2C"/>
    <w:multiLevelType w:val="hybridMultilevel"/>
    <w:tmpl w:val="96F6DD00"/>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112" w15:restartNumberingAfterBreak="0">
    <w:nsid w:val="6D0818CE"/>
    <w:multiLevelType w:val="singleLevel"/>
    <w:tmpl w:val="6F50D45E"/>
    <w:lvl w:ilvl="0">
      <w:start w:val="1"/>
      <w:numFmt w:val="none"/>
      <w:pStyle w:val="BodyTextNote"/>
      <w:lvlText w:val="%1Note:"/>
      <w:lvlJc w:val="left"/>
      <w:pPr>
        <w:tabs>
          <w:tab w:val="num" w:pos="900"/>
        </w:tabs>
        <w:ind w:left="180" w:firstLine="0"/>
      </w:pPr>
      <w:rPr>
        <w:rFonts w:ascii="Times New Roman" w:hAnsi="Times New Roman" w:hint="default"/>
        <w:b/>
        <w:i w:val="0"/>
        <w:sz w:val="22"/>
      </w:rPr>
    </w:lvl>
  </w:abstractNum>
  <w:abstractNum w:abstractNumId="113" w15:restartNumberingAfterBreak="0">
    <w:nsid w:val="70943B54"/>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14" w15:restartNumberingAfterBreak="0">
    <w:nsid w:val="70D45166"/>
    <w:multiLevelType w:val="hybridMultilevel"/>
    <w:tmpl w:val="E2CEA67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5" w15:restartNumberingAfterBreak="0">
    <w:nsid w:val="72C66D40"/>
    <w:multiLevelType w:val="singleLevel"/>
    <w:tmpl w:val="6A98D472"/>
    <w:lvl w:ilvl="0">
      <w:start w:val="1"/>
      <w:numFmt w:val="decimal"/>
      <w:pStyle w:val="Bibliographytext"/>
      <w:lvlText w:val="%1."/>
      <w:lvlJc w:val="left"/>
      <w:pPr>
        <w:tabs>
          <w:tab w:val="num" w:pos="360"/>
        </w:tabs>
        <w:ind w:left="360" w:hanging="360"/>
      </w:pPr>
    </w:lvl>
  </w:abstractNum>
  <w:abstractNum w:abstractNumId="116" w15:restartNumberingAfterBreak="0">
    <w:nsid w:val="732A7139"/>
    <w:multiLevelType w:val="hybridMultilevel"/>
    <w:tmpl w:val="D4C88F3E"/>
    <w:lvl w:ilvl="0" w:tplc="CD1C461A">
      <w:start w:val="1"/>
      <w:numFmt w:val="lowerLetter"/>
      <w:lvlText w:val="%1)"/>
      <w:lvlJc w:val="left"/>
      <w:pPr>
        <w:ind w:left="720" w:hanging="360"/>
      </w:pPr>
      <w:rPr>
        <w:rFonts w:ascii="Times New Roman" w:eastAsia="Times New Roman" w:hAnsi="Times New Roman" w:cs="Times New Roman"/>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17" w15:restartNumberingAfterBreak="0">
    <w:nsid w:val="74D275EF"/>
    <w:multiLevelType w:val="hybridMultilevel"/>
    <w:tmpl w:val="697C13FC"/>
    <w:lvl w:ilvl="0" w:tplc="10090001">
      <w:start w:val="1"/>
      <w:numFmt w:val="decimal"/>
      <w:lvlText w:val="(%1)"/>
      <w:lvlJc w:val="left"/>
      <w:pPr>
        <w:ind w:left="720" w:hanging="360"/>
      </w:pPr>
      <w:rPr>
        <w:rFonts w:hint="default"/>
      </w:rPr>
    </w:lvl>
    <w:lvl w:ilvl="1" w:tplc="10090003" w:tentative="1">
      <w:start w:val="1"/>
      <w:numFmt w:val="lowerLetter"/>
      <w:lvlText w:val="%2."/>
      <w:lvlJc w:val="left"/>
      <w:pPr>
        <w:ind w:left="1440" w:hanging="360"/>
      </w:pPr>
    </w:lvl>
    <w:lvl w:ilvl="2" w:tplc="10090005" w:tentative="1">
      <w:start w:val="1"/>
      <w:numFmt w:val="lowerRoman"/>
      <w:lvlText w:val="%3."/>
      <w:lvlJc w:val="right"/>
      <w:pPr>
        <w:ind w:left="2160" w:hanging="180"/>
      </w:pPr>
    </w:lvl>
    <w:lvl w:ilvl="3" w:tplc="10090001" w:tentative="1">
      <w:start w:val="1"/>
      <w:numFmt w:val="decimal"/>
      <w:lvlText w:val="%4."/>
      <w:lvlJc w:val="left"/>
      <w:pPr>
        <w:ind w:left="2880" w:hanging="360"/>
      </w:pPr>
    </w:lvl>
    <w:lvl w:ilvl="4" w:tplc="10090003" w:tentative="1">
      <w:start w:val="1"/>
      <w:numFmt w:val="lowerLetter"/>
      <w:lvlText w:val="%5."/>
      <w:lvlJc w:val="left"/>
      <w:pPr>
        <w:ind w:left="3600" w:hanging="360"/>
      </w:pPr>
    </w:lvl>
    <w:lvl w:ilvl="5" w:tplc="10090005" w:tentative="1">
      <w:start w:val="1"/>
      <w:numFmt w:val="lowerRoman"/>
      <w:lvlText w:val="%6."/>
      <w:lvlJc w:val="right"/>
      <w:pPr>
        <w:ind w:left="4320" w:hanging="180"/>
      </w:pPr>
    </w:lvl>
    <w:lvl w:ilvl="6" w:tplc="10090001" w:tentative="1">
      <w:start w:val="1"/>
      <w:numFmt w:val="decimal"/>
      <w:lvlText w:val="%7."/>
      <w:lvlJc w:val="left"/>
      <w:pPr>
        <w:ind w:left="5040" w:hanging="360"/>
      </w:pPr>
    </w:lvl>
    <w:lvl w:ilvl="7" w:tplc="10090003" w:tentative="1">
      <w:start w:val="1"/>
      <w:numFmt w:val="lowerLetter"/>
      <w:lvlText w:val="%8."/>
      <w:lvlJc w:val="left"/>
      <w:pPr>
        <w:ind w:left="5760" w:hanging="360"/>
      </w:pPr>
    </w:lvl>
    <w:lvl w:ilvl="8" w:tplc="10090005" w:tentative="1">
      <w:start w:val="1"/>
      <w:numFmt w:val="lowerRoman"/>
      <w:lvlText w:val="%9."/>
      <w:lvlJc w:val="right"/>
      <w:pPr>
        <w:ind w:left="6480" w:hanging="180"/>
      </w:pPr>
    </w:lvl>
  </w:abstractNum>
  <w:abstractNum w:abstractNumId="118" w15:restartNumberingAfterBreak="0">
    <w:nsid w:val="77C16C35"/>
    <w:multiLevelType w:val="hybridMultilevel"/>
    <w:tmpl w:val="A1F26A6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9" w15:restartNumberingAfterBreak="0">
    <w:nsid w:val="78BF7D8D"/>
    <w:multiLevelType w:val="hybridMultilevel"/>
    <w:tmpl w:val="6540AC74"/>
    <w:lvl w:ilvl="0" w:tplc="1009000F">
      <w:start w:val="1"/>
      <w:numFmt w:val="decimal"/>
      <w:lvlText w:val="%1."/>
      <w:lvlJc w:val="left"/>
      <w:pPr>
        <w:tabs>
          <w:tab w:val="num" w:pos="1080"/>
        </w:tabs>
        <w:ind w:left="1080" w:hanging="360"/>
      </w:pPr>
      <w:rPr>
        <w:rFonts w:hint="default"/>
      </w:rPr>
    </w:lvl>
    <w:lvl w:ilvl="1" w:tplc="508ED350">
      <w:start w:val="1"/>
      <w:numFmt w:val="lowerRoman"/>
      <w:lvlText w:val="(%2)"/>
      <w:lvlJc w:val="left"/>
      <w:pPr>
        <w:ind w:left="2520" w:hanging="720"/>
      </w:pPr>
      <w:rPr>
        <w:rFonts w:hint="default"/>
      </w:rPr>
    </w:lvl>
    <w:lvl w:ilvl="2" w:tplc="1009001B" w:tentative="1">
      <w:start w:val="1"/>
      <w:numFmt w:val="lowerRoman"/>
      <w:lvlText w:val="%3."/>
      <w:lvlJc w:val="right"/>
      <w:pPr>
        <w:tabs>
          <w:tab w:val="num" w:pos="2880"/>
        </w:tabs>
        <w:ind w:left="2880" w:hanging="180"/>
      </w:pPr>
    </w:lvl>
    <w:lvl w:ilvl="3" w:tplc="1009000F" w:tentative="1">
      <w:start w:val="1"/>
      <w:numFmt w:val="decimal"/>
      <w:lvlText w:val="%4."/>
      <w:lvlJc w:val="left"/>
      <w:pPr>
        <w:tabs>
          <w:tab w:val="num" w:pos="3600"/>
        </w:tabs>
        <w:ind w:left="3600" w:hanging="360"/>
      </w:pPr>
    </w:lvl>
    <w:lvl w:ilvl="4" w:tplc="10090019" w:tentative="1">
      <w:start w:val="1"/>
      <w:numFmt w:val="lowerLetter"/>
      <w:lvlText w:val="%5."/>
      <w:lvlJc w:val="left"/>
      <w:pPr>
        <w:tabs>
          <w:tab w:val="num" w:pos="4320"/>
        </w:tabs>
        <w:ind w:left="4320" w:hanging="360"/>
      </w:pPr>
    </w:lvl>
    <w:lvl w:ilvl="5" w:tplc="1009001B" w:tentative="1">
      <w:start w:val="1"/>
      <w:numFmt w:val="lowerRoman"/>
      <w:lvlText w:val="%6."/>
      <w:lvlJc w:val="right"/>
      <w:pPr>
        <w:tabs>
          <w:tab w:val="num" w:pos="5040"/>
        </w:tabs>
        <w:ind w:left="5040" w:hanging="180"/>
      </w:pPr>
    </w:lvl>
    <w:lvl w:ilvl="6" w:tplc="1009000F" w:tentative="1">
      <w:start w:val="1"/>
      <w:numFmt w:val="decimal"/>
      <w:lvlText w:val="%7."/>
      <w:lvlJc w:val="left"/>
      <w:pPr>
        <w:tabs>
          <w:tab w:val="num" w:pos="5760"/>
        </w:tabs>
        <w:ind w:left="5760" w:hanging="360"/>
      </w:pPr>
    </w:lvl>
    <w:lvl w:ilvl="7" w:tplc="10090019" w:tentative="1">
      <w:start w:val="1"/>
      <w:numFmt w:val="lowerLetter"/>
      <w:lvlText w:val="%8."/>
      <w:lvlJc w:val="left"/>
      <w:pPr>
        <w:tabs>
          <w:tab w:val="num" w:pos="6480"/>
        </w:tabs>
        <w:ind w:left="6480" w:hanging="360"/>
      </w:pPr>
    </w:lvl>
    <w:lvl w:ilvl="8" w:tplc="1009001B" w:tentative="1">
      <w:start w:val="1"/>
      <w:numFmt w:val="lowerRoman"/>
      <w:lvlText w:val="%9."/>
      <w:lvlJc w:val="right"/>
      <w:pPr>
        <w:tabs>
          <w:tab w:val="num" w:pos="7200"/>
        </w:tabs>
        <w:ind w:left="7200" w:hanging="180"/>
      </w:pPr>
    </w:lvl>
  </w:abstractNum>
  <w:abstractNum w:abstractNumId="120" w15:restartNumberingAfterBreak="0">
    <w:nsid w:val="7AC06742"/>
    <w:multiLevelType w:val="hybridMultilevel"/>
    <w:tmpl w:val="356A8BFA"/>
    <w:lvl w:ilvl="0" w:tplc="D67A859C">
      <w:numFmt w:val="bullet"/>
      <w:lvlText w:val="•"/>
      <w:lvlJc w:val="left"/>
      <w:pPr>
        <w:ind w:left="1080" w:hanging="360"/>
      </w:pPr>
      <w:rPr>
        <w:rFonts w:ascii="Times New Roman" w:eastAsia="Times New Roman" w:hAnsi="Times New Roman" w:cs="Times New Roman"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21" w15:restartNumberingAfterBreak="0">
    <w:nsid w:val="7B1E6F4B"/>
    <w:multiLevelType w:val="hybridMultilevel"/>
    <w:tmpl w:val="AC26C43E"/>
    <w:lvl w:ilvl="0" w:tplc="10090001">
      <w:start w:val="1"/>
      <w:numFmt w:val="bullet"/>
      <w:lvlText w:val=""/>
      <w:lvlJc w:val="left"/>
      <w:pPr>
        <w:tabs>
          <w:tab w:val="num" w:pos="720"/>
        </w:tabs>
        <w:ind w:left="720" w:hanging="360"/>
      </w:pPr>
      <w:rPr>
        <w:rFonts w:ascii="Symbol" w:hAnsi="Symbol" w:hint="default"/>
      </w:rPr>
    </w:lvl>
    <w:lvl w:ilvl="1" w:tplc="10090003">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122" w15:restartNumberingAfterBreak="0">
    <w:nsid w:val="7B8B6316"/>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23" w15:restartNumberingAfterBreak="0">
    <w:nsid w:val="7C33034D"/>
    <w:multiLevelType w:val="singleLevel"/>
    <w:tmpl w:val="410A8AB6"/>
    <w:lvl w:ilvl="0">
      <w:start w:val="1"/>
      <w:numFmt w:val="lowerLetter"/>
      <w:pStyle w:val="ListAlpha"/>
      <w:lvlText w:val="%1."/>
      <w:lvlJc w:val="left"/>
      <w:pPr>
        <w:tabs>
          <w:tab w:val="num" w:pos="864"/>
        </w:tabs>
        <w:ind w:left="864" w:hanging="360"/>
      </w:pPr>
    </w:lvl>
  </w:abstractNum>
  <w:abstractNum w:abstractNumId="124" w15:restartNumberingAfterBreak="0">
    <w:nsid w:val="7C9A7DF8"/>
    <w:multiLevelType w:val="hybridMultilevel"/>
    <w:tmpl w:val="E0C47734"/>
    <w:lvl w:ilvl="0" w:tplc="10090001">
      <w:start w:val="1"/>
      <w:numFmt w:val="bullet"/>
      <w:lvlText w:val=""/>
      <w:lvlJc w:val="left"/>
      <w:pPr>
        <w:ind w:left="1800" w:hanging="360"/>
      </w:pPr>
      <w:rPr>
        <w:rFonts w:ascii="Symbol" w:hAnsi="Symbol" w:hint="default"/>
      </w:rPr>
    </w:lvl>
    <w:lvl w:ilvl="1" w:tplc="10090003">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125" w15:restartNumberingAfterBreak="0">
    <w:nsid w:val="7D282EEF"/>
    <w:multiLevelType w:val="hybridMultilevel"/>
    <w:tmpl w:val="A12CC5F8"/>
    <w:lvl w:ilvl="0" w:tplc="10090011">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26" w15:restartNumberingAfterBreak="0">
    <w:nsid w:val="7D602BB0"/>
    <w:multiLevelType w:val="singleLevel"/>
    <w:tmpl w:val="CD1C461A"/>
    <w:lvl w:ilvl="0">
      <w:start w:val="1"/>
      <w:numFmt w:val="lowerLetter"/>
      <w:lvlText w:val="%1)"/>
      <w:lvlJc w:val="left"/>
      <w:pPr>
        <w:tabs>
          <w:tab w:val="num" w:pos="1584"/>
        </w:tabs>
        <w:ind w:left="1224" w:hanging="360"/>
      </w:pPr>
      <w:rPr>
        <w:rFonts w:ascii="Times New Roman" w:eastAsia="Times New Roman" w:hAnsi="Times New Roman" w:cs="Times New Roman"/>
      </w:rPr>
    </w:lvl>
  </w:abstractNum>
  <w:abstractNum w:abstractNumId="127" w15:restartNumberingAfterBreak="0">
    <w:nsid w:val="7D8E78EB"/>
    <w:multiLevelType w:val="hybridMultilevel"/>
    <w:tmpl w:val="26B439A2"/>
    <w:lvl w:ilvl="0" w:tplc="10090001">
      <w:start w:val="1"/>
      <w:numFmt w:val="bullet"/>
      <w:lvlText w:val=""/>
      <w:lvlJc w:val="left"/>
      <w:pPr>
        <w:ind w:left="2160" w:hanging="360"/>
      </w:pPr>
      <w:rPr>
        <w:rFonts w:ascii="Symbol" w:hAnsi="Symbol" w:hint="default"/>
      </w:rPr>
    </w:lvl>
    <w:lvl w:ilvl="1" w:tplc="10090003" w:tentative="1">
      <w:start w:val="1"/>
      <w:numFmt w:val="bullet"/>
      <w:lvlText w:val="o"/>
      <w:lvlJc w:val="left"/>
      <w:pPr>
        <w:ind w:left="2880" w:hanging="360"/>
      </w:pPr>
      <w:rPr>
        <w:rFonts w:ascii="Courier New" w:hAnsi="Courier New" w:cs="Courier New" w:hint="default"/>
      </w:rPr>
    </w:lvl>
    <w:lvl w:ilvl="2" w:tplc="10090005" w:tentative="1">
      <w:start w:val="1"/>
      <w:numFmt w:val="bullet"/>
      <w:lvlText w:val=""/>
      <w:lvlJc w:val="left"/>
      <w:pPr>
        <w:ind w:left="3600" w:hanging="360"/>
      </w:pPr>
      <w:rPr>
        <w:rFonts w:ascii="Wingdings" w:hAnsi="Wingdings" w:hint="default"/>
      </w:rPr>
    </w:lvl>
    <w:lvl w:ilvl="3" w:tplc="10090001" w:tentative="1">
      <w:start w:val="1"/>
      <w:numFmt w:val="bullet"/>
      <w:lvlText w:val=""/>
      <w:lvlJc w:val="left"/>
      <w:pPr>
        <w:ind w:left="4320" w:hanging="360"/>
      </w:pPr>
      <w:rPr>
        <w:rFonts w:ascii="Symbol" w:hAnsi="Symbol" w:hint="default"/>
      </w:rPr>
    </w:lvl>
    <w:lvl w:ilvl="4" w:tplc="10090003" w:tentative="1">
      <w:start w:val="1"/>
      <w:numFmt w:val="bullet"/>
      <w:lvlText w:val="o"/>
      <w:lvlJc w:val="left"/>
      <w:pPr>
        <w:ind w:left="5040" w:hanging="360"/>
      </w:pPr>
      <w:rPr>
        <w:rFonts w:ascii="Courier New" w:hAnsi="Courier New" w:cs="Courier New" w:hint="default"/>
      </w:rPr>
    </w:lvl>
    <w:lvl w:ilvl="5" w:tplc="10090005" w:tentative="1">
      <w:start w:val="1"/>
      <w:numFmt w:val="bullet"/>
      <w:lvlText w:val=""/>
      <w:lvlJc w:val="left"/>
      <w:pPr>
        <w:ind w:left="5760" w:hanging="360"/>
      </w:pPr>
      <w:rPr>
        <w:rFonts w:ascii="Wingdings" w:hAnsi="Wingdings" w:hint="default"/>
      </w:rPr>
    </w:lvl>
    <w:lvl w:ilvl="6" w:tplc="10090001" w:tentative="1">
      <w:start w:val="1"/>
      <w:numFmt w:val="bullet"/>
      <w:lvlText w:val=""/>
      <w:lvlJc w:val="left"/>
      <w:pPr>
        <w:ind w:left="6480" w:hanging="360"/>
      </w:pPr>
      <w:rPr>
        <w:rFonts w:ascii="Symbol" w:hAnsi="Symbol" w:hint="default"/>
      </w:rPr>
    </w:lvl>
    <w:lvl w:ilvl="7" w:tplc="10090003" w:tentative="1">
      <w:start w:val="1"/>
      <w:numFmt w:val="bullet"/>
      <w:lvlText w:val="o"/>
      <w:lvlJc w:val="left"/>
      <w:pPr>
        <w:ind w:left="7200" w:hanging="360"/>
      </w:pPr>
      <w:rPr>
        <w:rFonts w:ascii="Courier New" w:hAnsi="Courier New" w:cs="Courier New" w:hint="default"/>
      </w:rPr>
    </w:lvl>
    <w:lvl w:ilvl="8" w:tplc="10090005" w:tentative="1">
      <w:start w:val="1"/>
      <w:numFmt w:val="bullet"/>
      <w:lvlText w:val=""/>
      <w:lvlJc w:val="left"/>
      <w:pPr>
        <w:ind w:left="7920" w:hanging="360"/>
      </w:pPr>
      <w:rPr>
        <w:rFonts w:ascii="Wingdings" w:hAnsi="Wingdings" w:hint="default"/>
      </w:rPr>
    </w:lvl>
  </w:abstractNum>
  <w:abstractNum w:abstractNumId="128" w15:restartNumberingAfterBreak="0">
    <w:nsid w:val="7E2A5CEC"/>
    <w:multiLevelType w:val="hybridMultilevel"/>
    <w:tmpl w:val="3B464C3C"/>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129" w15:restartNumberingAfterBreak="0">
    <w:nsid w:val="7E4A3150"/>
    <w:multiLevelType w:val="hybridMultilevel"/>
    <w:tmpl w:val="305E0270"/>
    <w:lvl w:ilvl="0" w:tplc="1009000F">
      <w:start w:val="1"/>
      <w:numFmt w:val="decimal"/>
      <w:lvlText w:val="%1."/>
      <w:lvlJc w:val="left"/>
      <w:pPr>
        <w:ind w:left="360" w:hanging="360"/>
      </w:pPr>
      <w:rPr>
        <w:rFonts w:hint="default"/>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130" w15:restartNumberingAfterBreak="0">
    <w:nsid w:val="7FDE3E04"/>
    <w:multiLevelType w:val="hybridMultilevel"/>
    <w:tmpl w:val="B2DAFD10"/>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33"/>
  </w:num>
  <w:num w:numId="3">
    <w:abstractNumId w:val="108"/>
  </w:num>
  <w:num w:numId="4">
    <w:abstractNumId w:val="126"/>
  </w:num>
  <w:num w:numId="5">
    <w:abstractNumId w:val="115"/>
  </w:num>
  <w:num w:numId="6">
    <w:abstractNumId w:val="98"/>
  </w:num>
  <w:num w:numId="7">
    <w:abstractNumId w:val="74"/>
  </w:num>
  <w:num w:numId="8">
    <w:abstractNumId w:val="73"/>
  </w:num>
  <w:num w:numId="9">
    <w:abstractNumId w:val="123"/>
  </w:num>
  <w:num w:numId="10">
    <w:abstractNumId w:val="10"/>
  </w:num>
  <w:num w:numId="11">
    <w:abstractNumId w:val="112"/>
  </w:num>
  <w:num w:numId="12">
    <w:abstractNumId w:val="50"/>
  </w:num>
  <w:num w:numId="13">
    <w:abstractNumId w:val="103"/>
  </w:num>
  <w:num w:numId="14">
    <w:abstractNumId w:val="80"/>
  </w:num>
  <w:num w:numId="15">
    <w:abstractNumId w:val="4"/>
  </w:num>
  <w:num w:numId="16">
    <w:abstractNumId w:val="33"/>
  </w:num>
  <w:num w:numId="17">
    <w:abstractNumId w:val="67"/>
  </w:num>
  <w:num w:numId="18">
    <w:abstractNumId w:val="82"/>
  </w:num>
  <w:num w:numId="19">
    <w:abstractNumId w:val="40"/>
  </w:num>
  <w:num w:numId="20">
    <w:abstractNumId w:val="95"/>
  </w:num>
  <w:num w:numId="21">
    <w:abstractNumId w:val="122"/>
  </w:num>
  <w:num w:numId="22">
    <w:abstractNumId w:val="100"/>
  </w:num>
  <w:num w:numId="23">
    <w:abstractNumId w:val="113"/>
  </w:num>
  <w:num w:numId="24">
    <w:abstractNumId w:val="90"/>
  </w:num>
  <w:num w:numId="25">
    <w:abstractNumId w:val="68"/>
  </w:num>
  <w:num w:numId="26">
    <w:abstractNumId w:val="101"/>
  </w:num>
  <w:num w:numId="27">
    <w:abstractNumId w:val="101"/>
  </w:num>
  <w:num w:numId="28">
    <w:abstractNumId w:val="37"/>
  </w:num>
  <w:num w:numId="29">
    <w:abstractNumId w:val="71"/>
  </w:num>
  <w:num w:numId="30">
    <w:abstractNumId w:val="24"/>
  </w:num>
  <w:num w:numId="31">
    <w:abstractNumId w:val="16"/>
  </w:num>
  <w:num w:numId="32">
    <w:abstractNumId w:val="29"/>
  </w:num>
  <w:num w:numId="33">
    <w:abstractNumId w:val="5"/>
  </w:num>
  <w:num w:numId="34">
    <w:abstractNumId w:val="121"/>
  </w:num>
  <w:num w:numId="35">
    <w:abstractNumId w:val="30"/>
  </w:num>
  <w:num w:numId="36">
    <w:abstractNumId w:val="51"/>
  </w:num>
  <w:num w:numId="37">
    <w:abstractNumId w:val="128"/>
  </w:num>
  <w:num w:numId="38">
    <w:abstractNumId w:val="64"/>
  </w:num>
  <w:num w:numId="39">
    <w:abstractNumId w:val="31"/>
  </w:num>
  <w:num w:numId="40">
    <w:abstractNumId w:val="106"/>
  </w:num>
  <w:num w:numId="41">
    <w:abstractNumId w:val="76"/>
  </w:num>
  <w:num w:numId="42">
    <w:abstractNumId w:val="43"/>
  </w:num>
  <w:num w:numId="43">
    <w:abstractNumId w:val="1"/>
  </w:num>
  <w:num w:numId="44">
    <w:abstractNumId w:val="57"/>
  </w:num>
  <w:num w:numId="45">
    <w:abstractNumId w:val="109"/>
  </w:num>
  <w:num w:numId="46">
    <w:abstractNumId w:val="46"/>
  </w:num>
  <w:num w:numId="47">
    <w:abstractNumId w:val="13"/>
  </w:num>
  <w:num w:numId="48">
    <w:abstractNumId w:val="23"/>
  </w:num>
  <w:num w:numId="49">
    <w:abstractNumId w:val="78"/>
  </w:num>
  <w:num w:numId="50">
    <w:abstractNumId w:val="2"/>
  </w:num>
  <w:num w:numId="51">
    <w:abstractNumId w:val="34"/>
  </w:num>
  <w:num w:numId="52">
    <w:abstractNumId w:val="111"/>
  </w:num>
  <w:num w:numId="53">
    <w:abstractNumId w:val="130"/>
  </w:num>
  <w:num w:numId="54">
    <w:abstractNumId w:val="42"/>
  </w:num>
  <w:num w:numId="55">
    <w:abstractNumId w:val="62"/>
  </w:num>
  <w:num w:numId="56">
    <w:abstractNumId w:val="41"/>
  </w:num>
  <w:num w:numId="57">
    <w:abstractNumId w:val="97"/>
  </w:num>
  <w:num w:numId="58">
    <w:abstractNumId w:val="19"/>
  </w:num>
  <w:num w:numId="59">
    <w:abstractNumId w:val="14"/>
  </w:num>
  <w:num w:numId="60">
    <w:abstractNumId w:val="107"/>
  </w:num>
  <w:num w:numId="61">
    <w:abstractNumId w:val="58"/>
  </w:num>
  <w:num w:numId="62">
    <w:abstractNumId w:val="44"/>
  </w:num>
  <w:num w:numId="63">
    <w:abstractNumId w:val="119"/>
  </w:num>
  <w:num w:numId="64">
    <w:abstractNumId w:val="45"/>
  </w:num>
  <w:num w:numId="65">
    <w:abstractNumId w:val="114"/>
  </w:num>
  <w:num w:numId="66">
    <w:abstractNumId w:val="56"/>
  </w:num>
  <w:num w:numId="67">
    <w:abstractNumId w:val="18"/>
  </w:num>
  <w:num w:numId="68">
    <w:abstractNumId w:val="88"/>
  </w:num>
  <w:num w:numId="69">
    <w:abstractNumId w:val="32"/>
  </w:num>
  <w:num w:numId="7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47"/>
  </w:num>
  <w:num w:numId="72">
    <w:abstractNumId w:val="25"/>
  </w:num>
  <w:num w:numId="73">
    <w:abstractNumId w:val="8"/>
  </w:num>
  <w:num w:numId="74">
    <w:abstractNumId w:val="1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66"/>
  </w:num>
  <w:num w:numId="78">
    <w:abstractNumId w:val="49"/>
  </w:num>
  <w:num w:numId="79">
    <w:abstractNumId w:val="118"/>
  </w:num>
  <w:num w:numId="80">
    <w:abstractNumId w:val="79"/>
  </w:num>
  <w:num w:numId="81">
    <w:abstractNumId w:val="110"/>
  </w:num>
  <w:num w:numId="82">
    <w:abstractNumId w:val="125"/>
  </w:num>
  <w:num w:numId="83">
    <w:abstractNumId w:val="84"/>
  </w:num>
  <w:num w:numId="84">
    <w:abstractNumId w:val="38"/>
  </w:num>
  <w:num w:numId="85">
    <w:abstractNumId w:val="55"/>
  </w:num>
  <w:num w:numId="86">
    <w:abstractNumId w:val="94"/>
  </w:num>
  <w:num w:numId="87">
    <w:abstractNumId w:val="85"/>
  </w:num>
  <w:num w:numId="88">
    <w:abstractNumId w:val="26"/>
  </w:num>
  <w:num w:numId="89">
    <w:abstractNumId w:val="99"/>
  </w:num>
  <w:num w:numId="90">
    <w:abstractNumId w:val="53"/>
  </w:num>
  <w:num w:numId="91">
    <w:abstractNumId w:val="52"/>
  </w:num>
  <w:num w:numId="92">
    <w:abstractNumId w:val="27"/>
  </w:num>
  <w:num w:numId="93">
    <w:abstractNumId w:val="70"/>
  </w:num>
  <w:num w:numId="94">
    <w:abstractNumId w:val="120"/>
  </w:num>
  <w:num w:numId="95">
    <w:abstractNumId w:val="35"/>
  </w:num>
  <w:num w:numId="96">
    <w:abstractNumId w:val="75"/>
  </w:num>
  <w:num w:numId="97">
    <w:abstractNumId w:val="63"/>
  </w:num>
  <w:num w:numId="98">
    <w:abstractNumId w:val="91"/>
  </w:num>
  <w:num w:numId="99">
    <w:abstractNumId w:val="116"/>
  </w:num>
  <w:num w:numId="100">
    <w:abstractNumId w:val="48"/>
  </w:num>
  <w:num w:numId="101">
    <w:abstractNumId w:val="96"/>
  </w:num>
  <w:num w:numId="102">
    <w:abstractNumId w:val="124"/>
  </w:num>
  <w:num w:numId="103">
    <w:abstractNumId w:val="86"/>
  </w:num>
  <w:num w:numId="104">
    <w:abstractNumId w:val="77"/>
  </w:num>
  <w:num w:numId="105">
    <w:abstractNumId w:val="105"/>
  </w:num>
  <w:num w:numId="106">
    <w:abstractNumId w:val="92"/>
  </w:num>
  <w:num w:numId="107">
    <w:abstractNumId w:val="11"/>
  </w:num>
  <w:num w:numId="108">
    <w:abstractNumId w:val="89"/>
  </w:num>
  <w:num w:numId="109">
    <w:abstractNumId w:val="127"/>
  </w:num>
  <w:num w:numId="110">
    <w:abstractNumId w:val="93"/>
  </w:num>
  <w:num w:numId="111">
    <w:abstractNumId w:val="12"/>
  </w:num>
  <w:num w:numId="112">
    <w:abstractNumId w:val="117"/>
  </w:num>
  <w:num w:numId="113">
    <w:abstractNumId w:val="72"/>
  </w:num>
  <w:num w:numId="114">
    <w:abstractNumId w:val="6"/>
  </w:num>
  <w:num w:numId="115">
    <w:abstractNumId w:val="87"/>
  </w:num>
  <w:num w:numId="116">
    <w:abstractNumId w:val="54"/>
  </w:num>
  <w:num w:numId="117">
    <w:abstractNumId w:val="60"/>
  </w:num>
  <w:num w:numId="118">
    <w:abstractNumId w:val="22"/>
  </w:num>
  <w:num w:numId="119">
    <w:abstractNumId w:val="15"/>
  </w:num>
  <w:num w:numId="120">
    <w:abstractNumId w:val="83"/>
  </w:num>
  <w:num w:numId="121">
    <w:abstractNumId w:val="28"/>
  </w:num>
  <w:num w:numId="122">
    <w:abstractNumId w:val="20"/>
  </w:num>
  <w:num w:numId="123">
    <w:abstractNumId w:val="39"/>
  </w:num>
  <w:num w:numId="124">
    <w:abstractNumId w:val="36"/>
  </w:num>
  <w:num w:numId="125">
    <w:abstractNumId w:val="59"/>
  </w:num>
  <w:num w:numId="126">
    <w:abstractNumId w:val="3"/>
  </w:num>
  <w:num w:numId="127">
    <w:abstractNumId w:val="61"/>
  </w:num>
  <w:num w:numId="128">
    <w:abstractNumId w:val="21"/>
  </w:num>
  <w:num w:numId="129">
    <w:abstractNumId w:val="69"/>
  </w:num>
  <w:num w:numId="130">
    <w:abstractNumId w:val="104"/>
  </w:num>
  <w:num w:numId="131">
    <w:abstractNumId w:val="81"/>
  </w:num>
  <w:num w:numId="132">
    <w:abstractNumId w:val="102"/>
  </w:num>
  <w:num w:numId="133">
    <w:abstractNumId w:val="7"/>
  </w:num>
  <w:numIdMacAtCleanup w:val="1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removePersonalInformation/>
  <w:removeDateAndTime/>
  <w:embedTrueTypeFonts/>
  <w:embedSystemFonts/>
  <w:mirrorMargins/>
  <w:activeWritingStyle w:appName="MSWord" w:lang="en-CA" w:vendorID="8" w:dllVersion="513" w:checkStyle="1"/>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doNotTrackFormatting/>
  <w:documentProtection w:edit="readOnly" w:formatting="1" w:enforcement="1" w:cryptProviderType="rsaAES" w:cryptAlgorithmClass="hash" w:cryptAlgorithmType="typeAny" w:cryptAlgorithmSid="14" w:cryptSpinCount="100000" w:hash="9vvYpwlFxqkHLq4W6uBi0ZE+trRe7+Gf8BvJF8eLj1zurHwJMjszeY85KnEWSGH4ZJFoh0MsuWINNKqUce4/7w==" w:salt="VcImkeQv8OKSb6yb2vjysQ=="/>
  <w:defaultTabStop w:val="720"/>
  <w:drawingGridHorizontalSpacing w:val="110"/>
  <w:displayHorizontalDrawingGridEvery w:val="0"/>
  <w:displayVerticalDrawingGridEvery w:val="0"/>
  <w:noPunctuationKerning/>
  <w:characterSpacingControl w:val="doNotCompress"/>
  <w:hdrShapeDefaults>
    <o:shapedefaults v:ext="edit" spidmax="4098"/>
    <o:shapelayout v:ext="edit">
      <o:idmap v:ext="edit" data="4"/>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B7845"/>
    <w:rsid w:val="0000086A"/>
    <w:rsid w:val="00001F59"/>
    <w:rsid w:val="00002515"/>
    <w:rsid w:val="00002960"/>
    <w:rsid w:val="000032BA"/>
    <w:rsid w:val="000032DA"/>
    <w:rsid w:val="00005A3B"/>
    <w:rsid w:val="00005ADE"/>
    <w:rsid w:val="00005FA0"/>
    <w:rsid w:val="000074AB"/>
    <w:rsid w:val="000078C7"/>
    <w:rsid w:val="00007951"/>
    <w:rsid w:val="00010575"/>
    <w:rsid w:val="0001066E"/>
    <w:rsid w:val="000109A2"/>
    <w:rsid w:val="00011B03"/>
    <w:rsid w:val="0001253F"/>
    <w:rsid w:val="0001398D"/>
    <w:rsid w:val="00013D79"/>
    <w:rsid w:val="00013DBE"/>
    <w:rsid w:val="00013DD3"/>
    <w:rsid w:val="00014610"/>
    <w:rsid w:val="000146B8"/>
    <w:rsid w:val="00016404"/>
    <w:rsid w:val="00016A23"/>
    <w:rsid w:val="00017143"/>
    <w:rsid w:val="0001726D"/>
    <w:rsid w:val="00020109"/>
    <w:rsid w:val="000202A5"/>
    <w:rsid w:val="00020F3C"/>
    <w:rsid w:val="0002173D"/>
    <w:rsid w:val="00021AFA"/>
    <w:rsid w:val="00021F9A"/>
    <w:rsid w:val="0002318A"/>
    <w:rsid w:val="0002349F"/>
    <w:rsid w:val="0002374D"/>
    <w:rsid w:val="000239B0"/>
    <w:rsid w:val="000259A1"/>
    <w:rsid w:val="00025C9A"/>
    <w:rsid w:val="00025E4A"/>
    <w:rsid w:val="000271F6"/>
    <w:rsid w:val="0002769D"/>
    <w:rsid w:val="000303AC"/>
    <w:rsid w:val="00030BBC"/>
    <w:rsid w:val="00031752"/>
    <w:rsid w:val="00031A25"/>
    <w:rsid w:val="00031D58"/>
    <w:rsid w:val="00032000"/>
    <w:rsid w:val="000334D0"/>
    <w:rsid w:val="00033BEB"/>
    <w:rsid w:val="0003401A"/>
    <w:rsid w:val="00034C61"/>
    <w:rsid w:val="00037BF2"/>
    <w:rsid w:val="000402EA"/>
    <w:rsid w:val="000404B9"/>
    <w:rsid w:val="00040B18"/>
    <w:rsid w:val="00040D46"/>
    <w:rsid w:val="0004130E"/>
    <w:rsid w:val="00042415"/>
    <w:rsid w:val="000424C1"/>
    <w:rsid w:val="00042541"/>
    <w:rsid w:val="00042E26"/>
    <w:rsid w:val="00042E4B"/>
    <w:rsid w:val="00043C6D"/>
    <w:rsid w:val="000446BB"/>
    <w:rsid w:val="0004529A"/>
    <w:rsid w:val="000453F5"/>
    <w:rsid w:val="00046646"/>
    <w:rsid w:val="0004759D"/>
    <w:rsid w:val="00047A80"/>
    <w:rsid w:val="00047C62"/>
    <w:rsid w:val="00050034"/>
    <w:rsid w:val="00051F82"/>
    <w:rsid w:val="00051FA4"/>
    <w:rsid w:val="000524F5"/>
    <w:rsid w:val="000528B2"/>
    <w:rsid w:val="000529C2"/>
    <w:rsid w:val="00052E17"/>
    <w:rsid w:val="00054139"/>
    <w:rsid w:val="000547D8"/>
    <w:rsid w:val="00054BFB"/>
    <w:rsid w:val="000551F9"/>
    <w:rsid w:val="00055237"/>
    <w:rsid w:val="00057805"/>
    <w:rsid w:val="00057BF2"/>
    <w:rsid w:val="00057D6A"/>
    <w:rsid w:val="000614B4"/>
    <w:rsid w:val="00061795"/>
    <w:rsid w:val="00061912"/>
    <w:rsid w:val="00061990"/>
    <w:rsid w:val="00061E7C"/>
    <w:rsid w:val="0006239A"/>
    <w:rsid w:val="00062508"/>
    <w:rsid w:val="00062D1A"/>
    <w:rsid w:val="000630F3"/>
    <w:rsid w:val="0006351F"/>
    <w:rsid w:val="000636F4"/>
    <w:rsid w:val="000643E6"/>
    <w:rsid w:val="00064409"/>
    <w:rsid w:val="00065AD1"/>
    <w:rsid w:val="00065BF3"/>
    <w:rsid w:val="00070A0E"/>
    <w:rsid w:val="00070C4C"/>
    <w:rsid w:val="000710C6"/>
    <w:rsid w:val="000719EF"/>
    <w:rsid w:val="0007203F"/>
    <w:rsid w:val="00072679"/>
    <w:rsid w:val="000731EE"/>
    <w:rsid w:val="00074DCE"/>
    <w:rsid w:val="0007539B"/>
    <w:rsid w:val="00075427"/>
    <w:rsid w:val="00075953"/>
    <w:rsid w:val="00076578"/>
    <w:rsid w:val="00076C20"/>
    <w:rsid w:val="00076ECA"/>
    <w:rsid w:val="00077095"/>
    <w:rsid w:val="00077155"/>
    <w:rsid w:val="00077C6B"/>
    <w:rsid w:val="00080D5C"/>
    <w:rsid w:val="00080EEC"/>
    <w:rsid w:val="000812CE"/>
    <w:rsid w:val="00081A5A"/>
    <w:rsid w:val="0008205D"/>
    <w:rsid w:val="000827C6"/>
    <w:rsid w:val="000829A8"/>
    <w:rsid w:val="00083137"/>
    <w:rsid w:val="0008417A"/>
    <w:rsid w:val="000845FA"/>
    <w:rsid w:val="000849DD"/>
    <w:rsid w:val="00084E4D"/>
    <w:rsid w:val="00086249"/>
    <w:rsid w:val="00087AB4"/>
    <w:rsid w:val="00090494"/>
    <w:rsid w:val="000921A1"/>
    <w:rsid w:val="0009263A"/>
    <w:rsid w:val="00092772"/>
    <w:rsid w:val="00093B41"/>
    <w:rsid w:val="00093F68"/>
    <w:rsid w:val="00095421"/>
    <w:rsid w:val="00095578"/>
    <w:rsid w:val="00096F55"/>
    <w:rsid w:val="0009701B"/>
    <w:rsid w:val="0009754D"/>
    <w:rsid w:val="000A04A0"/>
    <w:rsid w:val="000A0524"/>
    <w:rsid w:val="000A0C85"/>
    <w:rsid w:val="000A0FEB"/>
    <w:rsid w:val="000A137E"/>
    <w:rsid w:val="000A1384"/>
    <w:rsid w:val="000A2BD4"/>
    <w:rsid w:val="000A3245"/>
    <w:rsid w:val="000A3D2E"/>
    <w:rsid w:val="000A43BE"/>
    <w:rsid w:val="000A4696"/>
    <w:rsid w:val="000A6300"/>
    <w:rsid w:val="000A6C12"/>
    <w:rsid w:val="000A6CCE"/>
    <w:rsid w:val="000A762C"/>
    <w:rsid w:val="000A7F12"/>
    <w:rsid w:val="000B0085"/>
    <w:rsid w:val="000B0AAA"/>
    <w:rsid w:val="000B0ABB"/>
    <w:rsid w:val="000B0C94"/>
    <w:rsid w:val="000B1242"/>
    <w:rsid w:val="000B1B66"/>
    <w:rsid w:val="000B1D06"/>
    <w:rsid w:val="000B2122"/>
    <w:rsid w:val="000B2186"/>
    <w:rsid w:val="000B29A5"/>
    <w:rsid w:val="000B32A0"/>
    <w:rsid w:val="000B3C21"/>
    <w:rsid w:val="000B411E"/>
    <w:rsid w:val="000B41B2"/>
    <w:rsid w:val="000B46F4"/>
    <w:rsid w:val="000B48C7"/>
    <w:rsid w:val="000B561D"/>
    <w:rsid w:val="000B5FE1"/>
    <w:rsid w:val="000B603C"/>
    <w:rsid w:val="000B6343"/>
    <w:rsid w:val="000B6724"/>
    <w:rsid w:val="000B6749"/>
    <w:rsid w:val="000B67D9"/>
    <w:rsid w:val="000B7152"/>
    <w:rsid w:val="000B7319"/>
    <w:rsid w:val="000B763E"/>
    <w:rsid w:val="000C09B4"/>
    <w:rsid w:val="000C0C77"/>
    <w:rsid w:val="000C1044"/>
    <w:rsid w:val="000C1A97"/>
    <w:rsid w:val="000C1B55"/>
    <w:rsid w:val="000C231D"/>
    <w:rsid w:val="000C26D5"/>
    <w:rsid w:val="000C2843"/>
    <w:rsid w:val="000C2C50"/>
    <w:rsid w:val="000C37F5"/>
    <w:rsid w:val="000C3E2A"/>
    <w:rsid w:val="000C47C7"/>
    <w:rsid w:val="000C4851"/>
    <w:rsid w:val="000C4D38"/>
    <w:rsid w:val="000C544E"/>
    <w:rsid w:val="000C56E5"/>
    <w:rsid w:val="000C624C"/>
    <w:rsid w:val="000C62BF"/>
    <w:rsid w:val="000D07A6"/>
    <w:rsid w:val="000D0DB1"/>
    <w:rsid w:val="000D0E51"/>
    <w:rsid w:val="000D23B8"/>
    <w:rsid w:val="000D2924"/>
    <w:rsid w:val="000D2C92"/>
    <w:rsid w:val="000D34FB"/>
    <w:rsid w:val="000D3C4E"/>
    <w:rsid w:val="000D42CE"/>
    <w:rsid w:val="000D43A3"/>
    <w:rsid w:val="000D5807"/>
    <w:rsid w:val="000D70BE"/>
    <w:rsid w:val="000E0E86"/>
    <w:rsid w:val="000E1DE3"/>
    <w:rsid w:val="000E2470"/>
    <w:rsid w:val="000E2576"/>
    <w:rsid w:val="000E268A"/>
    <w:rsid w:val="000E2E7D"/>
    <w:rsid w:val="000E3B3D"/>
    <w:rsid w:val="000E45A9"/>
    <w:rsid w:val="000E4938"/>
    <w:rsid w:val="000E628E"/>
    <w:rsid w:val="000E656C"/>
    <w:rsid w:val="000E6636"/>
    <w:rsid w:val="000E6DD5"/>
    <w:rsid w:val="000E6E71"/>
    <w:rsid w:val="000E6EB5"/>
    <w:rsid w:val="000E6EC6"/>
    <w:rsid w:val="000E7261"/>
    <w:rsid w:val="000E7473"/>
    <w:rsid w:val="000E77F6"/>
    <w:rsid w:val="000E7A3F"/>
    <w:rsid w:val="000F018C"/>
    <w:rsid w:val="000F0D21"/>
    <w:rsid w:val="000F19CE"/>
    <w:rsid w:val="000F1DE9"/>
    <w:rsid w:val="000F1FBB"/>
    <w:rsid w:val="000F22F1"/>
    <w:rsid w:val="000F27A6"/>
    <w:rsid w:val="000F2F06"/>
    <w:rsid w:val="000F31D4"/>
    <w:rsid w:val="000F40D3"/>
    <w:rsid w:val="000F4112"/>
    <w:rsid w:val="000F4C7E"/>
    <w:rsid w:val="000F4D07"/>
    <w:rsid w:val="000F4FFA"/>
    <w:rsid w:val="000F516D"/>
    <w:rsid w:val="000F52E2"/>
    <w:rsid w:val="000F531B"/>
    <w:rsid w:val="000F554F"/>
    <w:rsid w:val="000F5F32"/>
    <w:rsid w:val="000F6C76"/>
    <w:rsid w:val="000F7409"/>
    <w:rsid w:val="001006CD"/>
    <w:rsid w:val="00100967"/>
    <w:rsid w:val="00101173"/>
    <w:rsid w:val="001016A4"/>
    <w:rsid w:val="0010243A"/>
    <w:rsid w:val="00103F6C"/>
    <w:rsid w:val="00104143"/>
    <w:rsid w:val="00104D91"/>
    <w:rsid w:val="00107116"/>
    <w:rsid w:val="0011021D"/>
    <w:rsid w:val="00110330"/>
    <w:rsid w:val="00110E58"/>
    <w:rsid w:val="00110F2D"/>
    <w:rsid w:val="00111D55"/>
    <w:rsid w:val="00112194"/>
    <w:rsid w:val="0011229E"/>
    <w:rsid w:val="00113800"/>
    <w:rsid w:val="00113960"/>
    <w:rsid w:val="0011480F"/>
    <w:rsid w:val="001148B1"/>
    <w:rsid w:val="00114AFD"/>
    <w:rsid w:val="00115391"/>
    <w:rsid w:val="00115E6D"/>
    <w:rsid w:val="0011646C"/>
    <w:rsid w:val="00117555"/>
    <w:rsid w:val="001178E1"/>
    <w:rsid w:val="00117DF1"/>
    <w:rsid w:val="00120252"/>
    <w:rsid w:val="0012097C"/>
    <w:rsid w:val="001209CC"/>
    <w:rsid w:val="00120B07"/>
    <w:rsid w:val="00121080"/>
    <w:rsid w:val="001217EC"/>
    <w:rsid w:val="00121C65"/>
    <w:rsid w:val="001220C2"/>
    <w:rsid w:val="00122218"/>
    <w:rsid w:val="001223F9"/>
    <w:rsid w:val="00122697"/>
    <w:rsid w:val="00123557"/>
    <w:rsid w:val="00123F0B"/>
    <w:rsid w:val="00124BEE"/>
    <w:rsid w:val="00125961"/>
    <w:rsid w:val="00125CAD"/>
    <w:rsid w:val="00126535"/>
    <w:rsid w:val="00126E05"/>
    <w:rsid w:val="00127AF2"/>
    <w:rsid w:val="00130341"/>
    <w:rsid w:val="0013093C"/>
    <w:rsid w:val="00130E78"/>
    <w:rsid w:val="00131052"/>
    <w:rsid w:val="00131D9A"/>
    <w:rsid w:val="001332FE"/>
    <w:rsid w:val="00133618"/>
    <w:rsid w:val="001347C8"/>
    <w:rsid w:val="0013641E"/>
    <w:rsid w:val="00137552"/>
    <w:rsid w:val="00137659"/>
    <w:rsid w:val="00137F14"/>
    <w:rsid w:val="001405DD"/>
    <w:rsid w:val="00140819"/>
    <w:rsid w:val="001415EF"/>
    <w:rsid w:val="001421B2"/>
    <w:rsid w:val="00142A96"/>
    <w:rsid w:val="001430C7"/>
    <w:rsid w:val="001435F4"/>
    <w:rsid w:val="0014382C"/>
    <w:rsid w:val="00143CC3"/>
    <w:rsid w:val="00143D4B"/>
    <w:rsid w:val="00144266"/>
    <w:rsid w:val="00144606"/>
    <w:rsid w:val="00145006"/>
    <w:rsid w:val="00145625"/>
    <w:rsid w:val="001456E9"/>
    <w:rsid w:val="00146151"/>
    <w:rsid w:val="001466C5"/>
    <w:rsid w:val="001466D1"/>
    <w:rsid w:val="00147313"/>
    <w:rsid w:val="001476E1"/>
    <w:rsid w:val="001500A6"/>
    <w:rsid w:val="00150396"/>
    <w:rsid w:val="00150653"/>
    <w:rsid w:val="001507AB"/>
    <w:rsid w:val="00150B4A"/>
    <w:rsid w:val="00150E11"/>
    <w:rsid w:val="00150FD5"/>
    <w:rsid w:val="0015246F"/>
    <w:rsid w:val="00154F9D"/>
    <w:rsid w:val="00155AF3"/>
    <w:rsid w:val="00155DA3"/>
    <w:rsid w:val="00155EB2"/>
    <w:rsid w:val="00155FEE"/>
    <w:rsid w:val="00156846"/>
    <w:rsid w:val="00156B26"/>
    <w:rsid w:val="00156C07"/>
    <w:rsid w:val="0015720B"/>
    <w:rsid w:val="001572CB"/>
    <w:rsid w:val="00157BD7"/>
    <w:rsid w:val="00160173"/>
    <w:rsid w:val="001604F9"/>
    <w:rsid w:val="00160D4D"/>
    <w:rsid w:val="00161C7C"/>
    <w:rsid w:val="0016214C"/>
    <w:rsid w:val="001621A6"/>
    <w:rsid w:val="001622B1"/>
    <w:rsid w:val="00162C68"/>
    <w:rsid w:val="001635E8"/>
    <w:rsid w:val="00163F53"/>
    <w:rsid w:val="00164B6F"/>
    <w:rsid w:val="00164EE9"/>
    <w:rsid w:val="00165B77"/>
    <w:rsid w:val="00166178"/>
    <w:rsid w:val="001665A2"/>
    <w:rsid w:val="0016735D"/>
    <w:rsid w:val="0016741D"/>
    <w:rsid w:val="00167B0D"/>
    <w:rsid w:val="00167C29"/>
    <w:rsid w:val="001707FE"/>
    <w:rsid w:val="00170852"/>
    <w:rsid w:val="00170C3E"/>
    <w:rsid w:val="001711C0"/>
    <w:rsid w:val="00171801"/>
    <w:rsid w:val="001722A3"/>
    <w:rsid w:val="00173717"/>
    <w:rsid w:val="00173803"/>
    <w:rsid w:val="00174AB5"/>
    <w:rsid w:val="00174F50"/>
    <w:rsid w:val="0017577E"/>
    <w:rsid w:val="0017583C"/>
    <w:rsid w:val="001758C2"/>
    <w:rsid w:val="00175EE4"/>
    <w:rsid w:val="00177D51"/>
    <w:rsid w:val="00180958"/>
    <w:rsid w:val="00181125"/>
    <w:rsid w:val="00181CE2"/>
    <w:rsid w:val="0018276B"/>
    <w:rsid w:val="001829BC"/>
    <w:rsid w:val="00182B15"/>
    <w:rsid w:val="00182CAC"/>
    <w:rsid w:val="00182F0A"/>
    <w:rsid w:val="00183191"/>
    <w:rsid w:val="001834E3"/>
    <w:rsid w:val="001841AF"/>
    <w:rsid w:val="0018445F"/>
    <w:rsid w:val="00184A96"/>
    <w:rsid w:val="00185633"/>
    <w:rsid w:val="001867A3"/>
    <w:rsid w:val="00186826"/>
    <w:rsid w:val="00186A61"/>
    <w:rsid w:val="00186FE1"/>
    <w:rsid w:val="00187D40"/>
    <w:rsid w:val="00187D99"/>
    <w:rsid w:val="00190270"/>
    <w:rsid w:val="0019034D"/>
    <w:rsid w:val="001904F6"/>
    <w:rsid w:val="001907F0"/>
    <w:rsid w:val="0019189F"/>
    <w:rsid w:val="00191A26"/>
    <w:rsid w:val="001921A1"/>
    <w:rsid w:val="0019286B"/>
    <w:rsid w:val="00192C99"/>
    <w:rsid w:val="00193CAD"/>
    <w:rsid w:val="00194054"/>
    <w:rsid w:val="001942E5"/>
    <w:rsid w:val="00194CBD"/>
    <w:rsid w:val="00195B5F"/>
    <w:rsid w:val="001962BC"/>
    <w:rsid w:val="001969D0"/>
    <w:rsid w:val="00197286"/>
    <w:rsid w:val="001974EF"/>
    <w:rsid w:val="001A0187"/>
    <w:rsid w:val="001A01BE"/>
    <w:rsid w:val="001A0479"/>
    <w:rsid w:val="001A0693"/>
    <w:rsid w:val="001A27BF"/>
    <w:rsid w:val="001A288F"/>
    <w:rsid w:val="001A3A31"/>
    <w:rsid w:val="001A3F8D"/>
    <w:rsid w:val="001A4208"/>
    <w:rsid w:val="001A42BD"/>
    <w:rsid w:val="001A4578"/>
    <w:rsid w:val="001A46D5"/>
    <w:rsid w:val="001A4861"/>
    <w:rsid w:val="001A4E2E"/>
    <w:rsid w:val="001A53BC"/>
    <w:rsid w:val="001A5931"/>
    <w:rsid w:val="001A5AA7"/>
    <w:rsid w:val="001A5D2A"/>
    <w:rsid w:val="001A6045"/>
    <w:rsid w:val="001A6191"/>
    <w:rsid w:val="001A6973"/>
    <w:rsid w:val="001A6A1E"/>
    <w:rsid w:val="001A728E"/>
    <w:rsid w:val="001A7597"/>
    <w:rsid w:val="001A77ED"/>
    <w:rsid w:val="001B041C"/>
    <w:rsid w:val="001B152E"/>
    <w:rsid w:val="001B168F"/>
    <w:rsid w:val="001B238E"/>
    <w:rsid w:val="001B373D"/>
    <w:rsid w:val="001B3B81"/>
    <w:rsid w:val="001B3DFD"/>
    <w:rsid w:val="001B4599"/>
    <w:rsid w:val="001B4728"/>
    <w:rsid w:val="001B4DDD"/>
    <w:rsid w:val="001B5C9D"/>
    <w:rsid w:val="001B6BDC"/>
    <w:rsid w:val="001B6D3C"/>
    <w:rsid w:val="001B6E17"/>
    <w:rsid w:val="001B72DE"/>
    <w:rsid w:val="001B7426"/>
    <w:rsid w:val="001B7753"/>
    <w:rsid w:val="001B7E59"/>
    <w:rsid w:val="001C0207"/>
    <w:rsid w:val="001C02E3"/>
    <w:rsid w:val="001C1248"/>
    <w:rsid w:val="001C16D1"/>
    <w:rsid w:val="001C2627"/>
    <w:rsid w:val="001C27D1"/>
    <w:rsid w:val="001C2A68"/>
    <w:rsid w:val="001C3842"/>
    <w:rsid w:val="001C3A2D"/>
    <w:rsid w:val="001C3CD4"/>
    <w:rsid w:val="001C3CFC"/>
    <w:rsid w:val="001C5708"/>
    <w:rsid w:val="001C5CFA"/>
    <w:rsid w:val="001C645B"/>
    <w:rsid w:val="001C6E25"/>
    <w:rsid w:val="001C73F7"/>
    <w:rsid w:val="001C78B9"/>
    <w:rsid w:val="001D04F7"/>
    <w:rsid w:val="001D0D3D"/>
    <w:rsid w:val="001D1586"/>
    <w:rsid w:val="001D2578"/>
    <w:rsid w:val="001D2A55"/>
    <w:rsid w:val="001D383A"/>
    <w:rsid w:val="001D3D7C"/>
    <w:rsid w:val="001D4963"/>
    <w:rsid w:val="001D4BE0"/>
    <w:rsid w:val="001D5A22"/>
    <w:rsid w:val="001D62AD"/>
    <w:rsid w:val="001D687C"/>
    <w:rsid w:val="001E028B"/>
    <w:rsid w:val="001E0660"/>
    <w:rsid w:val="001E0689"/>
    <w:rsid w:val="001E138F"/>
    <w:rsid w:val="001E2023"/>
    <w:rsid w:val="001E22B1"/>
    <w:rsid w:val="001E2F2B"/>
    <w:rsid w:val="001E395C"/>
    <w:rsid w:val="001E4BB2"/>
    <w:rsid w:val="001E4F5C"/>
    <w:rsid w:val="001E5919"/>
    <w:rsid w:val="001E628E"/>
    <w:rsid w:val="001E65B5"/>
    <w:rsid w:val="001E65DE"/>
    <w:rsid w:val="001E6CE2"/>
    <w:rsid w:val="001E74F2"/>
    <w:rsid w:val="001F039A"/>
    <w:rsid w:val="001F0720"/>
    <w:rsid w:val="001F1552"/>
    <w:rsid w:val="001F15D7"/>
    <w:rsid w:val="001F1745"/>
    <w:rsid w:val="001F1A0E"/>
    <w:rsid w:val="001F254B"/>
    <w:rsid w:val="001F330D"/>
    <w:rsid w:val="001F39D1"/>
    <w:rsid w:val="001F3E31"/>
    <w:rsid w:val="001F47BD"/>
    <w:rsid w:val="001F5B03"/>
    <w:rsid w:val="001F5C3F"/>
    <w:rsid w:val="001F5F98"/>
    <w:rsid w:val="001F604D"/>
    <w:rsid w:val="001F65A6"/>
    <w:rsid w:val="001F6EF2"/>
    <w:rsid w:val="001F76FB"/>
    <w:rsid w:val="001F7842"/>
    <w:rsid w:val="001F7FFB"/>
    <w:rsid w:val="002000BC"/>
    <w:rsid w:val="0020080F"/>
    <w:rsid w:val="002016A2"/>
    <w:rsid w:val="002029D7"/>
    <w:rsid w:val="00202F4C"/>
    <w:rsid w:val="00203600"/>
    <w:rsid w:val="002039AC"/>
    <w:rsid w:val="00204188"/>
    <w:rsid w:val="00205223"/>
    <w:rsid w:val="002053D2"/>
    <w:rsid w:val="00205C56"/>
    <w:rsid w:val="00206166"/>
    <w:rsid w:val="0020639E"/>
    <w:rsid w:val="00206CE7"/>
    <w:rsid w:val="00207072"/>
    <w:rsid w:val="002078CF"/>
    <w:rsid w:val="00207E11"/>
    <w:rsid w:val="00207E4E"/>
    <w:rsid w:val="00210F4A"/>
    <w:rsid w:val="00210FD5"/>
    <w:rsid w:val="002116A1"/>
    <w:rsid w:val="002120D7"/>
    <w:rsid w:val="00212173"/>
    <w:rsid w:val="00212338"/>
    <w:rsid w:val="0021385D"/>
    <w:rsid w:val="0021514B"/>
    <w:rsid w:val="002152C2"/>
    <w:rsid w:val="00215361"/>
    <w:rsid w:val="00215DB9"/>
    <w:rsid w:val="002168EE"/>
    <w:rsid w:val="00216A3B"/>
    <w:rsid w:val="00217108"/>
    <w:rsid w:val="00217655"/>
    <w:rsid w:val="00217EED"/>
    <w:rsid w:val="00220048"/>
    <w:rsid w:val="0022043E"/>
    <w:rsid w:val="002211CF"/>
    <w:rsid w:val="0022186E"/>
    <w:rsid w:val="00221C11"/>
    <w:rsid w:val="00221C5A"/>
    <w:rsid w:val="00222F79"/>
    <w:rsid w:val="002236AE"/>
    <w:rsid w:val="00223A2B"/>
    <w:rsid w:val="00223A8B"/>
    <w:rsid w:val="00223B0C"/>
    <w:rsid w:val="002245F3"/>
    <w:rsid w:val="00224A21"/>
    <w:rsid w:val="00224A57"/>
    <w:rsid w:val="0022558B"/>
    <w:rsid w:val="00225A52"/>
    <w:rsid w:val="00225ACB"/>
    <w:rsid w:val="0022606B"/>
    <w:rsid w:val="002268F0"/>
    <w:rsid w:val="002277BD"/>
    <w:rsid w:val="0023089C"/>
    <w:rsid w:val="00230953"/>
    <w:rsid w:val="002310D4"/>
    <w:rsid w:val="00231300"/>
    <w:rsid w:val="002313D2"/>
    <w:rsid w:val="00231A93"/>
    <w:rsid w:val="00231D00"/>
    <w:rsid w:val="00231DC2"/>
    <w:rsid w:val="00231E74"/>
    <w:rsid w:val="00232F02"/>
    <w:rsid w:val="002330DA"/>
    <w:rsid w:val="002336D2"/>
    <w:rsid w:val="002355A3"/>
    <w:rsid w:val="002359D1"/>
    <w:rsid w:val="00235A6A"/>
    <w:rsid w:val="0023646F"/>
    <w:rsid w:val="00236C69"/>
    <w:rsid w:val="00237355"/>
    <w:rsid w:val="00237A60"/>
    <w:rsid w:val="00237A97"/>
    <w:rsid w:val="00237AF1"/>
    <w:rsid w:val="00237EF2"/>
    <w:rsid w:val="00240AE0"/>
    <w:rsid w:val="00240E97"/>
    <w:rsid w:val="00240F34"/>
    <w:rsid w:val="0024112B"/>
    <w:rsid w:val="00241206"/>
    <w:rsid w:val="00242015"/>
    <w:rsid w:val="00242026"/>
    <w:rsid w:val="002429B5"/>
    <w:rsid w:val="00242B3B"/>
    <w:rsid w:val="002434E7"/>
    <w:rsid w:val="00243715"/>
    <w:rsid w:val="00244EC4"/>
    <w:rsid w:val="00245F02"/>
    <w:rsid w:val="00245F59"/>
    <w:rsid w:val="0024654A"/>
    <w:rsid w:val="002466A9"/>
    <w:rsid w:val="0025074E"/>
    <w:rsid w:val="00251A7A"/>
    <w:rsid w:val="00252039"/>
    <w:rsid w:val="00252134"/>
    <w:rsid w:val="00252782"/>
    <w:rsid w:val="002539B5"/>
    <w:rsid w:val="00254185"/>
    <w:rsid w:val="00254392"/>
    <w:rsid w:val="00257E33"/>
    <w:rsid w:val="002600A4"/>
    <w:rsid w:val="00260681"/>
    <w:rsid w:val="00260733"/>
    <w:rsid w:val="00261BB4"/>
    <w:rsid w:val="002627F2"/>
    <w:rsid w:val="00262C2B"/>
    <w:rsid w:val="0026324B"/>
    <w:rsid w:val="0026328A"/>
    <w:rsid w:val="002634EC"/>
    <w:rsid w:val="002636FA"/>
    <w:rsid w:val="00263C3B"/>
    <w:rsid w:val="00264162"/>
    <w:rsid w:val="00264469"/>
    <w:rsid w:val="0026472A"/>
    <w:rsid w:val="00264B0B"/>
    <w:rsid w:val="0026657D"/>
    <w:rsid w:val="00266B5C"/>
    <w:rsid w:val="00266E21"/>
    <w:rsid w:val="002670E0"/>
    <w:rsid w:val="00267492"/>
    <w:rsid w:val="00267B50"/>
    <w:rsid w:val="00270A87"/>
    <w:rsid w:val="00271A76"/>
    <w:rsid w:val="00272420"/>
    <w:rsid w:val="00273228"/>
    <w:rsid w:val="0027423F"/>
    <w:rsid w:val="0027460E"/>
    <w:rsid w:val="00274613"/>
    <w:rsid w:val="00274BCB"/>
    <w:rsid w:val="00274BEB"/>
    <w:rsid w:val="00275757"/>
    <w:rsid w:val="00275C73"/>
    <w:rsid w:val="0027615F"/>
    <w:rsid w:val="002762B7"/>
    <w:rsid w:val="0027631E"/>
    <w:rsid w:val="00276C07"/>
    <w:rsid w:val="00276F3A"/>
    <w:rsid w:val="00277157"/>
    <w:rsid w:val="0027782F"/>
    <w:rsid w:val="0028066A"/>
    <w:rsid w:val="00280783"/>
    <w:rsid w:val="00281033"/>
    <w:rsid w:val="00281473"/>
    <w:rsid w:val="00281ABD"/>
    <w:rsid w:val="002824F4"/>
    <w:rsid w:val="002829D0"/>
    <w:rsid w:val="00282A94"/>
    <w:rsid w:val="0028309F"/>
    <w:rsid w:val="00283250"/>
    <w:rsid w:val="0028341A"/>
    <w:rsid w:val="002836AF"/>
    <w:rsid w:val="002839F0"/>
    <w:rsid w:val="002841D6"/>
    <w:rsid w:val="00285845"/>
    <w:rsid w:val="00285AB8"/>
    <w:rsid w:val="0028732C"/>
    <w:rsid w:val="0028777B"/>
    <w:rsid w:val="00290C59"/>
    <w:rsid w:val="00291002"/>
    <w:rsid w:val="0029108A"/>
    <w:rsid w:val="0029147F"/>
    <w:rsid w:val="002921D1"/>
    <w:rsid w:val="00293100"/>
    <w:rsid w:val="0029343A"/>
    <w:rsid w:val="00294BD3"/>
    <w:rsid w:val="0029598C"/>
    <w:rsid w:val="00296127"/>
    <w:rsid w:val="00296A5E"/>
    <w:rsid w:val="002971A8"/>
    <w:rsid w:val="002A0E28"/>
    <w:rsid w:val="002A0E2F"/>
    <w:rsid w:val="002A0EB5"/>
    <w:rsid w:val="002A1B1B"/>
    <w:rsid w:val="002A1CE8"/>
    <w:rsid w:val="002A1DE8"/>
    <w:rsid w:val="002A236A"/>
    <w:rsid w:val="002A2E46"/>
    <w:rsid w:val="002A3067"/>
    <w:rsid w:val="002A3347"/>
    <w:rsid w:val="002A3698"/>
    <w:rsid w:val="002A38D4"/>
    <w:rsid w:val="002A3D6B"/>
    <w:rsid w:val="002A44C3"/>
    <w:rsid w:val="002A46ED"/>
    <w:rsid w:val="002A4A2A"/>
    <w:rsid w:val="002A55B6"/>
    <w:rsid w:val="002A5F9F"/>
    <w:rsid w:val="002A5FDA"/>
    <w:rsid w:val="002A6203"/>
    <w:rsid w:val="002A6F05"/>
    <w:rsid w:val="002A6FD3"/>
    <w:rsid w:val="002A7166"/>
    <w:rsid w:val="002A791D"/>
    <w:rsid w:val="002A7DEF"/>
    <w:rsid w:val="002A7F71"/>
    <w:rsid w:val="002B05D0"/>
    <w:rsid w:val="002B0E85"/>
    <w:rsid w:val="002B1846"/>
    <w:rsid w:val="002B1A68"/>
    <w:rsid w:val="002B2501"/>
    <w:rsid w:val="002B31ED"/>
    <w:rsid w:val="002B3604"/>
    <w:rsid w:val="002B377F"/>
    <w:rsid w:val="002B3EDC"/>
    <w:rsid w:val="002B4918"/>
    <w:rsid w:val="002B56F6"/>
    <w:rsid w:val="002B5C7C"/>
    <w:rsid w:val="002B605F"/>
    <w:rsid w:val="002B60FD"/>
    <w:rsid w:val="002B6192"/>
    <w:rsid w:val="002B6536"/>
    <w:rsid w:val="002B6653"/>
    <w:rsid w:val="002B6EFF"/>
    <w:rsid w:val="002B700A"/>
    <w:rsid w:val="002B7043"/>
    <w:rsid w:val="002B7172"/>
    <w:rsid w:val="002B7845"/>
    <w:rsid w:val="002B78D4"/>
    <w:rsid w:val="002B7F1A"/>
    <w:rsid w:val="002C030C"/>
    <w:rsid w:val="002C1624"/>
    <w:rsid w:val="002C29C5"/>
    <w:rsid w:val="002C2B53"/>
    <w:rsid w:val="002C2EDE"/>
    <w:rsid w:val="002C3277"/>
    <w:rsid w:val="002C32F5"/>
    <w:rsid w:val="002C3B88"/>
    <w:rsid w:val="002C3FBC"/>
    <w:rsid w:val="002C4338"/>
    <w:rsid w:val="002C45BF"/>
    <w:rsid w:val="002C5C23"/>
    <w:rsid w:val="002C69AF"/>
    <w:rsid w:val="002C6ABF"/>
    <w:rsid w:val="002C72A9"/>
    <w:rsid w:val="002C7784"/>
    <w:rsid w:val="002C7D20"/>
    <w:rsid w:val="002C7D59"/>
    <w:rsid w:val="002D0310"/>
    <w:rsid w:val="002D119E"/>
    <w:rsid w:val="002D1BAC"/>
    <w:rsid w:val="002D2BA7"/>
    <w:rsid w:val="002D38BC"/>
    <w:rsid w:val="002D3EF4"/>
    <w:rsid w:val="002D5246"/>
    <w:rsid w:val="002D6101"/>
    <w:rsid w:val="002D6B14"/>
    <w:rsid w:val="002D78DE"/>
    <w:rsid w:val="002E0177"/>
    <w:rsid w:val="002E0547"/>
    <w:rsid w:val="002E08FD"/>
    <w:rsid w:val="002E0E80"/>
    <w:rsid w:val="002E14F8"/>
    <w:rsid w:val="002E1BB5"/>
    <w:rsid w:val="002E285D"/>
    <w:rsid w:val="002E3089"/>
    <w:rsid w:val="002E3189"/>
    <w:rsid w:val="002E384B"/>
    <w:rsid w:val="002E39DF"/>
    <w:rsid w:val="002E4A83"/>
    <w:rsid w:val="002E556F"/>
    <w:rsid w:val="002E5880"/>
    <w:rsid w:val="002E64EC"/>
    <w:rsid w:val="002E66E8"/>
    <w:rsid w:val="002E67C4"/>
    <w:rsid w:val="002E6CAB"/>
    <w:rsid w:val="002E6D27"/>
    <w:rsid w:val="002E7785"/>
    <w:rsid w:val="002E78E7"/>
    <w:rsid w:val="002F007A"/>
    <w:rsid w:val="002F032F"/>
    <w:rsid w:val="002F0A07"/>
    <w:rsid w:val="002F0C50"/>
    <w:rsid w:val="002F0DAF"/>
    <w:rsid w:val="002F0EA4"/>
    <w:rsid w:val="002F19CC"/>
    <w:rsid w:val="002F1EB7"/>
    <w:rsid w:val="002F20F1"/>
    <w:rsid w:val="002F2A30"/>
    <w:rsid w:val="002F4178"/>
    <w:rsid w:val="002F4C0D"/>
    <w:rsid w:val="002F50A6"/>
    <w:rsid w:val="002F5790"/>
    <w:rsid w:val="002F64DE"/>
    <w:rsid w:val="002F65C1"/>
    <w:rsid w:val="002F6B04"/>
    <w:rsid w:val="002F739A"/>
    <w:rsid w:val="002F7A0F"/>
    <w:rsid w:val="002F7B38"/>
    <w:rsid w:val="003001D0"/>
    <w:rsid w:val="00300A90"/>
    <w:rsid w:val="003013D4"/>
    <w:rsid w:val="00301821"/>
    <w:rsid w:val="00302CEC"/>
    <w:rsid w:val="00302F11"/>
    <w:rsid w:val="0030330D"/>
    <w:rsid w:val="00303887"/>
    <w:rsid w:val="00303B6B"/>
    <w:rsid w:val="003040F7"/>
    <w:rsid w:val="003045C5"/>
    <w:rsid w:val="0030480A"/>
    <w:rsid w:val="00304919"/>
    <w:rsid w:val="00304C85"/>
    <w:rsid w:val="0030599F"/>
    <w:rsid w:val="00305E49"/>
    <w:rsid w:val="00305F23"/>
    <w:rsid w:val="00306498"/>
    <w:rsid w:val="00306B0F"/>
    <w:rsid w:val="00306DBE"/>
    <w:rsid w:val="003070E4"/>
    <w:rsid w:val="003075A6"/>
    <w:rsid w:val="00311F18"/>
    <w:rsid w:val="0031267A"/>
    <w:rsid w:val="0031321D"/>
    <w:rsid w:val="003134BC"/>
    <w:rsid w:val="00313D6D"/>
    <w:rsid w:val="00313DC7"/>
    <w:rsid w:val="00314804"/>
    <w:rsid w:val="00316450"/>
    <w:rsid w:val="0031696D"/>
    <w:rsid w:val="00316A19"/>
    <w:rsid w:val="00317E44"/>
    <w:rsid w:val="003200CC"/>
    <w:rsid w:val="00320573"/>
    <w:rsid w:val="00322641"/>
    <w:rsid w:val="00322716"/>
    <w:rsid w:val="00323413"/>
    <w:rsid w:val="0032446E"/>
    <w:rsid w:val="00324CDB"/>
    <w:rsid w:val="00324EA6"/>
    <w:rsid w:val="003250D8"/>
    <w:rsid w:val="00325239"/>
    <w:rsid w:val="00325A55"/>
    <w:rsid w:val="00326E9F"/>
    <w:rsid w:val="00327DA3"/>
    <w:rsid w:val="00327E5A"/>
    <w:rsid w:val="003323C5"/>
    <w:rsid w:val="00332779"/>
    <w:rsid w:val="003333A8"/>
    <w:rsid w:val="0033515A"/>
    <w:rsid w:val="00335608"/>
    <w:rsid w:val="00336006"/>
    <w:rsid w:val="00337D98"/>
    <w:rsid w:val="00340B86"/>
    <w:rsid w:val="00340F0B"/>
    <w:rsid w:val="00341C53"/>
    <w:rsid w:val="00343AB3"/>
    <w:rsid w:val="00343BEB"/>
    <w:rsid w:val="0034421A"/>
    <w:rsid w:val="0034434E"/>
    <w:rsid w:val="0034445B"/>
    <w:rsid w:val="0034467E"/>
    <w:rsid w:val="00345C8F"/>
    <w:rsid w:val="003464EE"/>
    <w:rsid w:val="00346631"/>
    <w:rsid w:val="00346694"/>
    <w:rsid w:val="003468E2"/>
    <w:rsid w:val="003500FF"/>
    <w:rsid w:val="00350375"/>
    <w:rsid w:val="00350A60"/>
    <w:rsid w:val="00350A9E"/>
    <w:rsid w:val="00352293"/>
    <w:rsid w:val="00353310"/>
    <w:rsid w:val="00353923"/>
    <w:rsid w:val="0035451A"/>
    <w:rsid w:val="00355455"/>
    <w:rsid w:val="00357259"/>
    <w:rsid w:val="00357AE1"/>
    <w:rsid w:val="00357C75"/>
    <w:rsid w:val="00357E28"/>
    <w:rsid w:val="00357EB1"/>
    <w:rsid w:val="00357F89"/>
    <w:rsid w:val="003601E8"/>
    <w:rsid w:val="0036059A"/>
    <w:rsid w:val="00361EB3"/>
    <w:rsid w:val="00363062"/>
    <w:rsid w:val="00364137"/>
    <w:rsid w:val="003662F4"/>
    <w:rsid w:val="00367109"/>
    <w:rsid w:val="00371709"/>
    <w:rsid w:val="00371F00"/>
    <w:rsid w:val="003720BF"/>
    <w:rsid w:val="00372F77"/>
    <w:rsid w:val="0037406D"/>
    <w:rsid w:val="003740AE"/>
    <w:rsid w:val="003740D3"/>
    <w:rsid w:val="00374233"/>
    <w:rsid w:val="00374612"/>
    <w:rsid w:val="00374E1A"/>
    <w:rsid w:val="00375101"/>
    <w:rsid w:val="00375A63"/>
    <w:rsid w:val="003767E6"/>
    <w:rsid w:val="00377061"/>
    <w:rsid w:val="003774BA"/>
    <w:rsid w:val="003774C0"/>
    <w:rsid w:val="00377577"/>
    <w:rsid w:val="00377873"/>
    <w:rsid w:val="003812F4"/>
    <w:rsid w:val="00381E26"/>
    <w:rsid w:val="00381EE8"/>
    <w:rsid w:val="00381F9F"/>
    <w:rsid w:val="00382A97"/>
    <w:rsid w:val="003843AC"/>
    <w:rsid w:val="0038466E"/>
    <w:rsid w:val="00384685"/>
    <w:rsid w:val="003853C6"/>
    <w:rsid w:val="00385D82"/>
    <w:rsid w:val="00385FFA"/>
    <w:rsid w:val="003862AB"/>
    <w:rsid w:val="00386B0E"/>
    <w:rsid w:val="00386F46"/>
    <w:rsid w:val="00387AE1"/>
    <w:rsid w:val="0039103D"/>
    <w:rsid w:val="00391540"/>
    <w:rsid w:val="00391666"/>
    <w:rsid w:val="003917D3"/>
    <w:rsid w:val="00391BB2"/>
    <w:rsid w:val="00391C61"/>
    <w:rsid w:val="0039202E"/>
    <w:rsid w:val="0039308B"/>
    <w:rsid w:val="00394000"/>
    <w:rsid w:val="003940B5"/>
    <w:rsid w:val="0039440E"/>
    <w:rsid w:val="003949DA"/>
    <w:rsid w:val="00395009"/>
    <w:rsid w:val="00395764"/>
    <w:rsid w:val="003958D6"/>
    <w:rsid w:val="00395B91"/>
    <w:rsid w:val="00395FFD"/>
    <w:rsid w:val="003962A2"/>
    <w:rsid w:val="003963DD"/>
    <w:rsid w:val="00396FD1"/>
    <w:rsid w:val="00397AEE"/>
    <w:rsid w:val="00397C15"/>
    <w:rsid w:val="00397C6B"/>
    <w:rsid w:val="00397FA6"/>
    <w:rsid w:val="003A086D"/>
    <w:rsid w:val="003A1864"/>
    <w:rsid w:val="003A209A"/>
    <w:rsid w:val="003A29B5"/>
    <w:rsid w:val="003A35EB"/>
    <w:rsid w:val="003A3AC8"/>
    <w:rsid w:val="003A46AA"/>
    <w:rsid w:val="003A5361"/>
    <w:rsid w:val="003A5404"/>
    <w:rsid w:val="003A5684"/>
    <w:rsid w:val="003A5D4B"/>
    <w:rsid w:val="003A6CCB"/>
    <w:rsid w:val="003A78FB"/>
    <w:rsid w:val="003A7D91"/>
    <w:rsid w:val="003A7F7F"/>
    <w:rsid w:val="003B0120"/>
    <w:rsid w:val="003B0223"/>
    <w:rsid w:val="003B082C"/>
    <w:rsid w:val="003B0B60"/>
    <w:rsid w:val="003B2D36"/>
    <w:rsid w:val="003B309B"/>
    <w:rsid w:val="003B367B"/>
    <w:rsid w:val="003B3A9E"/>
    <w:rsid w:val="003B4603"/>
    <w:rsid w:val="003B5490"/>
    <w:rsid w:val="003B54A5"/>
    <w:rsid w:val="003B56C1"/>
    <w:rsid w:val="003B58B6"/>
    <w:rsid w:val="003B604D"/>
    <w:rsid w:val="003B63FB"/>
    <w:rsid w:val="003B655E"/>
    <w:rsid w:val="003B6C1A"/>
    <w:rsid w:val="003B7612"/>
    <w:rsid w:val="003B7828"/>
    <w:rsid w:val="003C030A"/>
    <w:rsid w:val="003C167E"/>
    <w:rsid w:val="003C1874"/>
    <w:rsid w:val="003C2435"/>
    <w:rsid w:val="003C2E88"/>
    <w:rsid w:val="003C308A"/>
    <w:rsid w:val="003C3118"/>
    <w:rsid w:val="003C33B2"/>
    <w:rsid w:val="003C3B49"/>
    <w:rsid w:val="003C458E"/>
    <w:rsid w:val="003C4E3A"/>
    <w:rsid w:val="003C5188"/>
    <w:rsid w:val="003C5FA8"/>
    <w:rsid w:val="003C7F00"/>
    <w:rsid w:val="003D01A0"/>
    <w:rsid w:val="003D04F9"/>
    <w:rsid w:val="003D0A26"/>
    <w:rsid w:val="003D2C3F"/>
    <w:rsid w:val="003D3418"/>
    <w:rsid w:val="003D44C5"/>
    <w:rsid w:val="003D477D"/>
    <w:rsid w:val="003D47D5"/>
    <w:rsid w:val="003D480C"/>
    <w:rsid w:val="003D506E"/>
    <w:rsid w:val="003D51E4"/>
    <w:rsid w:val="003D52D5"/>
    <w:rsid w:val="003D683A"/>
    <w:rsid w:val="003D6E71"/>
    <w:rsid w:val="003E08CD"/>
    <w:rsid w:val="003E0FEB"/>
    <w:rsid w:val="003E19C0"/>
    <w:rsid w:val="003E1DD4"/>
    <w:rsid w:val="003E26B5"/>
    <w:rsid w:val="003E3A55"/>
    <w:rsid w:val="003E4389"/>
    <w:rsid w:val="003E532B"/>
    <w:rsid w:val="003E5733"/>
    <w:rsid w:val="003E68A3"/>
    <w:rsid w:val="003E6C19"/>
    <w:rsid w:val="003F0010"/>
    <w:rsid w:val="003F0309"/>
    <w:rsid w:val="003F0FE9"/>
    <w:rsid w:val="003F21A7"/>
    <w:rsid w:val="003F35AA"/>
    <w:rsid w:val="003F36C6"/>
    <w:rsid w:val="003F3C0F"/>
    <w:rsid w:val="003F44BF"/>
    <w:rsid w:val="003F48F3"/>
    <w:rsid w:val="003F4AEB"/>
    <w:rsid w:val="003F5E04"/>
    <w:rsid w:val="003F6830"/>
    <w:rsid w:val="003F717A"/>
    <w:rsid w:val="003F79FD"/>
    <w:rsid w:val="00400143"/>
    <w:rsid w:val="00402A9E"/>
    <w:rsid w:val="00402D9B"/>
    <w:rsid w:val="00402EDC"/>
    <w:rsid w:val="004030B6"/>
    <w:rsid w:val="004032BC"/>
    <w:rsid w:val="004032E6"/>
    <w:rsid w:val="00403872"/>
    <w:rsid w:val="00404238"/>
    <w:rsid w:val="00404F31"/>
    <w:rsid w:val="0040508C"/>
    <w:rsid w:val="0040594B"/>
    <w:rsid w:val="00405C98"/>
    <w:rsid w:val="00406DA2"/>
    <w:rsid w:val="00406F83"/>
    <w:rsid w:val="00407D3C"/>
    <w:rsid w:val="00407D4E"/>
    <w:rsid w:val="0041071D"/>
    <w:rsid w:val="00412B94"/>
    <w:rsid w:val="00412C67"/>
    <w:rsid w:val="00412FCF"/>
    <w:rsid w:val="00413221"/>
    <w:rsid w:val="004135F0"/>
    <w:rsid w:val="00414A15"/>
    <w:rsid w:val="0041504D"/>
    <w:rsid w:val="00415098"/>
    <w:rsid w:val="0041528B"/>
    <w:rsid w:val="004156AE"/>
    <w:rsid w:val="00416241"/>
    <w:rsid w:val="00416541"/>
    <w:rsid w:val="0041719B"/>
    <w:rsid w:val="00420AB1"/>
    <w:rsid w:val="00420FDB"/>
    <w:rsid w:val="00421D1D"/>
    <w:rsid w:val="004220FC"/>
    <w:rsid w:val="00422D97"/>
    <w:rsid w:val="00422F38"/>
    <w:rsid w:val="0042394E"/>
    <w:rsid w:val="00424226"/>
    <w:rsid w:val="004249DC"/>
    <w:rsid w:val="00425215"/>
    <w:rsid w:val="0042552F"/>
    <w:rsid w:val="00425898"/>
    <w:rsid w:val="00425BAE"/>
    <w:rsid w:val="00426169"/>
    <w:rsid w:val="0042616E"/>
    <w:rsid w:val="00427480"/>
    <w:rsid w:val="00427F67"/>
    <w:rsid w:val="0043055F"/>
    <w:rsid w:val="004307F1"/>
    <w:rsid w:val="0043190E"/>
    <w:rsid w:val="00432780"/>
    <w:rsid w:val="00432E31"/>
    <w:rsid w:val="00433659"/>
    <w:rsid w:val="00434022"/>
    <w:rsid w:val="004343BF"/>
    <w:rsid w:val="0043469D"/>
    <w:rsid w:val="004350A8"/>
    <w:rsid w:val="004359D9"/>
    <w:rsid w:val="00436200"/>
    <w:rsid w:val="0043626A"/>
    <w:rsid w:val="004373BD"/>
    <w:rsid w:val="004375CB"/>
    <w:rsid w:val="00437743"/>
    <w:rsid w:val="00440EAD"/>
    <w:rsid w:val="0044104A"/>
    <w:rsid w:val="00441870"/>
    <w:rsid w:val="004422D0"/>
    <w:rsid w:val="004431DE"/>
    <w:rsid w:val="00443BFB"/>
    <w:rsid w:val="0044402C"/>
    <w:rsid w:val="00444D56"/>
    <w:rsid w:val="00444EB6"/>
    <w:rsid w:val="00445426"/>
    <w:rsid w:val="00445549"/>
    <w:rsid w:val="00445938"/>
    <w:rsid w:val="00445C7D"/>
    <w:rsid w:val="004470D2"/>
    <w:rsid w:val="00447429"/>
    <w:rsid w:val="0044757D"/>
    <w:rsid w:val="004478DD"/>
    <w:rsid w:val="00447916"/>
    <w:rsid w:val="004507E9"/>
    <w:rsid w:val="00451039"/>
    <w:rsid w:val="004525E6"/>
    <w:rsid w:val="004537B8"/>
    <w:rsid w:val="00454302"/>
    <w:rsid w:val="00454387"/>
    <w:rsid w:val="00454930"/>
    <w:rsid w:val="00454C25"/>
    <w:rsid w:val="004552CE"/>
    <w:rsid w:val="004560C7"/>
    <w:rsid w:val="0045737D"/>
    <w:rsid w:val="00457407"/>
    <w:rsid w:val="0046007B"/>
    <w:rsid w:val="00461540"/>
    <w:rsid w:val="004625B3"/>
    <w:rsid w:val="00462C3D"/>
    <w:rsid w:val="00462F40"/>
    <w:rsid w:val="00463DB1"/>
    <w:rsid w:val="00464191"/>
    <w:rsid w:val="004642FD"/>
    <w:rsid w:val="00464C39"/>
    <w:rsid w:val="0046516B"/>
    <w:rsid w:val="00465830"/>
    <w:rsid w:val="00465B48"/>
    <w:rsid w:val="00465D0B"/>
    <w:rsid w:val="00466E44"/>
    <w:rsid w:val="00466EA0"/>
    <w:rsid w:val="00467440"/>
    <w:rsid w:val="0046789C"/>
    <w:rsid w:val="004678B1"/>
    <w:rsid w:val="00467FD1"/>
    <w:rsid w:val="00470B3C"/>
    <w:rsid w:val="00471166"/>
    <w:rsid w:val="00472226"/>
    <w:rsid w:val="00472938"/>
    <w:rsid w:val="004733CC"/>
    <w:rsid w:val="00473A55"/>
    <w:rsid w:val="004744FE"/>
    <w:rsid w:val="00475086"/>
    <w:rsid w:val="004751A6"/>
    <w:rsid w:val="004756F5"/>
    <w:rsid w:val="00475FE6"/>
    <w:rsid w:val="00476415"/>
    <w:rsid w:val="00476950"/>
    <w:rsid w:val="00476DB0"/>
    <w:rsid w:val="00480328"/>
    <w:rsid w:val="00480343"/>
    <w:rsid w:val="00480405"/>
    <w:rsid w:val="00480585"/>
    <w:rsid w:val="00480B05"/>
    <w:rsid w:val="00480B85"/>
    <w:rsid w:val="00480CB5"/>
    <w:rsid w:val="004816A4"/>
    <w:rsid w:val="00481966"/>
    <w:rsid w:val="00481C52"/>
    <w:rsid w:val="00481D52"/>
    <w:rsid w:val="00481D55"/>
    <w:rsid w:val="0048205C"/>
    <w:rsid w:val="004820F3"/>
    <w:rsid w:val="004825BE"/>
    <w:rsid w:val="004827AC"/>
    <w:rsid w:val="00482A2E"/>
    <w:rsid w:val="00483153"/>
    <w:rsid w:val="0048317C"/>
    <w:rsid w:val="004842FE"/>
    <w:rsid w:val="004843BA"/>
    <w:rsid w:val="00485CDA"/>
    <w:rsid w:val="00486D87"/>
    <w:rsid w:val="004874A2"/>
    <w:rsid w:val="00487870"/>
    <w:rsid w:val="0049083A"/>
    <w:rsid w:val="00490C5D"/>
    <w:rsid w:val="00490C90"/>
    <w:rsid w:val="00492F02"/>
    <w:rsid w:val="00494209"/>
    <w:rsid w:val="00494B9F"/>
    <w:rsid w:val="00494BD0"/>
    <w:rsid w:val="004957BB"/>
    <w:rsid w:val="004964CA"/>
    <w:rsid w:val="0049695D"/>
    <w:rsid w:val="00497219"/>
    <w:rsid w:val="00497771"/>
    <w:rsid w:val="00497B21"/>
    <w:rsid w:val="004A050E"/>
    <w:rsid w:val="004A06E2"/>
    <w:rsid w:val="004A1721"/>
    <w:rsid w:val="004A30E0"/>
    <w:rsid w:val="004A3187"/>
    <w:rsid w:val="004A3C74"/>
    <w:rsid w:val="004A4ED7"/>
    <w:rsid w:val="004A52A4"/>
    <w:rsid w:val="004A586C"/>
    <w:rsid w:val="004A59BB"/>
    <w:rsid w:val="004A745A"/>
    <w:rsid w:val="004A77E3"/>
    <w:rsid w:val="004A7941"/>
    <w:rsid w:val="004A7BF5"/>
    <w:rsid w:val="004B01A1"/>
    <w:rsid w:val="004B048E"/>
    <w:rsid w:val="004B0CCF"/>
    <w:rsid w:val="004B1289"/>
    <w:rsid w:val="004B1825"/>
    <w:rsid w:val="004B2409"/>
    <w:rsid w:val="004B2D02"/>
    <w:rsid w:val="004B3116"/>
    <w:rsid w:val="004B3AD3"/>
    <w:rsid w:val="004B4A6C"/>
    <w:rsid w:val="004B5429"/>
    <w:rsid w:val="004B5A12"/>
    <w:rsid w:val="004B5D38"/>
    <w:rsid w:val="004B5E9A"/>
    <w:rsid w:val="004B6E78"/>
    <w:rsid w:val="004B7D49"/>
    <w:rsid w:val="004C0443"/>
    <w:rsid w:val="004C05FD"/>
    <w:rsid w:val="004C08F5"/>
    <w:rsid w:val="004C13AC"/>
    <w:rsid w:val="004C33CE"/>
    <w:rsid w:val="004C34DF"/>
    <w:rsid w:val="004C40BE"/>
    <w:rsid w:val="004C4A10"/>
    <w:rsid w:val="004C4C03"/>
    <w:rsid w:val="004C5200"/>
    <w:rsid w:val="004C5897"/>
    <w:rsid w:val="004C590F"/>
    <w:rsid w:val="004C6115"/>
    <w:rsid w:val="004C63F2"/>
    <w:rsid w:val="004C6C48"/>
    <w:rsid w:val="004C7476"/>
    <w:rsid w:val="004C7F5B"/>
    <w:rsid w:val="004D02F0"/>
    <w:rsid w:val="004D0640"/>
    <w:rsid w:val="004D08C6"/>
    <w:rsid w:val="004D216B"/>
    <w:rsid w:val="004D234D"/>
    <w:rsid w:val="004D3136"/>
    <w:rsid w:val="004D31A5"/>
    <w:rsid w:val="004D3542"/>
    <w:rsid w:val="004D37EA"/>
    <w:rsid w:val="004D402B"/>
    <w:rsid w:val="004D4AD7"/>
    <w:rsid w:val="004D60F0"/>
    <w:rsid w:val="004D6179"/>
    <w:rsid w:val="004D66B8"/>
    <w:rsid w:val="004D7DC0"/>
    <w:rsid w:val="004E0136"/>
    <w:rsid w:val="004E0BD3"/>
    <w:rsid w:val="004E1FCB"/>
    <w:rsid w:val="004E25A2"/>
    <w:rsid w:val="004E28A8"/>
    <w:rsid w:val="004E45C8"/>
    <w:rsid w:val="004E4EAE"/>
    <w:rsid w:val="004E54CB"/>
    <w:rsid w:val="004E57CE"/>
    <w:rsid w:val="004E5921"/>
    <w:rsid w:val="004E594D"/>
    <w:rsid w:val="004E6765"/>
    <w:rsid w:val="004E6B2D"/>
    <w:rsid w:val="004E7155"/>
    <w:rsid w:val="004F0394"/>
    <w:rsid w:val="004F05E5"/>
    <w:rsid w:val="004F0CCC"/>
    <w:rsid w:val="004F1B7A"/>
    <w:rsid w:val="004F27AB"/>
    <w:rsid w:val="004F350F"/>
    <w:rsid w:val="004F3AA7"/>
    <w:rsid w:val="004F3FE2"/>
    <w:rsid w:val="004F4D2C"/>
    <w:rsid w:val="004F5723"/>
    <w:rsid w:val="004F6798"/>
    <w:rsid w:val="004F6890"/>
    <w:rsid w:val="004F719F"/>
    <w:rsid w:val="004F73A6"/>
    <w:rsid w:val="004F74AF"/>
    <w:rsid w:val="004F784D"/>
    <w:rsid w:val="00500040"/>
    <w:rsid w:val="005000D0"/>
    <w:rsid w:val="00500564"/>
    <w:rsid w:val="005009D7"/>
    <w:rsid w:val="00501061"/>
    <w:rsid w:val="005020D1"/>
    <w:rsid w:val="00502B24"/>
    <w:rsid w:val="00502E64"/>
    <w:rsid w:val="005030A1"/>
    <w:rsid w:val="0050315C"/>
    <w:rsid w:val="0050353F"/>
    <w:rsid w:val="0050452D"/>
    <w:rsid w:val="00504661"/>
    <w:rsid w:val="0050530F"/>
    <w:rsid w:val="005067A1"/>
    <w:rsid w:val="005068A5"/>
    <w:rsid w:val="00507F38"/>
    <w:rsid w:val="00510731"/>
    <w:rsid w:val="005107FB"/>
    <w:rsid w:val="00510826"/>
    <w:rsid w:val="00511384"/>
    <w:rsid w:val="0051177E"/>
    <w:rsid w:val="0051283E"/>
    <w:rsid w:val="005132E1"/>
    <w:rsid w:val="0051416B"/>
    <w:rsid w:val="00514D7B"/>
    <w:rsid w:val="005169CB"/>
    <w:rsid w:val="0051738D"/>
    <w:rsid w:val="005174BA"/>
    <w:rsid w:val="005211CF"/>
    <w:rsid w:val="0052166C"/>
    <w:rsid w:val="00522765"/>
    <w:rsid w:val="005227BD"/>
    <w:rsid w:val="005241AE"/>
    <w:rsid w:val="00524206"/>
    <w:rsid w:val="005248C2"/>
    <w:rsid w:val="00524FCC"/>
    <w:rsid w:val="00525A93"/>
    <w:rsid w:val="00525FE7"/>
    <w:rsid w:val="00526221"/>
    <w:rsid w:val="00526C35"/>
    <w:rsid w:val="00526CDC"/>
    <w:rsid w:val="0052735B"/>
    <w:rsid w:val="00527782"/>
    <w:rsid w:val="0052778E"/>
    <w:rsid w:val="00527D51"/>
    <w:rsid w:val="00527E4D"/>
    <w:rsid w:val="00527F9A"/>
    <w:rsid w:val="005312BB"/>
    <w:rsid w:val="00533283"/>
    <w:rsid w:val="00533935"/>
    <w:rsid w:val="00533AB6"/>
    <w:rsid w:val="00533FF6"/>
    <w:rsid w:val="005340F3"/>
    <w:rsid w:val="00535194"/>
    <w:rsid w:val="005351D8"/>
    <w:rsid w:val="0053562D"/>
    <w:rsid w:val="00536B81"/>
    <w:rsid w:val="00536CED"/>
    <w:rsid w:val="0053743C"/>
    <w:rsid w:val="00537AAE"/>
    <w:rsid w:val="00540B39"/>
    <w:rsid w:val="00540FDC"/>
    <w:rsid w:val="0054169E"/>
    <w:rsid w:val="00541D1F"/>
    <w:rsid w:val="00543632"/>
    <w:rsid w:val="00543C97"/>
    <w:rsid w:val="005443FF"/>
    <w:rsid w:val="0054564D"/>
    <w:rsid w:val="00545E5F"/>
    <w:rsid w:val="00546516"/>
    <w:rsid w:val="00546AD2"/>
    <w:rsid w:val="00546EFC"/>
    <w:rsid w:val="005470BE"/>
    <w:rsid w:val="0054739E"/>
    <w:rsid w:val="0054777E"/>
    <w:rsid w:val="00547980"/>
    <w:rsid w:val="00547B84"/>
    <w:rsid w:val="00547DE6"/>
    <w:rsid w:val="00550198"/>
    <w:rsid w:val="00550D3C"/>
    <w:rsid w:val="0055108F"/>
    <w:rsid w:val="00552DC2"/>
    <w:rsid w:val="00552DDE"/>
    <w:rsid w:val="00553165"/>
    <w:rsid w:val="005541EB"/>
    <w:rsid w:val="0055430D"/>
    <w:rsid w:val="00555608"/>
    <w:rsid w:val="00555C33"/>
    <w:rsid w:val="0055683D"/>
    <w:rsid w:val="00557577"/>
    <w:rsid w:val="00557E1F"/>
    <w:rsid w:val="00557FB1"/>
    <w:rsid w:val="0056025F"/>
    <w:rsid w:val="005602B9"/>
    <w:rsid w:val="00560737"/>
    <w:rsid w:val="005608A5"/>
    <w:rsid w:val="00560972"/>
    <w:rsid w:val="00560B6C"/>
    <w:rsid w:val="00560F18"/>
    <w:rsid w:val="00560FF6"/>
    <w:rsid w:val="00561329"/>
    <w:rsid w:val="00561B48"/>
    <w:rsid w:val="00561F0C"/>
    <w:rsid w:val="0056325A"/>
    <w:rsid w:val="005639A5"/>
    <w:rsid w:val="00563BCC"/>
    <w:rsid w:val="0056454A"/>
    <w:rsid w:val="00565A62"/>
    <w:rsid w:val="00565DA4"/>
    <w:rsid w:val="00566201"/>
    <w:rsid w:val="00566441"/>
    <w:rsid w:val="005667A7"/>
    <w:rsid w:val="00567E7C"/>
    <w:rsid w:val="005703CD"/>
    <w:rsid w:val="005705F5"/>
    <w:rsid w:val="00571445"/>
    <w:rsid w:val="00571763"/>
    <w:rsid w:val="005718FC"/>
    <w:rsid w:val="0057204F"/>
    <w:rsid w:val="005722F7"/>
    <w:rsid w:val="00574961"/>
    <w:rsid w:val="0057497D"/>
    <w:rsid w:val="00575A0A"/>
    <w:rsid w:val="00575B23"/>
    <w:rsid w:val="005760DD"/>
    <w:rsid w:val="00576EF2"/>
    <w:rsid w:val="005770C0"/>
    <w:rsid w:val="0057715E"/>
    <w:rsid w:val="00577DFC"/>
    <w:rsid w:val="00577E22"/>
    <w:rsid w:val="005801A3"/>
    <w:rsid w:val="005806C1"/>
    <w:rsid w:val="00580D46"/>
    <w:rsid w:val="005812ED"/>
    <w:rsid w:val="005825C4"/>
    <w:rsid w:val="00582B48"/>
    <w:rsid w:val="0058387B"/>
    <w:rsid w:val="00583889"/>
    <w:rsid w:val="005838EA"/>
    <w:rsid w:val="0058392F"/>
    <w:rsid w:val="005841B8"/>
    <w:rsid w:val="0058490F"/>
    <w:rsid w:val="0058492E"/>
    <w:rsid w:val="0058593C"/>
    <w:rsid w:val="00586048"/>
    <w:rsid w:val="005861A3"/>
    <w:rsid w:val="0058656B"/>
    <w:rsid w:val="00586B96"/>
    <w:rsid w:val="00586E33"/>
    <w:rsid w:val="00587252"/>
    <w:rsid w:val="00587723"/>
    <w:rsid w:val="00587C98"/>
    <w:rsid w:val="00587D39"/>
    <w:rsid w:val="005902E2"/>
    <w:rsid w:val="00590726"/>
    <w:rsid w:val="00590FB9"/>
    <w:rsid w:val="00591216"/>
    <w:rsid w:val="00592555"/>
    <w:rsid w:val="0059261E"/>
    <w:rsid w:val="00593D45"/>
    <w:rsid w:val="00594121"/>
    <w:rsid w:val="00594491"/>
    <w:rsid w:val="005947B5"/>
    <w:rsid w:val="00594B26"/>
    <w:rsid w:val="00594BFF"/>
    <w:rsid w:val="0059537F"/>
    <w:rsid w:val="00595572"/>
    <w:rsid w:val="0059566C"/>
    <w:rsid w:val="0059657F"/>
    <w:rsid w:val="00596D03"/>
    <w:rsid w:val="00596F0A"/>
    <w:rsid w:val="00596F14"/>
    <w:rsid w:val="00597786"/>
    <w:rsid w:val="00597F5E"/>
    <w:rsid w:val="005A0500"/>
    <w:rsid w:val="005A0821"/>
    <w:rsid w:val="005A0A30"/>
    <w:rsid w:val="005A2333"/>
    <w:rsid w:val="005A2E58"/>
    <w:rsid w:val="005A2EB5"/>
    <w:rsid w:val="005A464A"/>
    <w:rsid w:val="005A5AFF"/>
    <w:rsid w:val="005A6168"/>
    <w:rsid w:val="005A699D"/>
    <w:rsid w:val="005A6A5C"/>
    <w:rsid w:val="005A6E28"/>
    <w:rsid w:val="005B06E0"/>
    <w:rsid w:val="005B10F0"/>
    <w:rsid w:val="005B12F6"/>
    <w:rsid w:val="005B13CE"/>
    <w:rsid w:val="005B1F3D"/>
    <w:rsid w:val="005B2ADD"/>
    <w:rsid w:val="005B3663"/>
    <w:rsid w:val="005B4048"/>
    <w:rsid w:val="005B4B98"/>
    <w:rsid w:val="005B4C0B"/>
    <w:rsid w:val="005B747D"/>
    <w:rsid w:val="005B7BD1"/>
    <w:rsid w:val="005C08E4"/>
    <w:rsid w:val="005C1C7C"/>
    <w:rsid w:val="005C1E2D"/>
    <w:rsid w:val="005C1FF2"/>
    <w:rsid w:val="005C2519"/>
    <w:rsid w:val="005C28FA"/>
    <w:rsid w:val="005C3095"/>
    <w:rsid w:val="005C3822"/>
    <w:rsid w:val="005C415F"/>
    <w:rsid w:val="005C4183"/>
    <w:rsid w:val="005C4AE9"/>
    <w:rsid w:val="005C4EFA"/>
    <w:rsid w:val="005C5618"/>
    <w:rsid w:val="005C59D4"/>
    <w:rsid w:val="005C5CD4"/>
    <w:rsid w:val="005C5E1F"/>
    <w:rsid w:val="005C60EF"/>
    <w:rsid w:val="005C6516"/>
    <w:rsid w:val="005C661B"/>
    <w:rsid w:val="005C773F"/>
    <w:rsid w:val="005C7939"/>
    <w:rsid w:val="005D08E3"/>
    <w:rsid w:val="005D093D"/>
    <w:rsid w:val="005D0A28"/>
    <w:rsid w:val="005D1D75"/>
    <w:rsid w:val="005D1E49"/>
    <w:rsid w:val="005D2D11"/>
    <w:rsid w:val="005D30DF"/>
    <w:rsid w:val="005D4166"/>
    <w:rsid w:val="005D4DE5"/>
    <w:rsid w:val="005D554E"/>
    <w:rsid w:val="005D6164"/>
    <w:rsid w:val="005D6881"/>
    <w:rsid w:val="005D72A1"/>
    <w:rsid w:val="005D7C86"/>
    <w:rsid w:val="005E0E0D"/>
    <w:rsid w:val="005E14ED"/>
    <w:rsid w:val="005E191C"/>
    <w:rsid w:val="005E193C"/>
    <w:rsid w:val="005E1ECA"/>
    <w:rsid w:val="005E2477"/>
    <w:rsid w:val="005E2873"/>
    <w:rsid w:val="005E3034"/>
    <w:rsid w:val="005E314A"/>
    <w:rsid w:val="005E4AFF"/>
    <w:rsid w:val="005E5242"/>
    <w:rsid w:val="005E5934"/>
    <w:rsid w:val="005E5C58"/>
    <w:rsid w:val="005E5E7F"/>
    <w:rsid w:val="005E61AD"/>
    <w:rsid w:val="005E63AD"/>
    <w:rsid w:val="005E674F"/>
    <w:rsid w:val="005E6E3D"/>
    <w:rsid w:val="005E7B3F"/>
    <w:rsid w:val="005F0170"/>
    <w:rsid w:val="005F01DD"/>
    <w:rsid w:val="005F08EB"/>
    <w:rsid w:val="005F1C00"/>
    <w:rsid w:val="005F2250"/>
    <w:rsid w:val="005F2603"/>
    <w:rsid w:val="005F2C52"/>
    <w:rsid w:val="005F36BB"/>
    <w:rsid w:val="005F39B5"/>
    <w:rsid w:val="005F3C5D"/>
    <w:rsid w:val="005F3C83"/>
    <w:rsid w:val="005F4390"/>
    <w:rsid w:val="005F4C72"/>
    <w:rsid w:val="005F53EB"/>
    <w:rsid w:val="005F6246"/>
    <w:rsid w:val="005F6B37"/>
    <w:rsid w:val="005F6F02"/>
    <w:rsid w:val="005F74F2"/>
    <w:rsid w:val="005F7EAD"/>
    <w:rsid w:val="0060024E"/>
    <w:rsid w:val="00600B7B"/>
    <w:rsid w:val="00601570"/>
    <w:rsid w:val="006016F1"/>
    <w:rsid w:val="00601E5D"/>
    <w:rsid w:val="00603D22"/>
    <w:rsid w:val="006040F7"/>
    <w:rsid w:val="00606AFF"/>
    <w:rsid w:val="00607110"/>
    <w:rsid w:val="00607494"/>
    <w:rsid w:val="00607DA4"/>
    <w:rsid w:val="00607DDB"/>
    <w:rsid w:val="00610458"/>
    <w:rsid w:val="00610637"/>
    <w:rsid w:val="006107BA"/>
    <w:rsid w:val="00610869"/>
    <w:rsid w:val="00610F70"/>
    <w:rsid w:val="0061118A"/>
    <w:rsid w:val="00611260"/>
    <w:rsid w:val="00611C39"/>
    <w:rsid w:val="00611EF4"/>
    <w:rsid w:val="00611FAF"/>
    <w:rsid w:val="00612C16"/>
    <w:rsid w:val="006133C5"/>
    <w:rsid w:val="00613720"/>
    <w:rsid w:val="00614053"/>
    <w:rsid w:val="00614ACA"/>
    <w:rsid w:val="006150B4"/>
    <w:rsid w:val="006150D1"/>
    <w:rsid w:val="006150D6"/>
    <w:rsid w:val="00616591"/>
    <w:rsid w:val="006167B3"/>
    <w:rsid w:val="00617131"/>
    <w:rsid w:val="0061777D"/>
    <w:rsid w:val="0062049E"/>
    <w:rsid w:val="00621AEE"/>
    <w:rsid w:val="0062228C"/>
    <w:rsid w:val="00623245"/>
    <w:rsid w:val="00623808"/>
    <w:rsid w:val="00623EE6"/>
    <w:rsid w:val="00624475"/>
    <w:rsid w:val="006246D4"/>
    <w:rsid w:val="00624843"/>
    <w:rsid w:val="00624B65"/>
    <w:rsid w:val="00624F73"/>
    <w:rsid w:val="006253E2"/>
    <w:rsid w:val="006260EA"/>
    <w:rsid w:val="00626F02"/>
    <w:rsid w:val="006277B2"/>
    <w:rsid w:val="00627CF4"/>
    <w:rsid w:val="00627D01"/>
    <w:rsid w:val="00627D12"/>
    <w:rsid w:val="006309A5"/>
    <w:rsid w:val="006317ED"/>
    <w:rsid w:val="00632BCB"/>
    <w:rsid w:val="00633659"/>
    <w:rsid w:val="00633C73"/>
    <w:rsid w:val="00634A9B"/>
    <w:rsid w:val="00634C97"/>
    <w:rsid w:val="00634DE0"/>
    <w:rsid w:val="00634F59"/>
    <w:rsid w:val="0063502B"/>
    <w:rsid w:val="00635336"/>
    <w:rsid w:val="00635483"/>
    <w:rsid w:val="006367C8"/>
    <w:rsid w:val="00636A23"/>
    <w:rsid w:val="00637034"/>
    <w:rsid w:val="00637131"/>
    <w:rsid w:val="00637A58"/>
    <w:rsid w:val="00637AA8"/>
    <w:rsid w:val="00640862"/>
    <w:rsid w:val="00641176"/>
    <w:rsid w:val="006411B0"/>
    <w:rsid w:val="00641E24"/>
    <w:rsid w:val="006425BC"/>
    <w:rsid w:val="00642744"/>
    <w:rsid w:val="00643474"/>
    <w:rsid w:val="006434E6"/>
    <w:rsid w:val="00643502"/>
    <w:rsid w:val="00643554"/>
    <w:rsid w:val="00643710"/>
    <w:rsid w:val="006442F3"/>
    <w:rsid w:val="00644A28"/>
    <w:rsid w:val="00645315"/>
    <w:rsid w:val="00645431"/>
    <w:rsid w:val="00645731"/>
    <w:rsid w:val="0064596A"/>
    <w:rsid w:val="00645D73"/>
    <w:rsid w:val="006464A0"/>
    <w:rsid w:val="00646B1B"/>
    <w:rsid w:val="00646B78"/>
    <w:rsid w:val="00646E9B"/>
    <w:rsid w:val="00647845"/>
    <w:rsid w:val="00647B9F"/>
    <w:rsid w:val="00650719"/>
    <w:rsid w:val="00650767"/>
    <w:rsid w:val="006529CA"/>
    <w:rsid w:val="00654284"/>
    <w:rsid w:val="00654777"/>
    <w:rsid w:val="006549D8"/>
    <w:rsid w:val="00654D7A"/>
    <w:rsid w:val="00655713"/>
    <w:rsid w:val="0065634B"/>
    <w:rsid w:val="00657937"/>
    <w:rsid w:val="0065795F"/>
    <w:rsid w:val="00657BEA"/>
    <w:rsid w:val="00660B0F"/>
    <w:rsid w:val="00661431"/>
    <w:rsid w:val="006614E2"/>
    <w:rsid w:val="00661D4B"/>
    <w:rsid w:val="0066206D"/>
    <w:rsid w:val="00662B1E"/>
    <w:rsid w:val="00662DA8"/>
    <w:rsid w:val="00663105"/>
    <w:rsid w:val="0066389F"/>
    <w:rsid w:val="00664344"/>
    <w:rsid w:val="0066436A"/>
    <w:rsid w:val="0066507C"/>
    <w:rsid w:val="006653F8"/>
    <w:rsid w:val="00665A5A"/>
    <w:rsid w:val="00665B27"/>
    <w:rsid w:val="00665C6F"/>
    <w:rsid w:val="0066652F"/>
    <w:rsid w:val="006665F1"/>
    <w:rsid w:val="00666777"/>
    <w:rsid w:val="0066693C"/>
    <w:rsid w:val="00666C14"/>
    <w:rsid w:val="00666F87"/>
    <w:rsid w:val="00666F96"/>
    <w:rsid w:val="00666FBE"/>
    <w:rsid w:val="006672C6"/>
    <w:rsid w:val="006719A3"/>
    <w:rsid w:val="00671E8A"/>
    <w:rsid w:val="006727C4"/>
    <w:rsid w:val="00672CDE"/>
    <w:rsid w:val="006734A9"/>
    <w:rsid w:val="00673CD4"/>
    <w:rsid w:val="006741A9"/>
    <w:rsid w:val="006759A1"/>
    <w:rsid w:val="00676C74"/>
    <w:rsid w:val="00677A8B"/>
    <w:rsid w:val="00677E57"/>
    <w:rsid w:val="0068081C"/>
    <w:rsid w:val="00680FB2"/>
    <w:rsid w:val="0068180E"/>
    <w:rsid w:val="0068197E"/>
    <w:rsid w:val="00682AFA"/>
    <w:rsid w:val="00682FFB"/>
    <w:rsid w:val="00683BF6"/>
    <w:rsid w:val="00684062"/>
    <w:rsid w:val="0068490E"/>
    <w:rsid w:val="0068495A"/>
    <w:rsid w:val="00685668"/>
    <w:rsid w:val="00685C45"/>
    <w:rsid w:val="00686271"/>
    <w:rsid w:val="00686A24"/>
    <w:rsid w:val="00687257"/>
    <w:rsid w:val="006879E3"/>
    <w:rsid w:val="00687AAE"/>
    <w:rsid w:val="0069149A"/>
    <w:rsid w:val="00691E70"/>
    <w:rsid w:val="006920D1"/>
    <w:rsid w:val="00692277"/>
    <w:rsid w:val="006922F9"/>
    <w:rsid w:val="00692699"/>
    <w:rsid w:val="00692823"/>
    <w:rsid w:val="006929B6"/>
    <w:rsid w:val="00693A67"/>
    <w:rsid w:val="0069400C"/>
    <w:rsid w:val="006948B0"/>
    <w:rsid w:val="00695ACA"/>
    <w:rsid w:val="00697132"/>
    <w:rsid w:val="006A0029"/>
    <w:rsid w:val="006A007B"/>
    <w:rsid w:val="006A0B2E"/>
    <w:rsid w:val="006A1DCB"/>
    <w:rsid w:val="006A31B4"/>
    <w:rsid w:val="006A3799"/>
    <w:rsid w:val="006A39CD"/>
    <w:rsid w:val="006A45A0"/>
    <w:rsid w:val="006A479D"/>
    <w:rsid w:val="006A5CA1"/>
    <w:rsid w:val="006A61B6"/>
    <w:rsid w:val="006A66D2"/>
    <w:rsid w:val="006A686C"/>
    <w:rsid w:val="006A77E7"/>
    <w:rsid w:val="006A7EC6"/>
    <w:rsid w:val="006B0AAA"/>
    <w:rsid w:val="006B0B4D"/>
    <w:rsid w:val="006B0B97"/>
    <w:rsid w:val="006B0BF0"/>
    <w:rsid w:val="006B1065"/>
    <w:rsid w:val="006B1EA3"/>
    <w:rsid w:val="006B2695"/>
    <w:rsid w:val="006B2788"/>
    <w:rsid w:val="006B4053"/>
    <w:rsid w:val="006B5440"/>
    <w:rsid w:val="006B5CEB"/>
    <w:rsid w:val="006B69A3"/>
    <w:rsid w:val="006B6C73"/>
    <w:rsid w:val="006B6CEC"/>
    <w:rsid w:val="006B7F44"/>
    <w:rsid w:val="006C029C"/>
    <w:rsid w:val="006C153B"/>
    <w:rsid w:val="006C184E"/>
    <w:rsid w:val="006C1874"/>
    <w:rsid w:val="006C1FD3"/>
    <w:rsid w:val="006C2D3C"/>
    <w:rsid w:val="006C36CB"/>
    <w:rsid w:val="006C3830"/>
    <w:rsid w:val="006C44E8"/>
    <w:rsid w:val="006C4578"/>
    <w:rsid w:val="006C4C2D"/>
    <w:rsid w:val="006C4CA7"/>
    <w:rsid w:val="006C52C5"/>
    <w:rsid w:val="006C615E"/>
    <w:rsid w:val="006C73F5"/>
    <w:rsid w:val="006C76DF"/>
    <w:rsid w:val="006C79A7"/>
    <w:rsid w:val="006D0A92"/>
    <w:rsid w:val="006D0AE7"/>
    <w:rsid w:val="006D1312"/>
    <w:rsid w:val="006D2660"/>
    <w:rsid w:val="006D28A0"/>
    <w:rsid w:val="006D2FA3"/>
    <w:rsid w:val="006D3F73"/>
    <w:rsid w:val="006D47CF"/>
    <w:rsid w:val="006D5BB2"/>
    <w:rsid w:val="006D5E50"/>
    <w:rsid w:val="006D6609"/>
    <w:rsid w:val="006D6AF5"/>
    <w:rsid w:val="006D6F68"/>
    <w:rsid w:val="006D7A3E"/>
    <w:rsid w:val="006E0008"/>
    <w:rsid w:val="006E026C"/>
    <w:rsid w:val="006E0AD2"/>
    <w:rsid w:val="006E1FD1"/>
    <w:rsid w:val="006E23D6"/>
    <w:rsid w:val="006E24DF"/>
    <w:rsid w:val="006E3166"/>
    <w:rsid w:val="006E31E4"/>
    <w:rsid w:val="006E37DA"/>
    <w:rsid w:val="006E4ACD"/>
    <w:rsid w:val="006E6929"/>
    <w:rsid w:val="006E6BF3"/>
    <w:rsid w:val="006E73D5"/>
    <w:rsid w:val="006E7403"/>
    <w:rsid w:val="006E74FD"/>
    <w:rsid w:val="006E78B4"/>
    <w:rsid w:val="006E79A4"/>
    <w:rsid w:val="006F0353"/>
    <w:rsid w:val="006F039B"/>
    <w:rsid w:val="006F0C87"/>
    <w:rsid w:val="006F148F"/>
    <w:rsid w:val="006F2251"/>
    <w:rsid w:val="006F2A50"/>
    <w:rsid w:val="006F2FC8"/>
    <w:rsid w:val="006F3446"/>
    <w:rsid w:val="006F3596"/>
    <w:rsid w:val="006F38FE"/>
    <w:rsid w:val="006F487A"/>
    <w:rsid w:val="006F6343"/>
    <w:rsid w:val="00700138"/>
    <w:rsid w:val="007003FB"/>
    <w:rsid w:val="00700413"/>
    <w:rsid w:val="007005DA"/>
    <w:rsid w:val="007015DB"/>
    <w:rsid w:val="0070207D"/>
    <w:rsid w:val="0070209C"/>
    <w:rsid w:val="00702161"/>
    <w:rsid w:val="00702637"/>
    <w:rsid w:val="007029B4"/>
    <w:rsid w:val="007029D6"/>
    <w:rsid w:val="00702EEC"/>
    <w:rsid w:val="007033B7"/>
    <w:rsid w:val="007036DE"/>
    <w:rsid w:val="00703E7B"/>
    <w:rsid w:val="00704A26"/>
    <w:rsid w:val="00704C0E"/>
    <w:rsid w:val="00704F78"/>
    <w:rsid w:val="007055BD"/>
    <w:rsid w:val="00707CEB"/>
    <w:rsid w:val="0071034F"/>
    <w:rsid w:val="00710E15"/>
    <w:rsid w:val="0071121F"/>
    <w:rsid w:val="007112EE"/>
    <w:rsid w:val="0071132E"/>
    <w:rsid w:val="007115D8"/>
    <w:rsid w:val="00711925"/>
    <w:rsid w:val="00711E32"/>
    <w:rsid w:val="00712519"/>
    <w:rsid w:val="007126D8"/>
    <w:rsid w:val="00712B85"/>
    <w:rsid w:val="007136F0"/>
    <w:rsid w:val="007141D8"/>
    <w:rsid w:val="00714607"/>
    <w:rsid w:val="007148AB"/>
    <w:rsid w:val="0071492A"/>
    <w:rsid w:val="00714C20"/>
    <w:rsid w:val="00714CCE"/>
    <w:rsid w:val="007152DE"/>
    <w:rsid w:val="00715B95"/>
    <w:rsid w:val="007160CA"/>
    <w:rsid w:val="007161FA"/>
    <w:rsid w:val="007165BD"/>
    <w:rsid w:val="007169D9"/>
    <w:rsid w:val="00720834"/>
    <w:rsid w:val="0072103C"/>
    <w:rsid w:val="00721AAE"/>
    <w:rsid w:val="00721EDA"/>
    <w:rsid w:val="00721EEC"/>
    <w:rsid w:val="00721F47"/>
    <w:rsid w:val="007220EF"/>
    <w:rsid w:val="00722553"/>
    <w:rsid w:val="00724299"/>
    <w:rsid w:val="00724E75"/>
    <w:rsid w:val="00725238"/>
    <w:rsid w:val="00725DFA"/>
    <w:rsid w:val="00725E9E"/>
    <w:rsid w:val="007262EF"/>
    <w:rsid w:val="007266EE"/>
    <w:rsid w:val="00726B5C"/>
    <w:rsid w:val="007270D8"/>
    <w:rsid w:val="007303F3"/>
    <w:rsid w:val="007307E6"/>
    <w:rsid w:val="00730FB8"/>
    <w:rsid w:val="007311C4"/>
    <w:rsid w:val="0073204E"/>
    <w:rsid w:val="00732CB8"/>
    <w:rsid w:val="00732FC2"/>
    <w:rsid w:val="00733215"/>
    <w:rsid w:val="00734A3C"/>
    <w:rsid w:val="00734F14"/>
    <w:rsid w:val="00735547"/>
    <w:rsid w:val="00735A0D"/>
    <w:rsid w:val="0073636B"/>
    <w:rsid w:val="0073655A"/>
    <w:rsid w:val="00736888"/>
    <w:rsid w:val="00737E2E"/>
    <w:rsid w:val="007400F8"/>
    <w:rsid w:val="007402E6"/>
    <w:rsid w:val="007409C6"/>
    <w:rsid w:val="007423DC"/>
    <w:rsid w:val="0074349C"/>
    <w:rsid w:val="00743853"/>
    <w:rsid w:val="00743E50"/>
    <w:rsid w:val="0074468C"/>
    <w:rsid w:val="00745097"/>
    <w:rsid w:val="0074690C"/>
    <w:rsid w:val="00746B6E"/>
    <w:rsid w:val="00746CD8"/>
    <w:rsid w:val="0074723B"/>
    <w:rsid w:val="00747912"/>
    <w:rsid w:val="00747CFB"/>
    <w:rsid w:val="0075025D"/>
    <w:rsid w:val="007502A0"/>
    <w:rsid w:val="007502C9"/>
    <w:rsid w:val="00750B82"/>
    <w:rsid w:val="00750D70"/>
    <w:rsid w:val="0075157F"/>
    <w:rsid w:val="00751F0A"/>
    <w:rsid w:val="00752CC8"/>
    <w:rsid w:val="007542D0"/>
    <w:rsid w:val="0075486A"/>
    <w:rsid w:val="00755864"/>
    <w:rsid w:val="00755BEC"/>
    <w:rsid w:val="00757434"/>
    <w:rsid w:val="007578A1"/>
    <w:rsid w:val="00757F1D"/>
    <w:rsid w:val="007600F5"/>
    <w:rsid w:val="00760961"/>
    <w:rsid w:val="00760AE2"/>
    <w:rsid w:val="0076193F"/>
    <w:rsid w:val="00762A3D"/>
    <w:rsid w:val="00763CDD"/>
    <w:rsid w:val="00763DA3"/>
    <w:rsid w:val="00764895"/>
    <w:rsid w:val="007649B8"/>
    <w:rsid w:val="00765DD3"/>
    <w:rsid w:val="00765ED6"/>
    <w:rsid w:val="0076734A"/>
    <w:rsid w:val="00770265"/>
    <w:rsid w:val="00770336"/>
    <w:rsid w:val="00770452"/>
    <w:rsid w:val="00770492"/>
    <w:rsid w:val="0077119F"/>
    <w:rsid w:val="00771211"/>
    <w:rsid w:val="00771D10"/>
    <w:rsid w:val="0077279A"/>
    <w:rsid w:val="0077301C"/>
    <w:rsid w:val="00773130"/>
    <w:rsid w:val="0077323F"/>
    <w:rsid w:val="00774D2E"/>
    <w:rsid w:val="00774ECE"/>
    <w:rsid w:val="00774F6F"/>
    <w:rsid w:val="00775911"/>
    <w:rsid w:val="00775C27"/>
    <w:rsid w:val="00776432"/>
    <w:rsid w:val="0077644C"/>
    <w:rsid w:val="0077644E"/>
    <w:rsid w:val="00777177"/>
    <w:rsid w:val="00777232"/>
    <w:rsid w:val="0078003C"/>
    <w:rsid w:val="007800AB"/>
    <w:rsid w:val="00780584"/>
    <w:rsid w:val="007815E3"/>
    <w:rsid w:val="00781DF0"/>
    <w:rsid w:val="00781EC6"/>
    <w:rsid w:val="00782826"/>
    <w:rsid w:val="007836BA"/>
    <w:rsid w:val="00783A72"/>
    <w:rsid w:val="00783C8C"/>
    <w:rsid w:val="00784BF1"/>
    <w:rsid w:val="00784F85"/>
    <w:rsid w:val="007850CA"/>
    <w:rsid w:val="007856CC"/>
    <w:rsid w:val="007857AD"/>
    <w:rsid w:val="00785CD8"/>
    <w:rsid w:val="007865D5"/>
    <w:rsid w:val="007877FE"/>
    <w:rsid w:val="00790300"/>
    <w:rsid w:val="00790439"/>
    <w:rsid w:val="00790F9A"/>
    <w:rsid w:val="00791AA4"/>
    <w:rsid w:val="00791D45"/>
    <w:rsid w:val="007938E1"/>
    <w:rsid w:val="00793DC4"/>
    <w:rsid w:val="00794D1B"/>
    <w:rsid w:val="00794F88"/>
    <w:rsid w:val="0079516C"/>
    <w:rsid w:val="00795308"/>
    <w:rsid w:val="00795D82"/>
    <w:rsid w:val="00797CAC"/>
    <w:rsid w:val="007A0772"/>
    <w:rsid w:val="007A0897"/>
    <w:rsid w:val="007A19A7"/>
    <w:rsid w:val="007A20F5"/>
    <w:rsid w:val="007A243C"/>
    <w:rsid w:val="007A375D"/>
    <w:rsid w:val="007A3821"/>
    <w:rsid w:val="007A3B6B"/>
    <w:rsid w:val="007A44E0"/>
    <w:rsid w:val="007A4945"/>
    <w:rsid w:val="007A57B6"/>
    <w:rsid w:val="007A5FB1"/>
    <w:rsid w:val="007A639B"/>
    <w:rsid w:val="007A6E66"/>
    <w:rsid w:val="007A6FC9"/>
    <w:rsid w:val="007A7902"/>
    <w:rsid w:val="007A7D6F"/>
    <w:rsid w:val="007B04E3"/>
    <w:rsid w:val="007B06D7"/>
    <w:rsid w:val="007B0753"/>
    <w:rsid w:val="007B23AC"/>
    <w:rsid w:val="007B2597"/>
    <w:rsid w:val="007B3371"/>
    <w:rsid w:val="007B4C02"/>
    <w:rsid w:val="007B4F37"/>
    <w:rsid w:val="007B5183"/>
    <w:rsid w:val="007B55F7"/>
    <w:rsid w:val="007B577C"/>
    <w:rsid w:val="007B5985"/>
    <w:rsid w:val="007B6B8F"/>
    <w:rsid w:val="007C056D"/>
    <w:rsid w:val="007C0669"/>
    <w:rsid w:val="007C07BA"/>
    <w:rsid w:val="007C0A9C"/>
    <w:rsid w:val="007C1A42"/>
    <w:rsid w:val="007C1DE9"/>
    <w:rsid w:val="007C2663"/>
    <w:rsid w:val="007C2D02"/>
    <w:rsid w:val="007C2E3E"/>
    <w:rsid w:val="007C2FE3"/>
    <w:rsid w:val="007C3C82"/>
    <w:rsid w:val="007C3D4C"/>
    <w:rsid w:val="007C3FEC"/>
    <w:rsid w:val="007C46E3"/>
    <w:rsid w:val="007C48BD"/>
    <w:rsid w:val="007C56FB"/>
    <w:rsid w:val="007C598D"/>
    <w:rsid w:val="007C652C"/>
    <w:rsid w:val="007C6859"/>
    <w:rsid w:val="007C73F7"/>
    <w:rsid w:val="007D00BE"/>
    <w:rsid w:val="007D05CF"/>
    <w:rsid w:val="007D0A55"/>
    <w:rsid w:val="007D0FBC"/>
    <w:rsid w:val="007D1564"/>
    <w:rsid w:val="007D212B"/>
    <w:rsid w:val="007D292D"/>
    <w:rsid w:val="007D2CCD"/>
    <w:rsid w:val="007D2E04"/>
    <w:rsid w:val="007D3480"/>
    <w:rsid w:val="007D35A7"/>
    <w:rsid w:val="007D3711"/>
    <w:rsid w:val="007D3D7A"/>
    <w:rsid w:val="007D3E66"/>
    <w:rsid w:val="007D4EC7"/>
    <w:rsid w:val="007D64AA"/>
    <w:rsid w:val="007D7173"/>
    <w:rsid w:val="007E0245"/>
    <w:rsid w:val="007E1958"/>
    <w:rsid w:val="007E1BC5"/>
    <w:rsid w:val="007E2323"/>
    <w:rsid w:val="007E264E"/>
    <w:rsid w:val="007E3126"/>
    <w:rsid w:val="007E34D6"/>
    <w:rsid w:val="007E39F4"/>
    <w:rsid w:val="007E3A49"/>
    <w:rsid w:val="007E3A9C"/>
    <w:rsid w:val="007E540D"/>
    <w:rsid w:val="007E5449"/>
    <w:rsid w:val="007E6BA1"/>
    <w:rsid w:val="007E74BA"/>
    <w:rsid w:val="007E7B17"/>
    <w:rsid w:val="007F014E"/>
    <w:rsid w:val="007F0369"/>
    <w:rsid w:val="007F0938"/>
    <w:rsid w:val="007F13D6"/>
    <w:rsid w:val="007F17BF"/>
    <w:rsid w:val="007F24BB"/>
    <w:rsid w:val="007F28C0"/>
    <w:rsid w:val="007F3E96"/>
    <w:rsid w:val="007F5040"/>
    <w:rsid w:val="007F5A9F"/>
    <w:rsid w:val="007F5AEF"/>
    <w:rsid w:val="007F64B4"/>
    <w:rsid w:val="007F7A02"/>
    <w:rsid w:val="00800BF6"/>
    <w:rsid w:val="00800F52"/>
    <w:rsid w:val="008016F0"/>
    <w:rsid w:val="00801CFE"/>
    <w:rsid w:val="00802544"/>
    <w:rsid w:val="008027B4"/>
    <w:rsid w:val="00802F6D"/>
    <w:rsid w:val="0080313C"/>
    <w:rsid w:val="0080325B"/>
    <w:rsid w:val="008035F5"/>
    <w:rsid w:val="00803F39"/>
    <w:rsid w:val="0080405F"/>
    <w:rsid w:val="008043FF"/>
    <w:rsid w:val="00804E2C"/>
    <w:rsid w:val="00804F9B"/>
    <w:rsid w:val="008061D5"/>
    <w:rsid w:val="008125CA"/>
    <w:rsid w:val="00812C2E"/>
    <w:rsid w:val="00812C61"/>
    <w:rsid w:val="00812E29"/>
    <w:rsid w:val="00813208"/>
    <w:rsid w:val="00813BE7"/>
    <w:rsid w:val="0081418B"/>
    <w:rsid w:val="0081425B"/>
    <w:rsid w:val="008146CC"/>
    <w:rsid w:val="00814A9D"/>
    <w:rsid w:val="008153B5"/>
    <w:rsid w:val="0081598B"/>
    <w:rsid w:val="00815F6F"/>
    <w:rsid w:val="008161F8"/>
    <w:rsid w:val="00816956"/>
    <w:rsid w:val="00816975"/>
    <w:rsid w:val="008177D4"/>
    <w:rsid w:val="008201EE"/>
    <w:rsid w:val="00820200"/>
    <w:rsid w:val="008209DC"/>
    <w:rsid w:val="00820F4E"/>
    <w:rsid w:val="00821E07"/>
    <w:rsid w:val="0082205F"/>
    <w:rsid w:val="00822B7B"/>
    <w:rsid w:val="008246AD"/>
    <w:rsid w:val="0082478C"/>
    <w:rsid w:val="00825B54"/>
    <w:rsid w:val="00826AF8"/>
    <w:rsid w:val="00826D3B"/>
    <w:rsid w:val="00827C7F"/>
    <w:rsid w:val="008304F2"/>
    <w:rsid w:val="008309D9"/>
    <w:rsid w:val="0083134A"/>
    <w:rsid w:val="0083223A"/>
    <w:rsid w:val="00833F0A"/>
    <w:rsid w:val="0083502E"/>
    <w:rsid w:val="00835D38"/>
    <w:rsid w:val="0083645D"/>
    <w:rsid w:val="00836E56"/>
    <w:rsid w:val="00836F61"/>
    <w:rsid w:val="00837275"/>
    <w:rsid w:val="00840C47"/>
    <w:rsid w:val="00840C4C"/>
    <w:rsid w:val="00840EC8"/>
    <w:rsid w:val="00841612"/>
    <w:rsid w:val="00843F9B"/>
    <w:rsid w:val="0084406E"/>
    <w:rsid w:val="00844F00"/>
    <w:rsid w:val="00845525"/>
    <w:rsid w:val="0084593C"/>
    <w:rsid w:val="00846856"/>
    <w:rsid w:val="00850222"/>
    <w:rsid w:val="00850815"/>
    <w:rsid w:val="008511C0"/>
    <w:rsid w:val="00851C01"/>
    <w:rsid w:val="00851F38"/>
    <w:rsid w:val="008526E2"/>
    <w:rsid w:val="00853CEB"/>
    <w:rsid w:val="00853F56"/>
    <w:rsid w:val="00854E72"/>
    <w:rsid w:val="008551FB"/>
    <w:rsid w:val="00855267"/>
    <w:rsid w:val="008554B8"/>
    <w:rsid w:val="00855CB7"/>
    <w:rsid w:val="00855FC3"/>
    <w:rsid w:val="00857750"/>
    <w:rsid w:val="00861035"/>
    <w:rsid w:val="00861C24"/>
    <w:rsid w:val="0086204C"/>
    <w:rsid w:val="00862207"/>
    <w:rsid w:val="00863045"/>
    <w:rsid w:val="0086306A"/>
    <w:rsid w:val="008633C4"/>
    <w:rsid w:val="00863677"/>
    <w:rsid w:val="00863951"/>
    <w:rsid w:val="00864039"/>
    <w:rsid w:val="00864284"/>
    <w:rsid w:val="008650B9"/>
    <w:rsid w:val="00865804"/>
    <w:rsid w:val="008659AE"/>
    <w:rsid w:val="00866179"/>
    <w:rsid w:val="00866767"/>
    <w:rsid w:val="00866C33"/>
    <w:rsid w:val="00866D56"/>
    <w:rsid w:val="008672F3"/>
    <w:rsid w:val="00867D85"/>
    <w:rsid w:val="00870427"/>
    <w:rsid w:val="0087051E"/>
    <w:rsid w:val="00871478"/>
    <w:rsid w:val="00873383"/>
    <w:rsid w:val="0087348A"/>
    <w:rsid w:val="00873C9B"/>
    <w:rsid w:val="00874293"/>
    <w:rsid w:val="00874AF0"/>
    <w:rsid w:val="008759E1"/>
    <w:rsid w:val="00875D9E"/>
    <w:rsid w:val="00876696"/>
    <w:rsid w:val="00876D3C"/>
    <w:rsid w:val="00876FA9"/>
    <w:rsid w:val="008805DD"/>
    <w:rsid w:val="0088169D"/>
    <w:rsid w:val="008822D2"/>
    <w:rsid w:val="008834EE"/>
    <w:rsid w:val="008835B0"/>
    <w:rsid w:val="00883709"/>
    <w:rsid w:val="008839E8"/>
    <w:rsid w:val="00883FCF"/>
    <w:rsid w:val="0088491C"/>
    <w:rsid w:val="00884BF1"/>
    <w:rsid w:val="00884DC6"/>
    <w:rsid w:val="008851AE"/>
    <w:rsid w:val="00885281"/>
    <w:rsid w:val="00885374"/>
    <w:rsid w:val="00885635"/>
    <w:rsid w:val="00885A59"/>
    <w:rsid w:val="0088612B"/>
    <w:rsid w:val="008866E9"/>
    <w:rsid w:val="00887523"/>
    <w:rsid w:val="008876A4"/>
    <w:rsid w:val="00887742"/>
    <w:rsid w:val="00887932"/>
    <w:rsid w:val="00887EA6"/>
    <w:rsid w:val="0089141D"/>
    <w:rsid w:val="00891C47"/>
    <w:rsid w:val="00891E6B"/>
    <w:rsid w:val="008924E8"/>
    <w:rsid w:val="00892574"/>
    <w:rsid w:val="008925E8"/>
    <w:rsid w:val="00892F8A"/>
    <w:rsid w:val="00893166"/>
    <w:rsid w:val="00894013"/>
    <w:rsid w:val="008942BA"/>
    <w:rsid w:val="00894D8B"/>
    <w:rsid w:val="0089505C"/>
    <w:rsid w:val="008952A8"/>
    <w:rsid w:val="008975AB"/>
    <w:rsid w:val="008A013B"/>
    <w:rsid w:val="008A04FC"/>
    <w:rsid w:val="008A1AC9"/>
    <w:rsid w:val="008A220D"/>
    <w:rsid w:val="008A2774"/>
    <w:rsid w:val="008A2CF7"/>
    <w:rsid w:val="008A3089"/>
    <w:rsid w:val="008A3625"/>
    <w:rsid w:val="008A3811"/>
    <w:rsid w:val="008A4DC6"/>
    <w:rsid w:val="008A518C"/>
    <w:rsid w:val="008A58B3"/>
    <w:rsid w:val="008A6678"/>
    <w:rsid w:val="008A70DD"/>
    <w:rsid w:val="008B18B2"/>
    <w:rsid w:val="008B1D55"/>
    <w:rsid w:val="008B2877"/>
    <w:rsid w:val="008B2C1D"/>
    <w:rsid w:val="008B422E"/>
    <w:rsid w:val="008B4E26"/>
    <w:rsid w:val="008B5057"/>
    <w:rsid w:val="008B5319"/>
    <w:rsid w:val="008B556A"/>
    <w:rsid w:val="008B58E5"/>
    <w:rsid w:val="008B5B31"/>
    <w:rsid w:val="008B5F74"/>
    <w:rsid w:val="008B66A7"/>
    <w:rsid w:val="008B6863"/>
    <w:rsid w:val="008B6AF0"/>
    <w:rsid w:val="008B6F65"/>
    <w:rsid w:val="008B778A"/>
    <w:rsid w:val="008B7C57"/>
    <w:rsid w:val="008B7F52"/>
    <w:rsid w:val="008C0281"/>
    <w:rsid w:val="008C0289"/>
    <w:rsid w:val="008C1679"/>
    <w:rsid w:val="008C19FF"/>
    <w:rsid w:val="008C1AB8"/>
    <w:rsid w:val="008C2FB4"/>
    <w:rsid w:val="008C3A65"/>
    <w:rsid w:val="008C3ADC"/>
    <w:rsid w:val="008C3D93"/>
    <w:rsid w:val="008C46A4"/>
    <w:rsid w:val="008C56A7"/>
    <w:rsid w:val="008C7A93"/>
    <w:rsid w:val="008D0ED5"/>
    <w:rsid w:val="008D0F56"/>
    <w:rsid w:val="008D2B24"/>
    <w:rsid w:val="008D2CF3"/>
    <w:rsid w:val="008D39F3"/>
    <w:rsid w:val="008D44B8"/>
    <w:rsid w:val="008D4797"/>
    <w:rsid w:val="008D4DE0"/>
    <w:rsid w:val="008D5393"/>
    <w:rsid w:val="008D54A1"/>
    <w:rsid w:val="008D5591"/>
    <w:rsid w:val="008D5C09"/>
    <w:rsid w:val="008D5D37"/>
    <w:rsid w:val="008D5F32"/>
    <w:rsid w:val="008D64D2"/>
    <w:rsid w:val="008D68A0"/>
    <w:rsid w:val="008D6AD0"/>
    <w:rsid w:val="008D6D90"/>
    <w:rsid w:val="008D70C3"/>
    <w:rsid w:val="008D70CA"/>
    <w:rsid w:val="008E10B7"/>
    <w:rsid w:val="008E1425"/>
    <w:rsid w:val="008E2341"/>
    <w:rsid w:val="008E355F"/>
    <w:rsid w:val="008E3EF9"/>
    <w:rsid w:val="008E40F7"/>
    <w:rsid w:val="008E5505"/>
    <w:rsid w:val="008E6F5D"/>
    <w:rsid w:val="008F0919"/>
    <w:rsid w:val="008F131A"/>
    <w:rsid w:val="008F157C"/>
    <w:rsid w:val="008F15C1"/>
    <w:rsid w:val="008F2690"/>
    <w:rsid w:val="008F2AB8"/>
    <w:rsid w:val="008F3021"/>
    <w:rsid w:val="008F33D7"/>
    <w:rsid w:val="008F3E87"/>
    <w:rsid w:val="008F45B8"/>
    <w:rsid w:val="008F4DA1"/>
    <w:rsid w:val="008F53A1"/>
    <w:rsid w:val="008F5478"/>
    <w:rsid w:val="008F6AC5"/>
    <w:rsid w:val="008F6B37"/>
    <w:rsid w:val="008F75CF"/>
    <w:rsid w:val="008F7FBD"/>
    <w:rsid w:val="00901332"/>
    <w:rsid w:val="0090166A"/>
    <w:rsid w:val="009017EB"/>
    <w:rsid w:val="009018EE"/>
    <w:rsid w:val="00903675"/>
    <w:rsid w:val="009038FF"/>
    <w:rsid w:val="00903B84"/>
    <w:rsid w:val="00903C2D"/>
    <w:rsid w:val="00904004"/>
    <w:rsid w:val="00905D4B"/>
    <w:rsid w:val="00905E65"/>
    <w:rsid w:val="00906589"/>
    <w:rsid w:val="009069D7"/>
    <w:rsid w:val="00906BEF"/>
    <w:rsid w:val="0090794C"/>
    <w:rsid w:val="00907C0A"/>
    <w:rsid w:val="00907E54"/>
    <w:rsid w:val="0091043F"/>
    <w:rsid w:val="009115DC"/>
    <w:rsid w:val="00911767"/>
    <w:rsid w:val="00911B36"/>
    <w:rsid w:val="00911C29"/>
    <w:rsid w:val="00911DC4"/>
    <w:rsid w:val="00912315"/>
    <w:rsid w:val="00912BD0"/>
    <w:rsid w:val="00912F82"/>
    <w:rsid w:val="00914133"/>
    <w:rsid w:val="0091432D"/>
    <w:rsid w:val="009143A6"/>
    <w:rsid w:val="00914CF2"/>
    <w:rsid w:val="00914E21"/>
    <w:rsid w:val="009150B9"/>
    <w:rsid w:val="0091551D"/>
    <w:rsid w:val="0091589E"/>
    <w:rsid w:val="00915C56"/>
    <w:rsid w:val="00915C99"/>
    <w:rsid w:val="0091710A"/>
    <w:rsid w:val="009176DB"/>
    <w:rsid w:val="009201D7"/>
    <w:rsid w:val="0092062C"/>
    <w:rsid w:val="00921C19"/>
    <w:rsid w:val="00921DEF"/>
    <w:rsid w:val="0092266A"/>
    <w:rsid w:val="009230FB"/>
    <w:rsid w:val="009234E0"/>
    <w:rsid w:val="00924117"/>
    <w:rsid w:val="00924680"/>
    <w:rsid w:val="009248DA"/>
    <w:rsid w:val="00925579"/>
    <w:rsid w:val="009257B4"/>
    <w:rsid w:val="00925B69"/>
    <w:rsid w:val="00925BE3"/>
    <w:rsid w:val="00925FE7"/>
    <w:rsid w:val="009272F8"/>
    <w:rsid w:val="00927B02"/>
    <w:rsid w:val="00930A0E"/>
    <w:rsid w:val="009315DF"/>
    <w:rsid w:val="00932211"/>
    <w:rsid w:val="0093340A"/>
    <w:rsid w:val="00933DE6"/>
    <w:rsid w:val="0093587B"/>
    <w:rsid w:val="00935A30"/>
    <w:rsid w:val="00935D3E"/>
    <w:rsid w:val="00936588"/>
    <w:rsid w:val="00936A1F"/>
    <w:rsid w:val="00936CF0"/>
    <w:rsid w:val="009374C0"/>
    <w:rsid w:val="00937816"/>
    <w:rsid w:val="00937CCD"/>
    <w:rsid w:val="00940018"/>
    <w:rsid w:val="0094081A"/>
    <w:rsid w:val="0094151C"/>
    <w:rsid w:val="00941ED5"/>
    <w:rsid w:val="00941FBC"/>
    <w:rsid w:val="00942D50"/>
    <w:rsid w:val="00943ACF"/>
    <w:rsid w:val="00944DA4"/>
    <w:rsid w:val="00944EE0"/>
    <w:rsid w:val="00944FA2"/>
    <w:rsid w:val="0094504B"/>
    <w:rsid w:val="009453F8"/>
    <w:rsid w:val="009465B7"/>
    <w:rsid w:val="00946DEE"/>
    <w:rsid w:val="0094718E"/>
    <w:rsid w:val="009473B0"/>
    <w:rsid w:val="009473BA"/>
    <w:rsid w:val="00947736"/>
    <w:rsid w:val="009478EE"/>
    <w:rsid w:val="00947D93"/>
    <w:rsid w:val="00947F56"/>
    <w:rsid w:val="00950223"/>
    <w:rsid w:val="009509CC"/>
    <w:rsid w:val="00950AD2"/>
    <w:rsid w:val="0095197E"/>
    <w:rsid w:val="00951AE2"/>
    <w:rsid w:val="00951C78"/>
    <w:rsid w:val="00952008"/>
    <w:rsid w:val="0095225A"/>
    <w:rsid w:val="009525FC"/>
    <w:rsid w:val="009526DD"/>
    <w:rsid w:val="00953150"/>
    <w:rsid w:val="00954AE1"/>
    <w:rsid w:val="0095510F"/>
    <w:rsid w:val="00955195"/>
    <w:rsid w:val="00955973"/>
    <w:rsid w:val="00955C64"/>
    <w:rsid w:val="00955FDF"/>
    <w:rsid w:val="00956AD0"/>
    <w:rsid w:val="009571C6"/>
    <w:rsid w:val="00957481"/>
    <w:rsid w:val="00962246"/>
    <w:rsid w:val="00962E20"/>
    <w:rsid w:val="00962F62"/>
    <w:rsid w:val="0096334B"/>
    <w:rsid w:val="00964616"/>
    <w:rsid w:val="009652D8"/>
    <w:rsid w:val="0096557D"/>
    <w:rsid w:val="0096565C"/>
    <w:rsid w:val="009656ED"/>
    <w:rsid w:val="00965A0D"/>
    <w:rsid w:val="00966B12"/>
    <w:rsid w:val="00966F34"/>
    <w:rsid w:val="00966F8F"/>
    <w:rsid w:val="00967F97"/>
    <w:rsid w:val="009704E5"/>
    <w:rsid w:val="00970938"/>
    <w:rsid w:val="00971A3E"/>
    <w:rsid w:val="00972031"/>
    <w:rsid w:val="00972257"/>
    <w:rsid w:val="0097291D"/>
    <w:rsid w:val="009729AA"/>
    <w:rsid w:val="00972B63"/>
    <w:rsid w:val="00973559"/>
    <w:rsid w:val="00974966"/>
    <w:rsid w:val="009756E5"/>
    <w:rsid w:val="009757AD"/>
    <w:rsid w:val="0097601B"/>
    <w:rsid w:val="00976604"/>
    <w:rsid w:val="009766AE"/>
    <w:rsid w:val="00976927"/>
    <w:rsid w:val="00976EB2"/>
    <w:rsid w:val="0097715E"/>
    <w:rsid w:val="00977FD1"/>
    <w:rsid w:val="00981788"/>
    <w:rsid w:val="00981945"/>
    <w:rsid w:val="00982769"/>
    <w:rsid w:val="009828D4"/>
    <w:rsid w:val="00983246"/>
    <w:rsid w:val="00983335"/>
    <w:rsid w:val="00983EEE"/>
    <w:rsid w:val="00984429"/>
    <w:rsid w:val="00984F7A"/>
    <w:rsid w:val="0098550A"/>
    <w:rsid w:val="00985AD1"/>
    <w:rsid w:val="00985B7F"/>
    <w:rsid w:val="00986A21"/>
    <w:rsid w:val="00986CD4"/>
    <w:rsid w:val="00987D60"/>
    <w:rsid w:val="00987DFA"/>
    <w:rsid w:val="009902CA"/>
    <w:rsid w:val="00990F0E"/>
    <w:rsid w:val="00991148"/>
    <w:rsid w:val="00991232"/>
    <w:rsid w:val="00991785"/>
    <w:rsid w:val="00992F0F"/>
    <w:rsid w:val="00993053"/>
    <w:rsid w:val="009932CC"/>
    <w:rsid w:val="009935B0"/>
    <w:rsid w:val="00994157"/>
    <w:rsid w:val="00994508"/>
    <w:rsid w:val="0099487F"/>
    <w:rsid w:val="00994F75"/>
    <w:rsid w:val="00995CCB"/>
    <w:rsid w:val="00995CE0"/>
    <w:rsid w:val="00995CE9"/>
    <w:rsid w:val="00996107"/>
    <w:rsid w:val="0099695B"/>
    <w:rsid w:val="00997358"/>
    <w:rsid w:val="0099746D"/>
    <w:rsid w:val="009A0156"/>
    <w:rsid w:val="009A0268"/>
    <w:rsid w:val="009A1771"/>
    <w:rsid w:val="009A2D40"/>
    <w:rsid w:val="009A31C7"/>
    <w:rsid w:val="009A31F5"/>
    <w:rsid w:val="009A351C"/>
    <w:rsid w:val="009A397D"/>
    <w:rsid w:val="009A45FB"/>
    <w:rsid w:val="009A4B15"/>
    <w:rsid w:val="009A4C51"/>
    <w:rsid w:val="009A537A"/>
    <w:rsid w:val="009A53F0"/>
    <w:rsid w:val="009A5680"/>
    <w:rsid w:val="009A59CC"/>
    <w:rsid w:val="009A6F83"/>
    <w:rsid w:val="009A7172"/>
    <w:rsid w:val="009A7446"/>
    <w:rsid w:val="009A75F1"/>
    <w:rsid w:val="009A76F7"/>
    <w:rsid w:val="009A7B63"/>
    <w:rsid w:val="009B0B71"/>
    <w:rsid w:val="009B194B"/>
    <w:rsid w:val="009B1B02"/>
    <w:rsid w:val="009B1F95"/>
    <w:rsid w:val="009B2439"/>
    <w:rsid w:val="009B263F"/>
    <w:rsid w:val="009B267D"/>
    <w:rsid w:val="009B2FD2"/>
    <w:rsid w:val="009B3407"/>
    <w:rsid w:val="009B3F25"/>
    <w:rsid w:val="009B4122"/>
    <w:rsid w:val="009B471F"/>
    <w:rsid w:val="009B4C37"/>
    <w:rsid w:val="009B4E09"/>
    <w:rsid w:val="009B719B"/>
    <w:rsid w:val="009B77AB"/>
    <w:rsid w:val="009C01A4"/>
    <w:rsid w:val="009C0AC7"/>
    <w:rsid w:val="009C14C5"/>
    <w:rsid w:val="009C189C"/>
    <w:rsid w:val="009C1C9E"/>
    <w:rsid w:val="009C1DC8"/>
    <w:rsid w:val="009C1F02"/>
    <w:rsid w:val="009C202A"/>
    <w:rsid w:val="009C2ADF"/>
    <w:rsid w:val="009C3198"/>
    <w:rsid w:val="009C31C5"/>
    <w:rsid w:val="009C37C4"/>
    <w:rsid w:val="009C3EAD"/>
    <w:rsid w:val="009C440F"/>
    <w:rsid w:val="009C4FD2"/>
    <w:rsid w:val="009C5101"/>
    <w:rsid w:val="009C563F"/>
    <w:rsid w:val="009C616D"/>
    <w:rsid w:val="009C6690"/>
    <w:rsid w:val="009C670C"/>
    <w:rsid w:val="009C69E8"/>
    <w:rsid w:val="009C6A6A"/>
    <w:rsid w:val="009C6A87"/>
    <w:rsid w:val="009C7DE4"/>
    <w:rsid w:val="009D02E8"/>
    <w:rsid w:val="009D0FC6"/>
    <w:rsid w:val="009D154C"/>
    <w:rsid w:val="009D187C"/>
    <w:rsid w:val="009D2696"/>
    <w:rsid w:val="009D2AC4"/>
    <w:rsid w:val="009D3551"/>
    <w:rsid w:val="009D4610"/>
    <w:rsid w:val="009D4E15"/>
    <w:rsid w:val="009D525E"/>
    <w:rsid w:val="009D5C05"/>
    <w:rsid w:val="009D78B1"/>
    <w:rsid w:val="009E0083"/>
    <w:rsid w:val="009E0A65"/>
    <w:rsid w:val="009E0AF7"/>
    <w:rsid w:val="009E157F"/>
    <w:rsid w:val="009E1715"/>
    <w:rsid w:val="009E1C68"/>
    <w:rsid w:val="009E4529"/>
    <w:rsid w:val="009E472A"/>
    <w:rsid w:val="009E501B"/>
    <w:rsid w:val="009E57C3"/>
    <w:rsid w:val="009E58A0"/>
    <w:rsid w:val="009E58F5"/>
    <w:rsid w:val="009E59B2"/>
    <w:rsid w:val="009E6D86"/>
    <w:rsid w:val="009E6D99"/>
    <w:rsid w:val="009E70F5"/>
    <w:rsid w:val="009E7779"/>
    <w:rsid w:val="009F063F"/>
    <w:rsid w:val="009F0840"/>
    <w:rsid w:val="009F0DDA"/>
    <w:rsid w:val="009F1E59"/>
    <w:rsid w:val="009F2B91"/>
    <w:rsid w:val="009F33B7"/>
    <w:rsid w:val="009F3C03"/>
    <w:rsid w:val="009F3EAC"/>
    <w:rsid w:val="009F4773"/>
    <w:rsid w:val="009F4C70"/>
    <w:rsid w:val="009F552F"/>
    <w:rsid w:val="009F55EC"/>
    <w:rsid w:val="009F5C66"/>
    <w:rsid w:val="009F68C5"/>
    <w:rsid w:val="009F76C5"/>
    <w:rsid w:val="009F7E3E"/>
    <w:rsid w:val="00A0033F"/>
    <w:rsid w:val="00A00460"/>
    <w:rsid w:val="00A02501"/>
    <w:rsid w:val="00A0283F"/>
    <w:rsid w:val="00A02889"/>
    <w:rsid w:val="00A031B3"/>
    <w:rsid w:val="00A044D7"/>
    <w:rsid w:val="00A0453E"/>
    <w:rsid w:val="00A0497D"/>
    <w:rsid w:val="00A04BB6"/>
    <w:rsid w:val="00A04CEB"/>
    <w:rsid w:val="00A05B1A"/>
    <w:rsid w:val="00A064A8"/>
    <w:rsid w:val="00A06A7B"/>
    <w:rsid w:val="00A06F72"/>
    <w:rsid w:val="00A07CCD"/>
    <w:rsid w:val="00A1040E"/>
    <w:rsid w:val="00A10A1C"/>
    <w:rsid w:val="00A10F44"/>
    <w:rsid w:val="00A111D3"/>
    <w:rsid w:val="00A11CFD"/>
    <w:rsid w:val="00A11E15"/>
    <w:rsid w:val="00A13006"/>
    <w:rsid w:val="00A13072"/>
    <w:rsid w:val="00A1461E"/>
    <w:rsid w:val="00A15DF1"/>
    <w:rsid w:val="00A16246"/>
    <w:rsid w:val="00A16873"/>
    <w:rsid w:val="00A1713D"/>
    <w:rsid w:val="00A203AC"/>
    <w:rsid w:val="00A204FA"/>
    <w:rsid w:val="00A20D92"/>
    <w:rsid w:val="00A20DBE"/>
    <w:rsid w:val="00A2183C"/>
    <w:rsid w:val="00A2309B"/>
    <w:rsid w:val="00A23331"/>
    <w:rsid w:val="00A236B0"/>
    <w:rsid w:val="00A23AFD"/>
    <w:rsid w:val="00A25AB1"/>
    <w:rsid w:val="00A25D5F"/>
    <w:rsid w:val="00A25DC0"/>
    <w:rsid w:val="00A26166"/>
    <w:rsid w:val="00A26294"/>
    <w:rsid w:val="00A26A92"/>
    <w:rsid w:val="00A279ED"/>
    <w:rsid w:val="00A316BB"/>
    <w:rsid w:val="00A31E51"/>
    <w:rsid w:val="00A32114"/>
    <w:rsid w:val="00A3214F"/>
    <w:rsid w:val="00A3230D"/>
    <w:rsid w:val="00A32849"/>
    <w:rsid w:val="00A32BEC"/>
    <w:rsid w:val="00A34282"/>
    <w:rsid w:val="00A35913"/>
    <w:rsid w:val="00A3776F"/>
    <w:rsid w:val="00A37A8A"/>
    <w:rsid w:val="00A37F07"/>
    <w:rsid w:val="00A40473"/>
    <w:rsid w:val="00A410AE"/>
    <w:rsid w:val="00A41737"/>
    <w:rsid w:val="00A4222E"/>
    <w:rsid w:val="00A42882"/>
    <w:rsid w:val="00A42ECD"/>
    <w:rsid w:val="00A44027"/>
    <w:rsid w:val="00A442B9"/>
    <w:rsid w:val="00A4476D"/>
    <w:rsid w:val="00A45356"/>
    <w:rsid w:val="00A45934"/>
    <w:rsid w:val="00A45E3E"/>
    <w:rsid w:val="00A4688D"/>
    <w:rsid w:val="00A47031"/>
    <w:rsid w:val="00A47ACF"/>
    <w:rsid w:val="00A5002B"/>
    <w:rsid w:val="00A50F12"/>
    <w:rsid w:val="00A5285B"/>
    <w:rsid w:val="00A53687"/>
    <w:rsid w:val="00A546CC"/>
    <w:rsid w:val="00A54E2E"/>
    <w:rsid w:val="00A5558C"/>
    <w:rsid w:val="00A55AFB"/>
    <w:rsid w:val="00A55B99"/>
    <w:rsid w:val="00A56ABE"/>
    <w:rsid w:val="00A57654"/>
    <w:rsid w:val="00A60F76"/>
    <w:rsid w:val="00A61288"/>
    <w:rsid w:val="00A6242D"/>
    <w:rsid w:val="00A62458"/>
    <w:rsid w:val="00A6274C"/>
    <w:rsid w:val="00A62E4D"/>
    <w:rsid w:val="00A6337C"/>
    <w:rsid w:val="00A64E70"/>
    <w:rsid w:val="00A654BE"/>
    <w:rsid w:val="00A65AAE"/>
    <w:rsid w:val="00A66638"/>
    <w:rsid w:val="00A6741E"/>
    <w:rsid w:val="00A70291"/>
    <w:rsid w:val="00A70E83"/>
    <w:rsid w:val="00A71882"/>
    <w:rsid w:val="00A71E9D"/>
    <w:rsid w:val="00A721B2"/>
    <w:rsid w:val="00A726F3"/>
    <w:rsid w:val="00A735BC"/>
    <w:rsid w:val="00A73E74"/>
    <w:rsid w:val="00A7417C"/>
    <w:rsid w:val="00A743CB"/>
    <w:rsid w:val="00A74E78"/>
    <w:rsid w:val="00A75017"/>
    <w:rsid w:val="00A7536D"/>
    <w:rsid w:val="00A758BB"/>
    <w:rsid w:val="00A75A62"/>
    <w:rsid w:val="00A7712D"/>
    <w:rsid w:val="00A778F3"/>
    <w:rsid w:val="00A77D3D"/>
    <w:rsid w:val="00A810D0"/>
    <w:rsid w:val="00A82358"/>
    <w:rsid w:val="00A82579"/>
    <w:rsid w:val="00A83336"/>
    <w:rsid w:val="00A83CC6"/>
    <w:rsid w:val="00A85DBE"/>
    <w:rsid w:val="00A85EB0"/>
    <w:rsid w:val="00A86014"/>
    <w:rsid w:val="00A86285"/>
    <w:rsid w:val="00A86B97"/>
    <w:rsid w:val="00A877A1"/>
    <w:rsid w:val="00A9021B"/>
    <w:rsid w:val="00A9061B"/>
    <w:rsid w:val="00A914A2"/>
    <w:rsid w:val="00A91AEC"/>
    <w:rsid w:val="00A91C1F"/>
    <w:rsid w:val="00A92024"/>
    <w:rsid w:val="00A922A1"/>
    <w:rsid w:val="00A928CF"/>
    <w:rsid w:val="00A934B7"/>
    <w:rsid w:val="00A945B5"/>
    <w:rsid w:val="00A945F5"/>
    <w:rsid w:val="00A94B5F"/>
    <w:rsid w:val="00A95640"/>
    <w:rsid w:val="00A95E47"/>
    <w:rsid w:val="00A97391"/>
    <w:rsid w:val="00A9740F"/>
    <w:rsid w:val="00A97E1B"/>
    <w:rsid w:val="00AA012C"/>
    <w:rsid w:val="00AA2259"/>
    <w:rsid w:val="00AA37BB"/>
    <w:rsid w:val="00AA3B40"/>
    <w:rsid w:val="00AA3D99"/>
    <w:rsid w:val="00AA3E17"/>
    <w:rsid w:val="00AA58B2"/>
    <w:rsid w:val="00AA5BED"/>
    <w:rsid w:val="00AA5C99"/>
    <w:rsid w:val="00AA60EC"/>
    <w:rsid w:val="00AA610B"/>
    <w:rsid w:val="00AA6386"/>
    <w:rsid w:val="00AA6578"/>
    <w:rsid w:val="00AA6749"/>
    <w:rsid w:val="00AA7369"/>
    <w:rsid w:val="00AA7E91"/>
    <w:rsid w:val="00AB0325"/>
    <w:rsid w:val="00AB05F2"/>
    <w:rsid w:val="00AB0895"/>
    <w:rsid w:val="00AB10D3"/>
    <w:rsid w:val="00AB1180"/>
    <w:rsid w:val="00AB136A"/>
    <w:rsid w:val="00AB2802"/>
    <w:rsid w:val="00AB2B9B"/>
    <w:rsid w:val="00AB32BE"/>
    <w:rsid w:val="00AB3579"/>
    <w:rsid w:val="00AB3872"/>
    <w:rsid w:val="00AB3E90"/>
    <w:rsid w:val="00AB4183"/>
    <w:rsid w:val="00AB4AC1"/>
    <w:rsid w:val="00AB57A6"/>
    <w:rsid w:val="00AB5ADC"/>
    <w:rsid w:val="00AB5B41"/>
    <w:rsid w:val="00AB6334"/>
    <w:rsid w:val="00AB661A"/>
    <w:rsid w:val="00AB66A5"/>
    <w:rsid w:val="00AB78AD"/>
    <w:rsid w:val="00AC006E"/>
    <w:rsid w:val="00AC0128"/>
    <w:rsid w:val="00AC01BA"/>
    <w:rsid w:val="00AC0283"/>
    <w:rsid w:val="00AC0B4A"/>
    <w:rsid w:val="00AC130E"/>
    <w:rsid w:val="00AC1EC9"/>
    <w:rsid w:val="00AC209B"/>
    <w:rsid w:val="00AC2193"/>
    <w:rsid w:val="00AC2439"/>
    <w:rsid w:val="00AC28C8"/>
    <w:rsid w:val="00AC2C05"/>
    <w:rsid w:val="00AC2F61"/>
    <w:rsid w:val="00AC40D9"/>
    <w:rsid w:val="00AC4681"/>
    <w:rsid w:val="00AC496D"/>
    <w:rsid w:val="00AC4DC8"/>
    <w:rsid w:val="00AC4DFE"/>
    <w:rsid w:val="00AC502B"/>
    <w:rsid w:val="00AC512D"/>
    <w:rsid w:val="00AC52B7"/>
    <w:rsid w:val="00AC536C"/>
    <w:rsid w:val="00AC54E4"/>
    <w:rsid w:val="00AC5A3C"/>
    <w:rsid w:val="00AC6038"/>
    <w:rsid w:val="00AC71C4"/>
    <w:rsid w:val="00AC7BF0"/>
    <w:rsid w:val="00AC7EEE"/>
    <w:rsid w:val="00AD0DEB"/>
    <w:rsid w:val="00AD0F46"/>
    <w:rsid w:val="00AD158D"/>
    <w:rsid w:val="00AD1F7C"/>
    <w:rsid w:val="00AD2315"/>
    <w:rsid w:val="00AD3564"/>
    <w:rsid w:val="00AD3FD9"/>
    <w:rsid w:val="00AD4506"/>
    <w:rsid w:val="00AD5C1D"/>
    <w:rsid w:val="00AD5C6E"/>
    <w:rsid w:val="00AD6604"/>
    <w:rsid w:val="00AD7AB0"/>
    <w:rsid w:val="00AD7FAC"/>
    <w:rsid w:val="00AE0EC8"/>
    <w:rsid w:val="00AE18A6"/>
    <w:rsid w:val="00AE242B"/>
    <w:rsid w:val="00AE2C95"/>
    <w:rsid w:val="00AE3CB3"/>
    <w:rsid w:val="00AE4E44"/>
    <w:rsid w:val="00AE50DA"/>
    <w:rsid w:val="00AE6538"/>
    <w:rsid w:val="00AE6E4F"/>
    <w:rsid w:val="00AF062E"/>
    <w:rsid w:val="00AF0869"/>
    <w:rsid w:val="00AF13FA"/>
    <w:rsid w:val="00AF1561"/>
    <w:rsid w:val="00AF1FD3"/>
    <w:rsid w:val="00AF2BF6"/>
    <w:rsid w:val="00AF2F52"/>
    <w:rsid w:val="00AF31CD"/>
    <w:rsid w:val="00AF3441"/>
    <w:rsid w:val="00AF35AE"/>
    <w:rsid w:val="00AF3FC1"/>
    <w:rsid w:val="00AF4601"/>
    <w:rsid w:val="00AF47EB"/>
    <w:rsid w:val="00AF4E58"/>
    <w:rsid w:val="00AF706D"/>
    <w:rsid w:val="00B00F32"/>
    <w:rsid w:val="00B0134C"/>
    <w:rsid w:val="00B0158F"/>
    <w:rsid w:val="00B01D0F"/>
    <w:rsid w:val="00B02009"/>
    <w:rsid w:val="00B028FC"/>
    <w:rsid w:val="00B02B60"/>
    <w:rsid w:val="00B02BE8"/>
    <w:rsid w:val="00B03529"/>
    <w:rsid w:val="00B05A83"/>
    <w:rsid w:val="00B05CDB"/>
    <w:rsid w:val="00B05D94"/>
    <w:rsid w:val="00B05E1F"/>
    <w:rsid w:val="00B068AB"/>
    <w:rsid w:val="00B07342"/>
    <w:rsid w:val="00B07764"/>
    <w:rsid w:val="00B07F34"/>
    <w:rsid w:val="00B10367"/>
    <w:rsid w:val="00B10B94"/>
    <w:rsid w:val="00B112FB"/>
    <w:rsid w:val="00B1133E"/>
    <w:rsid w:val="00B11F3B"/>
    <w:rsid w:val="00B12AE1"/>
    <w:rsid w:val="00B1306A"/>
    <w:rsid w:val="00B13264"/>
    <w:rsid w:val="00B13C41"/>
    <w:rsid w:val="00B141DD"/>
    <w:rsid w:val="00B14795"/>
    <w:rsid w:val="00B15916"/>
    <w:rsid w:val="00B15E59"/>
    <w:rsid w:val="00B16080"/>
    <w:rsid w:val="00B16537"/>
    <w:rsid w:val="00B16B89"/>
    <w:rsid w:val="00B17474"/>
    <w:rsid w:val="00B17B5B"/>
    <w:rsid w:val="00B17F2B"/>
    <w:rsid w:val="00B202F6"/>
    <w:rsid w:val="00B21C48"/>
    <w:rsid w:val="00B21C88"/>
    <w:rsid w:val="00B223BC"/>
    <w:rsid w:val="00B2265B"/>
    <w:rsid w:val="00B22A74"/>
    <w:rsid w:val="00B22AA2"/>
    <w:rsid w:val="00B23042"/>
    <w:rsid w:val="00B2352A"/>
    <w:rsid w:val="00B243EC"/>
    <w:rsid w:val="00B24523"/>
    <w:rsid w:val="00B24FBD"/>
    <w:rsid w:val="00B25DC3"/>
    <w:rsid w:val="00B26319"/>
    <w:rsid w:val="00B26415"/>
    <w:rsid w:val="00B2646A"/>
    <w:rsid w:val="00B267ED"/>
    <w:rsid w:val="00B26949"/>
    <w:rsid w:val="00B26A3C"/>
    <w:rsid w:val="00B2717F"/>
    <w:rsid w:val="00B27F2F"/>
    <w:rsid w:val="00B307A4"/>
    <w:rsid w:val="00B30F3A"/>
    <w:rsid w:val="00B3128E"/>
    <w:rsid w:val="00B31696"/>
    <w:rsid w:val="00B32314"/>
    <w:rsid w:val="00B3238F"/>
    <w:rsid w:val="00B323A0"/>
    <w:rsid w:val="00B33E9B"/>
    <w:rsid w:val="00B347EE"/>
    <w:rsid w:val="00B34F72"/>
    <w:rsid w:val="00B35616"/>
    <w:rsid w:val="00B358E2"/>
    <w:rsid w:val="00B36930"/>
    <w:rsid w:val="00B36C69"/>
    <w:rsid w:val="00B3717A"/>
    <w:rsid w:val="00B37230"/>
    <w:rsid w:val="00B37FE0"/>
    <w:rsid w:val="00B413F8"/>
    <w:rsid w:val="00B417F4"/>
    <w:rsid w:val="00B41A84"/>
    <w:rsid w:val="00B429D9"/>
    <w:rsid w:val="00B4367F"/>
    <w:rsid w:val="00B43685"/>
    <w:rsid w:val="00B442BA"/>
    <w:rsid w:val="00B447CB"/>
    <w:rsid w:val="00B4490C"/>
    <w:rsid w:val="00B44C99"/>
    <w:rsid w:val="00B46D61"/>
    <w:rsid w:val="00B47716"/>
    <w:rsid w:val="00B477C7"/>
    <w:rsid w:val="00B4789A"/>
    <w:rsid w:val="00B47B7A"/>
    <w:rsid w:val="00B50881"/>
    <w:rsid w:val="00B50AEA"/>
    <w:rsid w:val="00B5101B"/>
    <w:rsid w:val="00B51ABA"/>
    <w:rsid w:val="00B52511"/>
    <w:rsid w:val="00B52AF3"/>
    <w:rsid w:val="00B53308"/>
    <w:rsid w:val="00B5390B"/>
    <w:rsid w:val="00B5412C"/>
    <w:rsid w:val="00B54A52"/>
    <w:rsid w:val="00B56515"/>
    <w:rsid w:val="00B565B5"/>
    <w:rsid w:val="00B5695E"/>
    <w:rsid w:val="00B574B7"/>
    <w:rsid w:val="00B57AFC"/>
    <w:rsid w:val="00B6041D"/>
    <w:rsid w:val="00B6137B"/>
    <w:rsid w:val="00B6173C"/>
    <w:rsid w:val="00B61903"/>
    <w:rsid w:val="00B620DF"/>
    <w:rsid w:val="00B6273E"/>
    <w:rsid w:val="00B62DE3"/>
    <w:rsid w:val="00B62F28"/>
    <w:rsid w:val="00B633E9"/>
    <w:rsid w:val="00B63F86"/>
    <w:rsid w:val="00B653E2"/>
    <w:rsid w:val="00B6586A"/>
    <w:rsid w:val="00B658A8"/>
    <w:rsid w:val="00B6632D"/>
    <w:rsid w:val="00B67BE7"/>
    <w:rsid w:val="00B702E7"/>
    <w:rsid w:val="00B704FD"/>
    <w:rsid w:val="00B706EC"/>
    <w:rsid w:val="00B70D71"/>
    <w:rsid w:val="00B714D7"/>
    <w:rsid w:val="00B719C1"/>
    <w:rsid w:val="00B71C5B"/>
    <w:rsid w:val="00B71E0E"/>
    <w:rsid w:val="00B725F2"/>
    <w:rsid w:val="00B72F0F"/>
    <w:rsid w:val="00B733CC"/>
    <w:rsid w:val="00B7385B"/>
    <w:rsid w:val="00B7389A"/>
    <w:rsid w:val="00B73EDF"/>
    <w:rsid w:val="00B7407A"/>
    <w:rsid w:val="00B7472A"/>
    <w:rsid w:val="00B749C4"/>
    <w:rsid w:val="00B750C3"/>
    <w:rsid w:val="00B75586"/>
    <w:rsid w:val="00B757F8"/>
    <w:rsid w:val="00B7722D"/>
    <w:rsid w:val="00B772D2"/>
    <w:rsid w:val="00B774F1"/>
    <w:rsid w:val="00B7773A"/>
    <w:rsid w:val="00B80360"/>
    <w:rsid w:val="00B805BA"/>
    <w:rsid w:val="00B81052"/>
    <w:rsid w:val="00B814BA"/>
    <w:rsid w:val="00B81613"/>
    <w:rsid w:val="00B81C30"/>
    <w:rsid w:val="00B81D70"/>
    <w:rsid w:val="00B82664"/>
    <w:rsid w:val="00B826E6"/>
    <w:rsid w:val="00B828C8"/>
    <w:rsid w:val="00B82BFB"/>
    <w:rsid w:val="00B82C9B"/>
    <w:rsid w:val="00B82EF5"/>
    <w:rsid w:val="00B83CA9"/>
    <w:rsid w:val="00B83F62"/>
    <w:rsid w:val="00B84115"/>
    <w:rsid w:val="00B8469E"/>
    <w:rsid w:val="00B84EC1"/>
    <w:rsid w:val="00B86AB5"/>
    <w:rsid w:val="00B879F9"/>
    <w:rsid w:val="00B90599"/>
    <w:rsid w:val="00B90F21"/>
    <w:rsid w:val="00B92035"/>
    <w:rsid w:val="00B9257B"/>
    <w:rsid w:val="00B92C22"/>
    <w:rsid w:val="00B92E54"/>
    <w:rsid w:val="00B934D3"/>
    <w:rsid w:val="00B93643"/>
    <w:rsid w:val="00B9490A"/>
    <w:rsid w:val="00B94CDB"/>
    <w:rsid w:val="00B94DE0"/>
    <w:rsid w:val="00B94E6F"/>
    <w:rsid w:val="00B955F8"/>
    <w:rsid w:val="00B95714"/>
    <w:rsid w:val="00B958E0"/>
    <w:rsid w:val="00B95ACF"/>
    <w:rsid w:val="00B9651B"/>
    <w:rsid w:val="00B9654C"/>
    <w:rsid w:val="00B97C8B"/>
    <w:rsid w:val="00BA0260"/>
    <w:rsid w:val="00BA06DF"/>
    <w:rsid w:val="00BA0987"/>
    <w:rsid w:val="00BA0AE0"/>
    <w:rsid w:val="00BA107A"/>
    <w:rsid w:val="00BA1E15"/>
    <w:rsid w:val="00BA1FAB"/>
    <w:rsid w:val="00BA22F8"/>
    <w:rsid w:val="00BA24E7"/>
    <w:rsid w:val="00BA2895"/>
    <w:rsid w:val="00BA295D"/>
    <w:rsid w:val="00BA2D62"/>
    <w:rsid w:val="00BA313F"/>
    <w:rsid w:val="00BA3275"/>
    <w:rsid w:val="00BA3292"/>
    <w:rsid w:val="00BA62CD"/>
    <w:rsid w:val="00BA63BA"/>
    <w:rsid w:val="00BA6445"/>
    <w:rsid w:val="00BA7708"/>
    <w:rsid w:val="00BA7D23"/>
    <w:rsid w:val="00BB01C1"/>
    <w:rsid w:val="00BB05B3"/>
    <w:rsid w:val="00BB1AC9"/>
    <w:rsid w:val="00BB2C62"/>
    <w:rsid w:val="00BB403A"/>
    <w:rsid w:val="00BB4199"/>
    <w:rsid w:val="00BB49E2"/>
    <w:rsid w:val="00BB5149"/>
    <w:rsid w:val="00BB5B39"/>
    <w:rsid w:val="00BB5CDC"/>
    <w:rsid w:val="00BB5D7E"/>
    <w:rsid w:val="00BB5ED9"/>
    <w:rsid w:val="00BB5FC2"/>
    <w:rsid w:val="00BB6129"/>
    <w:rsid w:val="00BB68D1"/>
    <w:rsid w:val="00BB78A6"/>
    <w:rsid w:val="00BB791A"/>
    <w:rsid w:val="00BC07BA"/>
    <w:rsid w:val="00BC0E24"/>
    <w:rsid w:val="00BC1707"/>
    <w:rsid w:val="00BC1F6C"/>
    <w:rsid w:val="00BC24DB"/>
    <w:rsid w:val="00BC2B0D"/>
    <w:rsid w:val="00BC3534"/>
    <w:rsid w:val="00BC35C1"/>
    <w:rsid w:val="00BC3764"/>
    <w:rsid w:val="00BC3B5A"/>
    <w:rsid w:val="00BC3CCC"/>
    <w:rsid w:val="00BC42F6"/>
    <w:rsid w:val="00BC4946"/>
    <w:rsid w:val="00BC6C6D"/>
    <w:rsid w:val="00BC6F7C"/>
    <w:rsid w:val="00BC708F"/>
    <w:rsid w:val="00BD0C3F"/>
    <w:rsid w:val="00BD0F1E"/>
    <w:rsid w:val="00BD0FC2"/>
    <w:rsid w:val="00BD1681"/>
    <w:rsid w:val="00BD279D"/>
    <w:rsid w:val="00BD27E1"/>
    <w:rsid w:val="00BD29B5"/>
    <w:rsid w:val="00BD31ED"/>
    <w:rsid w:val="00BD3770"/>
    <w:rsid w:val="00BD3BBC"/>
    <w:rsid w:val="00BD3DE5"/>
    <w:rsid w:val="00BD50D7"/>
    <w:rsid w:val="00BD79E9"/>
    <w:rsid w:val="00BD79FD"/>
    <w:rsid w:val="00BE02C3"/>
    <w:rsid w:val="00BE10DB"/>
    <w:rsid w:val="00BE1409"/>
    <w:rsid w:val="00BE1524"/>
    <w:rsid w:val="00BE1B37"/>
    <w:rsid w:val="00BE25BC"/>
    <w:rsid w:val="00BE329A"/>
    <w:rsid w:val="00BE3518"/>
    <w:rsid w:val="00BE3614"/>
    <w:rsid w:val="00BE3B2E"/>
    <w:rsid w:val="00BE3CA7"/>
    <w:rsid w:val="00BE4221"/>
    <w:rsid w:val="00BE48E4"/>
    <w:rsid w:val="00BE4A15"/>
    <w:rsid w:val="00BE4AD4"/>
    <w:rsid w:val="00BE54F0"/>
    <w:rsid w:val="00BE5504"/>
    <w:rsid w:val="00BE615A"/>
    <w:rsid w:val="00BE6D2B"/>
    <w:rsid w:val="00BF0914"/>
    <w:rsid w:val="00BF17DF"/>
    <w:rsid w:val="00BF1959"/>
    <w:rsid w:val="00BF1B7A"/>
    <w:rsid w:val="00BF1D48"/>
    <w:rsid w:val="00BF283F"/>
    <w:rsid w:val="00BF30AC"/>
    <w:rsid w:val="00BF3E47"/>
    <w:rsid w:val="00BF4863"/>
    <w:rsid w:val="00BF5AEA"/>
    <w:rsid w:val="00BF5B7F"/>
    <w:rsid w:val="00BF6978"/>
    <w:rsid w:val="00BF6A37"/>
    <w:rsid w:val="00BF6CD0"/>
    <w:rsid w:val="00BF7282"/>
    <w:rsid w:val="00BF740A"/>
    <w:rsid w:val="00BF7F36"/>
    <w:rsid w:val="00C005AC"/>
    <w:rsid w:val="00C006CB"/>
    <w:rsid w:val="00C00BCA"/>
    <w:rsid w:val="00C00DDB"/>
    <w:rsid w:val="00C01A23"/>
    <w:rsid w:val="00C01D23"/>
    <w:rsid w:val="00C01E4C"/>
    <w:rsid w:val="00C02529"/>
    <w:rsid w:val="00C02537"/>
    <w:rsid w:val="00C027C6"/>
    <w:rsid w:val="00C02919"/>
    <w:rsid w:val="00C02C86"/>
    <w:rsid w:val="00C0304A"/>
    <w:rsid w:val="00C0314D"/>
    <w:rsid w:val="00C03257"/>
    <w:rsid w:val="00C03F90"/>
    <w:rsid w:val="00C04F05"/>
    <w:rsid w:val="00C04F74"/>
    <w:rsid w:val="00C051B3"/>
    <w:rsid w:val="00C05602"/>
    <w:rsid w:val="00C068D2"/>
    <w:rsid w:val="00C06B48"/>
    <w:rsid w:val="00C07551"/>
    <w:rsid w:val="00C07DBC"/>
    <w:rsid w:val="00C07F58"/>
    <w:rsid w:val="00C10F18"/>
    <w:rsid w:val="00C12AB8"/>
    <w:rsid w:val="00C12D2E"/>
    <w:rsid w:val="00C12FA5"/>
    <w:rsid w:val="00C13005"/>
    <w:rsid w:val="00C13667"/>
    <w:rsid w:val="00C13E18"/>
    <w:rsid w:val="00C13E4B"/>
    <w:rsid w:val="00C14AF4"/>
    <w:rsid w:val="00C14C39"/>
    <w:rsid w:val="00C15212"/>
    <w:rsid w:val="00C15954"/>
    <w:rsid w:val="00C159FD"/>
    <w:rsid w:val="00C15A5C"/>
    <w:rsid w:val="00C15F07"/>
    <w:rsid w:val="00C1657B"/>
    <w:rsid w:val="00C16823"/>
    <w:rsid w:val="00C1686C"/>
    <w:rsid w:val="00C17052"/>
    <w:rsid w:val="00C2011A"/>
    <w:rsid w:val="00C20A59"/>
    <w:rsid w:val="00C210BC"/>
    <w:rsid w:val="00C211CA"/>
    <w:rsid w:val="00C21587"/>
    <w:rsid w:val="00C217AF"/>
    <w:rsid w:val="00C21ECB"/>
    <w:rsid w:val="00C21F52"/>
    <w:rsid w:val="00C221EB"/>
    <w:rsid w:val="00C222B4"/>
    <w:rsid w:val="00C2266B"/>
    <w:rsid w:val="00C235EA"/>
    <w:rsid w:val="00C2447D"/>
    <w:rsid w:val="00C2452E"/>
    <w:rsid w:val="00C24559"/>
    <w:rsid w:val="00C246E2"/>
    <w:rsid w:val="00C24A72"/>
    <w:rsid w:val="00C24E22"/>
    <w:rsid w:val="00C250ED"/>
    <w:rsid w:val="00C2520B"/>
    <w:rsid w:val="00C2521F"/>
    <w:rsid w:val="00C260AB"/>
    <w:rsid w:val="00C262B9"/>
    <w:rsid w:val="00C26A01"/>
    <w:rsid w:val="00C270EC"/>
    <w:rsid w:val="00C273B7"/>
    <w:rsid w:val="00C274A1"/>
    <w:rsid w:val="00C2786D"/>
    <w:rsid w:val="00C27B8F"/>
    <w:rsid w:val="00C27BB2"/>
    <w:rsid w:val="00C30641"/>
    <w:rsid w:val="00C3076D"/>
    <w:rsid w:val="00C308A2"/>
    <w:rsid w:val="00C30AB5"/>
    <w:rsid w:val="00C30B1E"/>
    <w:rsid w:val="00C30EE3"/>
    <w:rsid w:val="00C31141"/>
    <w:rsid w:val="00C3190C"/>
    <w:rsid w:val="00C3234F"/>
    <w:rsid w:val="00C32D63"/>
    <w:rsid w:val="00C33498"/>
    <w:rsid w:val="00C334D7"/>
    <w:rsid w:val="00C3371F"/>
    <w:rsid w:val="00C33DE6"/>
    <w:rsid w:val="00C34350"/>
    <w:rsid w:val="00C34666"/>
    <w:rsid w:val="00C35244"/>
    <w:rsid w:val="00C353C6"/>
    <w:rsid w:val="00C355BE"/>
    <w:rsid w:val="00C3594C"/>
    <w:rsid w:val="00C364ED"/>
    <w:rsid w:val="00C3655F"/>
    <w:rsid w:val="00C375B3"/>
    <w:rsid w:val="00C37C8C"/>
    <w:rsid w:val="00C37E8D"/>
    <w:rsid w:val="00C40E32"/>
    <w:rsid w:val="00C40E5E"/>
    <w:rsid w:val="00C4105F"/>
    <w:rsid w:val="00C41107"/>
    <w:rsid w:val="00C417BC"/>
    <w:rsid w:val="00C41E55"/>
    <w:rsid w:val="00C42360"/>
    <w:rsid w:val="00C4385C"/>
    <w:rsid w:val="00C438E3"/>
    <w:rsid w:val="00C43F27"/>
    <w:rsid w:val="00C44533"/>
    <w:rsid w:val="00C449CD"/>
    <w:rsid w:val="00C44B2D"/>
    <w:rsid w:val="00C44D52"/>
    <w:rsid w:val="00C45824"/>
    <w:rsid w:val="00C45B73"/>
    <w:rsid w:val="00C46412"/>
    <w:rsid w:val="00C46B19"/>
    <w:rsid w:val="00C46BC5"/>
    <w:rsid w:val="00C46CB6"/>
    <w:rsid w:val="00C46E4F"/>
    <w:rsid w:val="00C46F08"/>
    <w:rsid w:val="00C47483"/>
    <w:rsid w:val="00C50022"/>
    <w:rsid w:val="00C500CB"/>
    <w:rsid w:val="00C5038E"/>
    <w:rsid w:val="00C50548"/>
    <w:rsid w:val="00C50F5E"/>
    <w:rsid w:val="00C51228"/>
    <w:rsid w:val="00C51A11"/>
    <w:rsid w:val="00C51A68"/>
    <w:rsid w:val="00C51EF4"/>
    <w:rsid w:val="00C5235F"/>
    <w:rsid w:val="00C52A43"/>
    <w:rsid w:val="00C53981"/>
    <w:rsid w:val="00C53C0E"/>
    <w:rsid w:val="00C5405B"/>
    <w:rsid w:val="00C54203"/>
    <w:rsid w:val="00C542C2"/>
    <w:rsid w:val="00C54348"/>
    <w:rsid w:val="00C54C2B"/>
    <w:rsid w:val="00C56B4D"/>
    <w:rsid w:val="00C56BA5"/>
    <w:rsid w:val="00C57FA8"/>
    <w:rsid w:val="00C61606"/>
    <w:rsid w:val="00C63DD8"/>
    <w:rsid w:val="00C6412D"/>
    <w:rsid w:val="00C64FFB"/>
    <w:rsid w:val="00C65C0F"/>
    <w:rsid w:val="00C66AB6"/>
    <w:rsid w:val="00C67235"/>
    <w:rsid w:val="00C678B3"/>
    <w:rsid w:val="00C679A9"/>
    <w:rsid w:val="00C7015A"/>
    <w:rsid w:val="00C702EC"/>
    <w:rsid w:val="00C70E2A"/>
    <w:rsid w:val="00C71552"/>
    <w:rsid w:val="00C71F46"/>
    <w:rsid w:val="00C72742"/>
    <w:rsid w:val="00C732FA"/>
    <w:rsid w:val="00C73C39"/>
    <w:rsid w:val="00C751A2"/>
    <w:rsid w:val="00C75C60"/>
    <w:rsid w:val="00C768A0"/>
    <w:rsid w:val="00C76927"/>
    <w:rsid w:val="00C7758F"/>
    <w:rsid w:val="00C80164"/>
    <w:rsid w:val="00C802BA"/>
    <w:rsid w:val="00C80642"/>
    <w:rsid w:val="00C807FC"/>
    <w:rsid w:val="00C80DC3"/>
    <w:rsid w:val="00C80FC0"/>
    <w:rsid w:val="00C81CDB"/>
    <w:rsid w:val="00C826D7"/>
    <w:rsid w:val="00C82714"/>
    <w:rsid w:val="00C82FA5"/>
    <w:rsid w:val="00C837ED"/>
    <w:rsid w:val="00C840EF"/>
    <w:rsid w:val="00C8562C"/>
    <w:rsid w:val="00C85800"/>
    <w:rsid w:val="00C87535"/>
    <w:rsid w:val="00C8773C"/>
    <w:rsid w:val="00C90814"/>
    <w:rsid w:val="00C90FF6"/>
    <w:rsid w:val="00C91D67"/>
    <w:rsid w:val="00C91FA6"/>
    <w:rsid w:val="00C92805"/>
    <w:rsid w:val="00C92B24"/>
    <w:rsid w:val="00C93071"/>
    <w:rsid w:val="00C93E0E"/>
    <w:rsid w:val="00C94582"/>
    <w:rsid w:val="00C9546D"/>
    <w:rsid w:val="00C954C0"/>
    <w:rsid w:val="00C9570D"/>
    <w:rsid w:val="00C961CF"/>
    <w:rsid w:val="00C96FA6"/>
    <w:rsid w:val="00C971B3"/>
    <w:rsid w:val="00CA0A2A"/>
    <w:rsid w:val="00CA0FB1"/>
    <w:rsid w:val="00CA1718"/>
    <w:rsid w:val="00CA25FD"/>
    <w:rsid w:val="00CA38C0"/>
    <w:rsid w:val="00CA3C47"/>
    <w:rsid w:val="00CA4A6C"/>
    <w:rsid w:val="00CA4D20"/>
    <w:rsid w:val="00CA4E33"/>
    <w:rsid w:val="00CA5B53"/>
    <w:rsid w:val="00CA6964"/>
    <w:rsid w:val="00CA6AF5"/>
    <w:rsid w:val="00CA6B05"/>
    <w:rsid w:val="00CA7070"/>
    <w:rsid w:val="00CA7481"/>
    <w:rsid w:val="00CB038F"/>
    <w:rsid w:val="00CB053F"/>
    <w:rsid w:val="00CB084D"/>
    <w:rsid w:val="00CB0B73"/>
    <w:rsid w:val="00CB0C9B"/>
    <w:rsid w:val="00CB0F02"/>
    <w:rsid w:val="00CB1234"/>
    <w:rsid w:val="00CB13DE"/>
    <w:rsid w:val="00CB152D"/>
    <w:rsid w:val="00CB15CC"/>
    <w:rsid w:val="00CB18DA"/>
    <w:rsid w:val="00CB223C"/>
    <w:rsid w:val="00CB2A39"/>
    <w:rsid w:val="00CB3635"/>
    <w:rsid w:val="00CB36D9"/>
    <w:rsid w:val="00CB3F4C"/>
    <w:rsid w:val="00CB4938"/>
    <w:rsid w:val="00CB4C97"/>
    <w:rsid w:val="00CB4CE3"/>
    <w:rsid w:val="00CB4D68"/>
    <w:rsid w:val="00CB4F61"/>
    <w:rsid w:val="00CB4F92"/>
    <w:rsid w:val="00CB5236"/>
    <w:rsid w:val="00CB559E"/>
    <w:rsid w:val="00CB5E8C"/>
    <w:rsid w:val="00CB5FD8"/>
    <w:rsid w:val="00CB6844"/>
    <w:rsid w:val="00CB6889"/>
    <w:rsid w:val="00CB699C"/>
    <w:rsid w:val="00CB6F67"/>
    <w:rsid w:val="00CB752E"/>
    <w:rsid w:val="00CB7CE2"/>
    <w:rsid w:val="00CB7DD5"/>
    <w:rsid w:val="00CB7E56"/>
    <w:rsid w:val="00CC00BC"/>
    <w:rsid w:val="00CC0D1D"/>
    <w:rsid w:val="00CC1669"/>
    <w:rsid w:val="00CC1A78"/>
    <w:rsid w:val="00CC32C7"/>
    <w:rsid w:val="00CC3DD4"/>
    <w:rsid w:val="00CC43B6"/>
    <w:rsid w:val="00CC469C"/>
    <w:rsid w:val="00CC5829"/>
    <w:rsid w:val="00CC586C"/>
    <w:rsid w:val="00CC5909"/>
    <w:rsid w:val="00CC591B"/>
    <w:rsid w:val="00CC5C9C"/>
    <w:rsid w:val="00CC5D0F"/>
    <w:rsid w:val="00CC5D13"/>
    <w:rsid w:val="00CC6543"/>
    <w:rsid w:val="00CC69A8"/>
    <w:rsid w:val="00CC7C87"/>
    <w:rsid w:val="00CC7D1B"/>
    <w:rsid w:val="00CD101A"/>
    <w:rsid w:val="00CD1FDE"/>
    <w:rsid w:val="00CD2B1B"/>
    <w:rsid w:val="00CD2F73"/>
    <w:rsid w:val="00CD337E"/>
    <w:rsid w:val="00CD42E0"/>
    <w:rsid w:val="00CD4340"/>
    <w:rsid w:val="00CD52AB"/>
    <w:rsid w:val="00CD5AF5"/>
    <w:rsid w:val="00CD5E40"/>
    <w:rsid w:val="00CD5F9C"/>
    <w:rsid w:val="00CD6276"/>
    <w:rsid w:val="00CD6BF9"/>
    <w:rsid w:val="00CD6DB5"/>
    <w:rsid w:val="00CD7870"/>
    <w:rsid w:val="00CD7F00"/>
    <w:rsid w:val="00CE2657"/>
    <w:rsid w:val="00CE276F"/>
    <w:rsid w:val="00CE32A9"/>
    <w:rsid w:val="00CE4152"/>
    <w:rsid w:val="00CE55E3"/>
    <w:rsid w:val="00CE667D"/>
    <w:rsid w:val="00CE69B5"/>
    <w:rsid w:val="00CE6D4E"/>
    <w:rsid w:val="00CE6E90"/>
    <w:rsid w:val="00CE751F"/>
    <w:rsid w:val="00CE7D79"/>
    <w:rsid w:val="00CE7EFB"/>
    <w:rsid w:val="00CF06F3"/>
    <w:rsid w:val="00CF19E0"/>
    <w:rsid w:val="00CF2B00"/>
    <w:rsid w:val="00CF3DCC"/>
    <w:rsid w:val="00CF4112"/>
    <w:rsid w:val="00CF4B11"/>
    <w:rsid w:val="00CF5147"/>
    <w:rsid w:val="00CF68FA"/>
    <w:rsid w:val="00CF72D6"/>
    <w:rsid w:val="00CF77EA"/>
    <w:rsid w:val="00CF7E29"/>
    <w:rsid w:val="00D012BA"/>
    <w:rsid w:val="00D01A40"/>
    <w:rsid w:val="00D01DC9"/>
    <w:rsid w:val="00D025A2"/>
    <w:rsid w:val="00D0264B"/>
    <w:rsid w:val="00D0302D"/>
    <w:rsid w:val="00D0304B"/>
    <w:rsid w:val="00D0310E"/>
    <w:rsid w:val="00D03BD4"/>
    <w:rsid w:val="00D03CCC"/>
    <w:rsid w:val="00D0543B"/>
    <w:rsid w:val="00D0568D"/>
    <w:rsid w:val="00D05DF7"/>
    <w:rsid w:val="00D063EB"/>
    <w:rsid w:val="00D07C39"/>
    <w:rsid w:val="00D104EA"/>
    <w:rsid w:val="00D1067E"/>
    <w:rsid w:val="00D11195"/>
    <w:rsid w:val="00D11A31"/>
    <w:rsid w:val="00D125F9"/>
    <w:rsid w:val="00D130AF"/>
    <w:rsid w:val="00D134AD"/>
    <w:rsid w:val="00D13AB7"/>
    <w:rsid w:val="00D13AF5"/>
    <w:rsid w:val="00D13FDE"/>
    <w:rsid w:val="00D14471"/>
    <w:rsid w:val="00D16449"/>
    <w:rsid w:val="00D167F7"/>
    <w:rsid w:val="00D17CA7"/>
    <w:rsid w:val="00D203D1"/>
    <w:rsid w:val="00D206E2"/>
    <w:rsid w:val="00D218FA"/>
    <w:rsid w:val="00D21E67"/>
    <w:rsid w:val="00D224B0"/>
    <w:rsid w:val="00D2308B"/>
    <w:rsid w:val="00D231F5"/>
    <w:rsid w:val="00D23F91"/>
    <w:rsid w:val="00D24647"/>
    <w:rsid w:val="00D24B41"/>
    <w:rsid w:val="00D24E38"/>
    <w:rsid w:val="00D24FB2"/>
    <w:rsid w:val="00D26199"/>
    <w:rsid w:val="00D26283"/>
    <w:rsid w:val="00D26F23"/>
    <w:rsid w:val="00D26FF8"/>
    <w:rsid w:val="00D27179"/>
    <w:rsid w:val="00D273CB"/>
    <w:rsid w:val="00D31207"/>
    <w:rsid w:val="00D31A21"/>
    <w:rsid w:val="00D3252F"/>
    <w:rsid w:val="00D32602"/>
    <w:rsid w:val="00D32B55"/>
    <w:rsid w:val="00D32BAC"/>
    <w:rsid w:val="00D32BF9"/>
    <w:rsid w:val="00D3348B"/>
    <w:rsid w:val="00D339C6"/>
    <w:rsid w:val="00D34445"/>
    <w:rsid w:val="00D34E1A"/>
    <w:rsid w:val="00D36805"/>
    <w:rsid w:val="00D3686B"/>
    <w:rsid w:val="00D369B8"/>
    <w:rsid w:val="00D3727E"/>
    <w:rsid w:val="00D37413"/>
    <w:rsid w:val="00D377C4"/>
    <w:rsid w:val="00D37E03"/>
    <w:rsid w:val="00D40CB1"/>
    <w:rsid w:val="00D424E4"/>
    <w:rsid w:val="00D427B7"/>
    <w:rsid w:val="00D428B6"/>
    <w:rsid w:val="00D434D3"/>
    <w:rsid w:val="00D43A73"/>
    <w:rsid w:val="00D43B5D"/>
    <w:rsid w:val="00D43CDE"/>
    <w:rsid w:val="00D4483A"/>
    <w:rsid w:val="00D44B14"/>
    <w:rsid w:val="00D4503E"/>
    <w:rsid w:val="00D4581C"/>
    <w:rsid w:val="00D46539"/>
    <w:rsid w:val="00D46648"/>
    <w:rsid w:val="00D47361"/>
    <w:rsid w:val="00D5039C"/>
    <w:rsid w:val="00D50455"/>
    <w:rsid w:val="00D521A5"/>
    <w:rsid w:val="00D52A16"/>
    <w:rsid w:val="00D531E7"/>
    <w:rsid w:val="00D5321D"/>
    <w:rsid w:val="00D53554"/>
    <w:rsid w:val="00D53901"/>
    <w:rsid w:val="00D53A00"/>
    <w:rsid w:val="00D53A89"/>
    <w:rsid w:val="00D5479E"/>
    <w:rsid w:val="00D54ACB"/>
    <w:rsid w:val="00D550D9"/>
    <w:rsid w:val="00D552CC"/>
    <w:rsid w:val="00D552EA"/>
    <w:rsid w:val="00D554B6"/>
    <w:rsid w:val="00D55DE7"/>
    <w:rsid w:val="00D55E9E"/>
    <w:rsid w:val="00D5610A"/>
    <w:rsid w:val="00D569B9"/>
    <w:rsid w:val="00D577AA"/>
    <w:rsid w:val="00D5782B"/>
    <w:rsid w:val="00D57936"/>
    <w:rsid w:val="00D57978"/>
    <w:rsid w:val="00D57F00"/>
    <w:rsid w:val="00D6063E"/>
    <w:rsid w:val="00D60C6C"/>
    <w:rsid w:val="00D60CDD"/>
    <w:rsid w:val="00D62D77"/>
    <w:rsid w:val="00D6308C"/>
    <w:rsid w:val="00D638A5"/>
    <w:rsid w:val="00D63924"/>
    <w:rsid w:val="00D64082"/>
    <w:rsid w:val="00D65228"/>
    <w:rsid w:val="00D65E73"/>
    <w:rsid w:val="00D6625B"/>
    <w:rsid w:val="00D71242"/>
    <w:rsid w:val="00D712FC"/>
    <w:rsid w:val="00D71503"/>
    <w:rsid w:val="00D71675"/>
    <w:rsid w:val="00D71DD7"/>
    <w:rsid w:val="00D723F8"/>
    <w:rsid w:val="00D72A52"/>
    <w:rsid w:val="00D72D04"/>
    <w:rsid w:val="00D74095"/>
    <w:rsid w:val="00D74816"/>
    <w:rsid w:val="00D74F15"/>
    <w:rsid w:val="00D751AA"/>
    <w:rsid w:val="00D754D6"/>
    <w:rsid w:val="00D80EE7"/>
    <w:rsid w:val="00D827FC"/>
    <w:rsid w:val="00D8298D"/>
    <w:rsid w:val="00D832AA"/>
    <w:rsid w:val="00D8332E"/>
    <w:rsid w:val="00D8383C"/>
    <w:rsid w:val="00D83BD2"/>
    <w:rsid w:val="00D843EB"/>
    <w:rsid w:val="00D84DE0"/>
    <w:rsid w:val="00D85AB9"/>
    <w:rsid w:val="00D85DE8"/>
    <w:rsid w:val="00D85E94"/>
    <w:rsid w:val="00D86502"/>
    <w:rsid w:val="00D86D6B"/>
    <w:rsid w:val="00D87219"/>
    <w:rsid w:val="00D90E15"/>
    <w:rsid w:val="00D92E5E"/>
    <w:rsid w:val="00D9320F"/>
    <w:rsid w:val="00D9327A"/>
    <w:rsid w:val="00D93C59"/>
    <w:rsid w:val="00D93CC4"/>
    <w:rsid w:val="00D943C4"/>
    <w:rsid w:val="00D943F9"/>
    <w:rsid w:val="00D94648"/>
    <w:rsid w:val="00D94D92"/>
    <w:rsid w:val="00D959AE"/>
    <w:rsid w:val="00D96B90"/>
    <w:rsid w:val="00D96DCB"/>
    <w:rsid w:val="00DA07B6"/>
    <w:rsid w:val="00DA1957"/>
    <w:rsid w:val="00DA1C34"/>
    <w:rsid w:val="00DA1F15"/>
    <w:rsid w:val="00DA25C4"/>
    <w:rsid w:val="00DA3379"/>
    <w:rsid w:val="00DA3708"/>
    <w:rsid w:val="00DA3A69"/>
    <w:rsid w:val="00DA4DFF"/>
    <w:rsid w:val="00DA4EF3"/>
    <w:rsid w:val="00DA6684"/>
    <w:rsid w:val="00DA7120"/>
    <w:rsid w:val="00DB029C"/>
    <w:rsid w:val="00DB080F"/>
    <w:rsid w:val="00DB0F88"/>
    <w:rsid w:val="00DB12F7"/>
    <w:rsid w:val="00DB254B"/>
    <w:rsid w:val="00DB29BC"/>
    <w:rsid w:val="00DB2E3F"/>
    <w:rsid w:val="00DB3305"/>
    <w:rsid w:val="00DB44DB"/>
    <w:rsid w:val="00DB6451"/>
    <w:rsid w:val="00DB6502"/>
    <w:rsid w:val="00DB6D6E"/>
    <w:rsid w:val="00DB7172"/>
    <w:rsid w:val="00DB7478"/>
    <w:rsid w:val="00DB7A0A"/>
    <w:rsid w:val="00DB7E20"/>
    <w:rsid w:val="00DB7E7C"/>
    <w:rsid w:val="00DC011C"/>
    <w:rsid w:val="00DC0E09"/>
    <w:rsid w:val="00DC11D0"/>
    <w:rsid w:val="00DC1730"/>
    <w:rsid w:val="00DC1AD5"/>
    <w:rsid w:val="00DC1F3E"/>
    <w:rsid w:val="00DC2C5E"/>
    <w:rsid w:val="00DC3322"/>
    <w:rsid w:val="00DC3AC9"/>
    <w:rsid w:val="00DC3CBE"/>
    <w:rsid w:val="00DC42C2"/>
    <w:rsid w:val="00DC5B9C"/>
    <w:rsid w:val="00DC5C79"/>
    <w:rsid w:val="00DC6048"/>
    <w:rsid w:val="00DC6854"/>
    <w:rsid w:val="00DC6B4E"/>
    <w:rsid w:val="00DC70B1"/>
    <w:rsid w:val="00DC766D"/>
    <w:rsid w:val="00DC7C7C"/>
    <w:rsid w:val="00DD0D54"/>
    <w:rsid w:val="00DD2462"/>
    <w:rsid w:val="00DD31EB"/>
    <w:rsid w:val="00DD364E"/>
    <w:rsid w:val="00DD36CF"/>
    <w:rsid w:val="00DD3A0B"/>
    <w:rsid w:val="00DD3FA6"/>
    <w:rsid w:val="00DD4B0E"/>
    <w:rsid w:val="00DD54B9"/>
    <w:rsid w:val="00DD58E4"/>
    <w:rsid w:val="00DD6138"/>
    <w:rsid w:val="00DD6262"/>
    <w:rsid w:val="00DD6479"/>
    <w:rsid w:val="00DD6829"/>
    <w:rsid w:val="00DD7046"/>
    <w:rsid w:val="00DD735C"/>
    <w:rsid w:val="00DD73A9"/>
    <w:rsid w:val="00DD78B3"/>
    <w:rsid w:val="00DD7B29"/>
    <w:rsid w:val="00DE0637"/>
    <w:rsid w:val="00DE191C"/>
    <w:rsid w:val="00DE1ADB"/>
    <w:rsid w:val="00DE254F"/>
    <w:rsid w:val="00DE2CF3"/>
    <w:rsid w:val="00DE2DBF"/>
    <w:rsid w:val="00DE36EF"/>
    <w:rsid w:val="00DE38D2"/>
    <w:rsid w:val="00DE3E1A"/>
    <w:rsid w:val="00DE46E5"/>
    <w:rsid w:val="00DE7565"/>
    <w:rsid w:val="00DE799B"/>
    <w:rsid w:val="00DF11E7"/>
    <w:rsid w:val="00DF1D43"/>
    <w:rsid w:val="00DF1FA8"/>
    <w:rsid w:val="00DF2D06"/>
    <w:rsid w:val="00DF2D54"/>
    <w:rsid w:val="00DF5D6A"/>
    <w:rsid w:val="00DF65EC"/>
    <w:rsid w:val="00DF6606"/>
    <w:rsid w:val="00DF667C"/>
    <w:rsid w:val="00DF69AB"/>
    <w:rsid w:val="00DF6CCB"/>
    <w:rsid w:val="00E008B9"/>
    <w:rsid w:val="00E00F87"/>
    <w:rsid w:val="00E014D3"/>
    <w:rsid w:val="00E017E2"/>
    <w:rsid w:val="00E01B21"/>
    <w:rsid w:val="00E03221"/>
    <w:rsid w:val="00E03424"/>
    <w:rsid w:val="00E0420F"/>
    <w:rsid w:val="00E04D8F"/>
    <w:rsid w:val="00E05AB2"/>
    <w:rsid w:val="00E05F03"/>
    <w:rsid w:val="00E06046"/>
    <w:rsid w:val="00E06193"/>
    <w:rsid w:val="00E06319"/>
    <w:rsid w:val="00E06828"/>
    <w:rsid w:val="00E06CB3"/>
    <w:rsid w:val="00E06F73"/>
    <w:rsid w:val="00E11FB6"/>
    <w:rsid w:val="00E12964"/>
    <w:rsid w:val="00E12AFD"/>
    <w:rsid w:val="00E12CDC"/>
    <w:rsid w:val="00E12F16"/>
    <w:rsid w:val="00E13967"/>
    <w:rsid w:val="00E14074"/>
    <w:rsid w:val="00E14129"/>
    <w:rsid w:val="00E15010"/>
    <w:rsid w:val="00E16108"/>
    <w:rsid w:val="00E1628F"/>
    <w:rsid w:val="00E16474"/>
    <w:rsid w:val="00E16C59"/>
    <w:rsid w:val="00E17C63"/>
    <w:rsid w:val="00E17DEF"/>
    <w:rsid w:val="00E17FC8"/>
    <w:rsid w:val="00E20070"/>
    <w:rsid w:val="00E2051C"/>
    <w:rsid w:val="00E2128B"/>
    <w:rsid w:val="00E2265F"/>
    <w:rsid w:val="00E22939"/>
    <w:rsid w:val="00E2369B"/>
    <w:rsid w:val="00E24420"/>
    <w:rsid w:val="00E24450"/>
    <w:rsid w:val="00E25392"/>
    <w:rsid w:val="00E25644"/>
    <w:rsid w:val="00E25DF6"/>
    <w:rsid w:val="00E26A3D"/>
    <w:rsid w:val="00E26C7B"/>
    <w:rsid w:val="00E27134"/>
    <w:rsid w:val="00E27450"/>
    <w:rsid w:val="00E27E96"/>
    <w:rsid w:val="00E305AB"/>
    <w:rsid w:val="00E320C0"/>
    <w:rsid w:val="00E32318"/>
    <w:rsid w:val="00E33158"/>
    <w:rsid w:val="00E3394B"/>
    <w:rsid w:val="00E34529"/>
    <w:rsid w:val="00E34DB9"/>
    <w:rsid w:val="00E354D0"/>
    <w:rsid w:val="00E3571F"/>
    <w:rsid w:val="00E3587E"/>
    <w:rsid w:val="00E35B1B"/>
    <w:rsid w:val="00E35B8C"/>
    <w:rsid w:val="00E361E2"/>
    <w:rsid w:val="00E364C5"/>
    <w:rsid w:val="00E3756B"/>
    <w:rsid w:val="00E37975"/>
    <w:rsid w:val="00E40FB5"/>
    <w:rsid w:val="00E4190D"/>
    <w:rsid w:val="00E41F1F"/>
    <w:rsid w:val="00E41F6B"/>
    <w:rsid w:val="00E4297D"/>
    <w:rsid w:val="00E42F7F"/>
    <w:rsid w:val="00E42FB2"/>
    <w:rsid w:val="00E43C8C"/>
    <w:rsid w:val="00E43E9E"/>
    <w:rsid w:val="00E4421F"/>
    <w:rsid w:val="00E464D8"/>
    <w:rsid w:val="00E46E19"/>
    <w:rsid w:val="00E477E6"/>
    <w:rsid w:val="00E47BCA"/>
    <w:rsid w:val="00E47CDD"/>
    <w:rsid w:val="00E51175"/>
    <w:rsid w:val="00E51430"/>
    <w:rsid w:val="00E51617"/>
    <w:rsid w:val="00E51C41"/>
    <w:rsid w:val="00E523C6"/>
    <w:rsid w:val="00E54AD1"/>
    <w:rsid w:val="00E553C1"/>
    <w:rsid w:val="00E556AD"/>
    <w:rsid w:val="00E56932"/>
    <w:rsid w:val="00E56E2B"/>
    <w:rsid w:val="00E5700B"/>
    <w:rsid w:val="00E57305"/>
    <w:rsid w:val="00E57538"/>
    <w:rsid w:val="00E5782E"/>
    <w:rsid w:val="00E57CCD"/>
    <w:rsid w:val="00E602A9"/>
    <w:rsid w:val="00E606E3"/>
    <w:rsid w:val="00E60949"/>
    <w:rsid w:val="00E61A5B"/>
    <w:rsid w:val="00E632A9"/>
    <w:rsid w:val="00E63380"/>
    <w:rsid w:val="00E6372F"/>
    <w:rsid w:val="00E6388D"/>
    <w:rsid w:val="00E63CB9"/>
    <w:rsid w:val="00E63DE8"/>
    <w:rsid w:val="00E643A0"/>
    <w:rsid w:val="00E6444F"/>
    <w:rsid w:val="00E6571E"/>
    <w:rsid w:val="00E65B08"/>
    <w:rsid w:val="00E65B39"/>
    <w:rsid w:val="00E65E12"/>
    <w:rsid w:val="00E65F66"/>
    <w:rsid w:val="00E66677"/>
    <w:rsid w:val="00E66AB1"/>
    <w:rsid w:val="00E6726A"/>
    <w:rsid w:val="00E674DF"/>
    <w:rsid w:val="00E67E63"/>
    <w:rsid w:val="00E701A6"/>
    <w:rsid w:val="00E70CA7"/>
    <w:rsid w:val="00E70DAF"/>
    <w:rsid w:val="00E7141C"/>
    <w:rsid w:val="00E718AB"/>
    <w:rsid w:val="00E71FB4"/>
    <w:rsid w:val="00E71FF2"/>
    <w:rsid w:val="00E7287B"/>
    <w:rsid w:val="00E72AC8"/>
    <w:rsid w:val="00E72BDF"/>
    <w:rsid w:val="00E73962"/>
    <w:rsid w:val="00E73F9C"/>
    <w:rsid w:val="00E74023"/>
    <w:rsid w:val="00E74746"/>
    <w:rsid w:val="00E750D9"/>
    <w:rsid w:val="00E75AEC"/>
    <w:rsid w:val="00E75B0E"/>
    <w:rsid w:val="00E75B7B"/>
    <w:rsid w:val="00E76385"/>
    <w:rsid w:val="00E77E5E"/>
    <w:rsid w:val="00E8142B"/>
    <w:rsid w:val="00E81ED1"/>
    <w:rsid w:val="00E823F3"/>
    <w:rsid w:val="00E824E9"/>
    <w:rsid w:val="00E825B4"/>
    <w:rsid w:val="00E828D0"/>
    <w:rsid w:val="00E829EE"/>
    <w:rsid w:val="00E83F4F"/>
    <w:rsid w:val="00E848EE"/>
    <w:rsid w:val="00E85364"/>
    <w:rsid w:val="00E85468"/>
    <w:rsid w:val="00E855E9"/>
    <w:rsid w:val="00E85980"/>
    <w:rsid w:val="00E86424"/>
    <w:rsid w:val="00E868AF"/>
    <w:rsid w:val="00E86CAA"/>
    <w:rsid w:val="00E873D8"/>
    <w:rsid w:val="00E91F6C"/>
    <w:rsid w:val="00E928AB"/>
    <w:rsid w:val="00E92DE9"/>
    <w:rsid w:val="00E93AF7"/>
    <w:rsid w:val="00E93F81"/>
    <w:rsid w:val="00E945FD"/>
    <w:rsid w:val="00E949DF"/>
    <w:rsid w:val="00E94DBA"/>
    <w:rsid w:val="00E9579B"/>
    <w:rsid w:val="00E95ECB"/>
    <w:rsid w:val="00E96409"/>
    <w:rsid w:val="00E96483"/>
    <w:rsid w:val="00E96605"/>
    <w:rsid w:val="00E9663C"/>
    <w:rsid w:val="00E96686"/>
    <w:rsid w:val="00E96993"/>
    <w:rsid w:val="00E97313"/>
    <w:rsid w:val="00E973AB"/>
    <w:rsid w:val="00EA01D2"/>
    <w:rsid w:val="00EA0F32"/>
    <w:rsid w:val="00EA2603"/>
    <w:rsid w:val="00EA277C"/>
    <w:rsid w:val="00EA345D"/>
    <w:rsid w:val="00EA3980"/>
    <w:rsid w:val="00EA3B01"/>
    <w:rsid w:val="00EA4264"/>
    <w:rsid w:val="00EA446B"/>
    <w:rsid w:val="00EA47A9"/>
    <w:rsid w:val="00EA48A5"/>
    <w:rsid w:val="00EA4F77"/>
    <w:rsid w:val="00EA552D"/>
    <w:rsid w:val="00EA6316"/>
    <w:rsid w:val="00EA752E"/>
    <w:rsid w:val="00EA7C92"/>
    <w:rsid w:val="00EA7D20"/>
    <w:rsid w:val="00EB165C"/>
    <w:rsid w:val="00EB18D3"/>
    <w:rsid w:val="00EB1DD5"/>
    <w:rsid w:val="00EB235A"/>
    <w:rsid w:val="00EB2B9A"/>
    <w:rsid w:val="00EB3200"/>
    <w:rsid w:val="00EB3A13"/>
    <w:rsid w:val="00EB3A5D"/>
    <w:rsid w:val="00EB4117"/>
    <w:rsid w:val="00EB51FC"/>
    <w:rsid w:val="00EB539F"/>
    <w:rsid w:val="00EB599C"/>
    <w:rsid w:val="00EB7B40"/>
    <w:rsid w:val="00EB7C8F"/>
    <w:rsid w:val="00EC2375"/>
    <w:rsid w:val="00EC2461"/>
    <w:rsid w:val="00EC30ED"/>
    <w:rsid w:val="00EC321A"/>
    <w:rsid w:val="00EC34DF"/>
    <w:rsid w:val="00EC3975"/>
    <w:rsid w:val="00EC3A1E"/>
    <w:rsid w:val="00EC3D03"/>
    <w:rsid w:val="00EC41E5"/>
    <w:rsid w:val="00EC481E"/>
    <w:rsid w:val="00EC5029"/>
    <w:rsid w:val="00EC540E"/>
    <w:rsid w:val="00EC54B3"/>
    <w:rsid w:val="00EC591E"/>
    <w:rsid w:val="00EC5E07"/>
    <w:rsid w:val="00EC6347"/>
    <w:rsid w:val="00EC66E3"/>
    <w:rsid w:val="00EC70CE"/>
    <w:rsid w:val="00ED06CA"/>
    <w:rsid w:val="00ED1791"/>
    <w:rsid w:val="00ED18B2"/>
    <w:rsid w:val="00ED39AD"/>
    <w:rsid w:val="00ED52A0"/>
    <w:rsid w:val="00ED530F"/>
    <w:rsid w:val="00ED61E3"/>
    <w:rsid w:val="00ED66A2"/>
    <w:rsid w:val="00ED6BB8"/>
    <w:rsid w:val="00ED6E78"/>
    <w:rsid w:val="00ED7B81"/>
    <w:rsid w:val="00EE005E"/>
    <w:rsid w:val="00EE03C7"/>
    <w:rsid w:val="00EE0420"/>
    <w:rsid w:val="00EE15E0"/>
    <w:rsid w:val="00EE1E8C"/>
    <w:rsid w:val="00EE22DA"/>
    <w:rsid w:val="00EE2B51"/>
    <w:rsid w:val="00EE2F28"/>
    <w:rsid w:val="00EE2FFE"/>
    <w:rsid w:val="00EE36AE"/>
    <w:rsid w:val="00EE3BEE"/>
    <w:rsid w:val="00EE3E7E"/>
    <w:rsid w:val="00EE420E"/>
    <w:rsid w:val="00EE4CFD"/>
    <w:rsid w:val="00EE57C0"/>
    <w:rsid w:val="00EE6B86"/>
    <w:rsid w:val="00EE771C"/>
    <w:rsid w:val="00EE7825"/>
    <w:rsid w:val="00EE7A2F"/>
    <w:rsid w:val="00EF0166"/>
    <w:rsid w:val="00EF029E"/>
    <w:rsid w:val="00EF0915"/>
    <w:rsid w:val="00EF1AA2"/>
    <w:rsid w:val="00EF2AA5"/>
    <w:rsid w:val="00EF30D8"/>
    <w:rsid w:val="00EF34F4"/>
    <w:rsid w:val="00EF409A"/>
    <w:rsid w:val="00EF4607"/>
    <w:rsid w:val="00EF46A7"/>
    <w:rsid w:val="00EF4A17"/>
    <w:rsid w:val="00EF5A7D"/>
    <w:rsid w:val="00EF6F0A"/>
    <w:rsid w:val="00EF7002"/>
    <w:rsid w:val="00EF7020"/>
    <w:rsid w:val="00EF7280"/>
    <w:rsid w:val="00EF749C"/>
    <w:rsid w:val="00EF7828"/>
    <w:rsid w:val="00F00598"/>
    <w:rsid w:val="00F008B0"/>
    <w:rsid w:val="00F00C8D"/>
    <w:rsid w:val="00F013D1"/>
    <w:rsid w:val="00F015DD"/>
    <w:rsid w:val="00F01D58"/>
    <w:rsid w:val="00F01E9C"/>
    <w:rsid w:val="00F0204A"/>
    <w:rsid w:val="00F023E4"/>
    <w:rsid w:val="00F02ADD"/>
    <w:rsid w:val="00F02B76"/>
    <w:rsid w:val="00F030E0"/>
    <w:rsid w:val="00F036B9"/>
    <w:rsid w:val="00F03BFE"/>
    <w:rsid w:val="00F0420E"/>
    <w:rsid w:val="00F04694"/>
    <w:rsid w:val="00F04838"/>
    <w:rsid w:val="00F04E93"/>
    <w:rsid w:val="00F057B3"/>
    <w:rsid w:val="00F060E5"/>
    <w:rsid w:val="00F07994"/>
    <w:rsid w:val="00F108E2"/>
    <w:rsid w:val="00F10C87"/>
    <w:rsid w:val="00F10E24"/>
    <w:rsid w:val="00F11B9F"/>
    <w:rsid w:val="00F12058"/>
    <w:rsid w:val="00F12BDF"/>
    <w:rsid w:val="00F134E3"/>
    <w:rsid w:val="00F13A08"/>
    <w:rsid w:val="00F145A0"/>
    <w:rsid w:val="00F14C8C"/>
    <w:rsid w:val="00F16529"/>
    <w:rsid w:val="00F165E3"/>
    <w:rsid w:val="00F16D9C"/>
    <w:rsid w:val="00F16F79"/>
    <w:rsid w:val="00F174DA"/>
    <w:rsid w:val="00F2000D"/>
    <w:rsid w:val="00F21493"/>
    <w:rsid w:val="00F21531"/>
    <w:rsid w:val="00F217EE"/>
    <w:rsid w:val="00F21B19"/>
    <w:rsid w:val="00F22545"/>
    <w:rsid w:val="00F23054"/>
    <w:rsid w:val="00F244E9"/>
    <w:rsid w:val="00F24C39"/>
    <w:rsid w:val="00F252D6"/>
    <w:rsid w:val="00F26305"/>
    <w:rsid w:val="00F26B04"/>
    <w:rsid w:val="00F274C4"/>
    <w:rsid w:val="00F27C12"/>
    <w:rsid w:val="00F27C96"/>
    <w:rsid w:val="00F30B78"/>
    <w:rsid w:val="00F30D1F"/>
    <w:rsid w:val="00F317D9"/>
    <w:rsid w:val="00F31F09"/>
    <w:rsid w:val="00F324FE"/>
    <w:rsid w:val="00F3308E"/>
    <w:rsid w:val="00F33383"/>
    <w:rsid w:val="00F34347"/>
    <w:rsid w:val="00F34B8C"/>
    <w:rsid w:val="00F35308"/>
    <w:rsid w:val="00F36608"/>
    <w:rsid w:val="00F36AD1"/>
    <w:rsid w:val="00F36D73"/>
    <w:rsid w:val="00F372E3"/>
    <w:rsid w:val="00F40321"/>
    <w:rsid w:val="00F4040D"/>
    <w:rsid w:val="00F406AB"/>
    <w:rsid w:val="00F40805"/>
    <w:rsid w:val="00F40A10"/>
    <w:rsid w:val="00F41921"/>
    <w:rsid w:val="00F42B09"/>
    <w:rsid w:val="00F42E26"/>
    <w:rsid w:val="00F4383C"/>
    <w:rsid w:val="00F43A8B"/>
    <w:rsid w:val="00F4437F"/>
    <w:rsid w:val="00F4449E"/>
    <w:rsid w:val="00F45102"/>
    <w:rsid w:val="00F45914"/>
    <w:rsid w:val="00F45F3B"/>
    <w:rsid w:val="00F47B25"/>
    <w:rsid w:val="00F50E76"/>
    <w:rsid w:val="00F51541"/>
    <w:rsid w:val="00F520F8"/>
    <w:rsid w:val="00F5232A"/>
    <w:rsid w:val="00F52E51"/>
    <w:rsid w:val="00F53501"/>
    <w:rsid w:val="00F535A9"/>
    <w:rsid w:val="00F53726"/>
    <w:rsid w:val="00F53E89"/>
    <w:rsid w:val="00F54305"/>
    <w:rsid w:val="00F557F5"/>
    <w:rsid w:val="00F56054"/>
    <w:rsid w:val="00F5692B"/>
    <w:rsid w:val="00F56EB0"/>
    <w:rsid w:val="00F5788D"/>
    <w:rsid w:val="00F60683"/>
    <w:rsid w:val="00F60896"/>
    <w:rsid w:val="00F60FC0"/>
    <w:rsid w:val="00F624DD"/>
    <w:rsid w:val="00F62791"/>
    <w:rsid w:val="00F62A5D"/>
    <w:rsid w:val="00F62D1C"/>
    <w:rsid w:val="00F630EF"/>
    <w:rsid w:val="00F633D7"/>
    <w:rsid w:val="00F636D2"/>
    <w:rsid w:val="00F64001"/>
    <w:rsid w:val="00F64C67"/>
    <w:rsid w:val="00F64F5A"/>
    <w:rsid w:val="00F65B31"/>
    <w:rsid w:val="00F65F2F"/>
    <w:rsid w:val="00F66158"/>
    <w:rsid w:val="00F66380"/>
    <w:rsid w:val="00F6649D"/>
    <w:rsid w:val="00F66B29"/>
    <w:rsid w:val="00F66E3D"/>
    <w:rsid w:val="00F66F6C"/>
    <w:rsid w:val="00F672C3"/>
    <w:rsid w:val="00F7015A"/>
    <w:rsid w:val="00F70409"/>
    <w:rsid w:val="00F705FD"/>
    <w:rsid w:val="00F70997"/>
    <w:rsid w:val="00F70B13"/>
    <w:rsid w:val="00F71000"/>
    <w:rsid w:val="00F7138F"/>
    <w:rsid w:val="00F719BA"/>
    <w:rsid w:val="00F725EF"/>
    <w:rsid w:val="00F72A84"/>
    <w:rsid w:val="00F72FF9"/>
    <w:rsid w:val="00F730EF"/>
    <w:rsid w:val="00F73FEF"/>
    <w:rsid w:val="00F74233"/>
    <w:rsid w:val="00F7437D"/>
    <w:rsid w:val="00F74C0A"/>
    <w:rsid w:val="00F75113"/>
    <w:rsid w:val="00F755AE"/>
    <w:rsid w:val="00F75E97"/>
    <w:rsid w:val="00F77418"/>
    <w:rsid w:val="00F80C2A"/>
    <w:rsid w:val="00F82BE1"/>
    <w:rsid w:val="00F82CF8"/>
    <w:rsid w:val="00F832EE"/>
    <w:rsid w:val="00F83889"/>
    <w:rsid w:val="00F83C7C"/>
    <w:rsid w:val="00F83CB2"/>
    <w:rsid w:val="00F85145"/>
    <w:rsid w:val="00F8543A"/>
    <w:rsid w:val="00F85ECF"/>
    <w:rsid w:val="00F85F30"/>
    <w:rsid w:val="00F868DD"/>
    <w:rsid w:val="00F86BC5"/>
    <w:rsid w:val="00F86CBB"/>
    <w:rsid w:val="00F86D43"/>
    <w:rsid w:val="00F870B7"/>
    <w:rsid w:val="00F877BC"/>
    <w:rsid w:val="00F90DE0"/>
    <w:rsid w:val="00F91103"/>
    <w:rsid w:val="00F91578"/>
    <w:rsid w:val="00F9175E"/>
    <w:rsid w:val="00F91C14"/>
    <w:rsid w:val="00F926BA"/>
    <w:rsid w:val="00F9392A"/>
    <w:rsid w:val="00F94027"/>
    <w:rsid w:val="00F9462D"/>
    <w:rsid w:val="00F946DE"/>
    <w:rsid w:val="00F94E62"/>
    <w:rsid w:val="00F95C68"/>
    <w:rsid w:val="00F95DDD"/>
    <w:rsid w:val="00F9733C"/>
    <w:rsid w:val="00F97B47"/>
    <w:rsid w:val="00F97C96"/>
    <w:rsid w:val="00FA008A"/>
    <w:rsid w:val="00FA01F0"/>
    <w:rsid w:val="00FA03BE"/>
    <w:rsid w:val="00FA0792"/>
    <w:rsid w:val="00FA0A32"/>
    <w:rsid w:val="00FA0DA2"/>
    <w:rsid w:val="00FA11D9"/>
    <w:rsid w:val="00FA1475"/>
    <w:rsid w:val="00FA15E8"/>
    <w:rsid w:val="00FA22C9"/>
    <w:rsid w:val="00FA2D71"/>
    <w:rsid w:val="00FA2F3D"/>
    <w:rsid w:val="00FA30D9"/>
    <w:rsid w:val="00FA3147"/>
    <w:rsid w:val="00FA3508"/>
    <w:rsid w:val="00FA3927"/>
    <w:rsid w:val="00FA406A"/>
    <w:rsid w:val="00FA43AB"/>
    <w:rsid w:val="00FA504D"/>
    <w:rsid w:val="00FA51BF"/>
    <w:rsid w:val="00FA56BE"/>
    <w:rsid w:val="00FA5A89"/>
    <w:rsid w:val="00FA5E89"/>
    <w:rsid w:val="00FA6355"/>
    <w:rsid w:val="00FA67A9"/>
    <w:rsid w:val="00FA6853"/>
    <w:rsid w:val="00FA6AE8"/>
    <w:rsid w:val="00FA7CF9"/>
    <w:rsid w:val="00FB088C"/>
    <w:rsid w:val="00FB0EE6"/>
    <w:rsid w:val="00FB2A1D"/>
    <w:rsid w:val="00FB3182"/>
    <w:rsid w:val="00FB48F3"/>
    <w:rsid w:val="00FB4EE9"/>
    <w:rsid w:val="00FB5377"/>
    <w:rsid w:val="00FB5AF0"/>
    <w:rsid w:val="00FB66BA"/>
    <w:rsid w:val="00FB6A2D"/>
    <w:rsid w:val="00FB6F3D"/>
    <w:rsid w:val="00FB7BD9"/>
    <w:rsid w:val="00FB7CE1"/>
    <w:rsid w:val="00FC00EC"/>
    <w:rsid w:val="00FC01EA"/>
    <w:rsid w:val="00FC12E7"/>
    <w:rsid w:val="00FC286D"/>
    <w:rsid w:val="00FC2CB9"/>
    <w:rsid w:val="00FC3B53"/>
    <w:rsid w:val="00FC4878"/>
    <w:rsid w:val="00FC4A41"/>
    <w:rsid w:val="00FC4E2B"/>
    <w:rsid w:val="00FC74DB"/>
    <w:rsid w:val="00FC7C4B"/>
    <w:rsid w:val="00FD00F2"/>
    <w:rsid w:val="00FD0424"/>
    <w:rsid w:val="00FD08CA"/>
    <w:rsid w:val="00FD0B81"/>
    <w:rsid w:val="00FD113F"/>
    <w:rsid w:val="00FD1D83"/>
    <w:rsid w:val="00FD2FF1"/>
    <w:rsid w:val="00FD45E1"/>
    <w:rsid w:val="00FD46CD"/>
    <w:rsid w:val="00FD615B"/>
    <w:rsid w:val="00FD643C"/>
    <w:rsid w:val="00FD6777"/>
    <w:rsid w:val="00FD6AE9"/>
    <w:rsid w:val="00FD6ED8"/>
    <w:rsid w:val="00FD7976"/>
    <w:rsid w:val="00FDC008"/>
    <w:rsid w:val="00FE090B"/>
    <w:rsid w:val="00FE179C"/>
    <w:rsid w:val="00FE1FA3"/>
    <w:rsid w:val="00FE2184"/>
    <w:rsid w:val="00FE24F9"/>
    <w:rsid w:val="00FE2723"/>
    <w:rsid w:val="00FE3836"/>
    <w:rsid w:val="00FE3918"/>
    <w:rsid w:val="00FE3A2E"/>
    <w:rsid w:val="00FE42DD"/>
    <w:rsid w:val="00FE50A1"/>
    <w:rsid w:val="00FE5C08"/>
    <w:rsid w:val="00FE5F63"/>
    <w:rsid w:val="00FE6364"/>
    <w:rsid w:val="00FE70FD"/>
    <w:rsid w:val="00FF01EA"/>
    <w:rsid w:val="00FF06FC"/>
    <w:rsid w:val="00FF1372"/>
    <w:rsid w:val="00FF2235"/>
    <w:rsid w:val="00FF281D"/>
    <w:rsid w:val="00FF2C93"/>
    <w:rsid w:val="00FF3B90"/>
    <w:rsid w:val="00FF3E10"/>
    <w:rsid w:val="00FF57F4"/>
    <w:rsid w:val="00FF590D"/>
    <w:rsid w:val="00FF61F1"/>
    <w:rsid w:val="00FF69C6"/>
    <w:rsid w:val="00FF7173"/>
    <w:rsid w:val="00FF751F"/>
    <w:rsid w:val="00FF7D84"/>
    <w:rsid w:val="015A4012"/>
    <w:rsid w:val="015C5963"/>
    <w:rsid w:val="01654530"/>
    <w:rsid w:val="022F9353"/>
    <w:rsid w:val="0237E365"/>
    <w:rsid w:val="025031CD"/>
    <w:rsid w:val="030590C5"/>
    <w:rsid w:val="03710894"/>
    <w:rsid w:val="038B1013"/>
    <w:rsid w:val="0399F08F"/>
    <w:rsid w:val="03AADBAC"/>
    <w:rsid w:val="03F0C08D"/>
    <w:rsid w:val="043B3867"/>
    <w:rsid w:val="0488ADC3"/>
    <w:rsid w:val="04BDF9FD"/>
    <w:rsid w:val="04C07D06"/>
    <w:rsid w:val="04D0944F"/>
    <w:rsid w:val="0571C561"/>
    <w:rsid w:val="058D9B3A"/>
    <w:rsid w:val="067F4C90"/>
    <w:rsid w:val="06AADCD3"/>
    <w:rsid w:val="06BA1F6C"/>
    <w:rsid w:val="06E38420"/>
    <w:rsid w:val="072CBA8B"/>
    <w:rsid w:val="077BB646"/>
    <w:rsid w:val="077D4594"/>
    <w:rsid w:val="07882ADC"/>
    <w:rsid w:val="07E9BCD8"/>
    <w:rsid w:val="08CDF978"/>
    <w:rsid w:val="0907ABAB"/>
    <w:rsid w:val="0910873F"/>
    <w:rsid w:val="0917EA6A"/>
    <w:rsid w:val="099A6D50"/>
    <w:rsid w:val="09B8A2C5"/>
    <w:rsid w:val="0A070487"/>
    <w:rsid w:val="0A902F83"/>
    <w:rsid w:val="0ADFE79E"/>
    <w:rsid w:val="0B051CE2"/>
    <w:rsid w:val="0B967FF1"/>
    <w:rsid w:val="0BB6DD43"/>
    <w:rsid w:val="0C3CA8AE"/>
    <w:rsid w:val="0CB018C2"/>
    <w:rsid w:val="0CC89B0E"/>
    <w:rsid w:val="0CF75E47"/>
    <w:rsid w:val="0D52E277"/>
    <w:rsid w:val="0DA4C88A"/>
    <w:rsid w:val="0DECF8E2"/>
    <w:rsid w:val="0E3CBDA4"/>
    <w:rsid w:val="0E58DEFB"/>
    <w:rsid w:val="0EAAAC4B"/>
    <w:rsid w:val="0EBB3E94"/>
    <w:rsid w:val="0EE172E8"/>
    <w:rsid w:val="0F323E2F"/>
    <w:rsid w:val="0F860109"/>
    <w:rsid w:val="0FE1CD71"/>
    <w:rsid w:val="0FE8C086"/>
    <w:rsid w:val="1000BE33"/>
    <w:rsid w:val="10BCD3FA"/>
    <w:rsid w:val="10D92D12"/>
    <w:rsid w:val="11CF6D89"/>
    <w:rsid w:val="121E8FEB"/>
    <w:rsid w:val="125D3952"/>
    <w:rsid w:val="12EE5CFE"/>
    <w:rsid w:val="13C5697D"/>
    <w:rsid w:val="14BDA442"/>
    <w:rsid w:val="14CD45E6"/>
    <w:rsid w:val="14E57209"/>
    <w:rsid w:val="15B9404C"/>
    <w:rsid w:val="15BD592E"/>
    <w:rsid w:val="15EC1F3B"/>
    <w:rsid w:val="16226B92"/>
    <w:rsid w:val="16241491"/>
    <w:rsid w:val="162ECE12"/>
    <w:rsid w:val="163B869B"/>
    <w:rsid w:val="168671F8"/>
    <w:rsid w:val="169184BD"/>
    <w:rsid w:val="17322FDD"/>
    <w:rsid w:val="17CFEEC3"/>
    <w:rsid w:val="18006EFB"/>
    <w:rsid w:val="19BE69D3"/>
    <w:rsid w:val="19E47F08"/>
    <w:rsid w:val="1A201975"/>
    <w:rsid w:val="1A5E60FF"/>
    <w:rsid w:val="1B764C38"/>
    <w:rsid w:val="1BF77AFB"/>
    <w:rsid w:val="1C2E384E"/>
    <w:rsid w:val="1C5ED3CB"/>
    <w:rsid w:val="1D1E3DCD"/>
    <w:rsid w:val="1D68B482"/>
    <w:rsid w:val="1D9FD19D"/>
    <w:rsid w:val="1DB19BEC"/>
    <w:rsid w:val="1DC4ADC9"/>
    <w:rsid w:val="1DC9AD91"/>
    <w:rsid w:val="1E4C119B"/>
    <w:rsid w:val="1E6E2F97"/>
    <w:rsid w:val="1EC7E23C"/>
    <w:rsid w:val="1F1F956F"/>
    <w:rsid w:val="1F36B50C"/>
    <w:rsid w:val="201FEA9E"/>
    <w:rsid w:val="20201A59"/>
    <w:rsid w:val="202C3CB3"/>
    <w:rsid w:val="20D8A406"/>
    <w:rsid w:val="20FBFA0A"/>
    <w:rsid w:val="2100A187"/>
    <w:rsid w:val="211C622F"/>
    <w:rsid w:val="211ECEF5"/>
    <w:rsid w:val="21345E2D"/>
    <w:rsid w:val="2194131A"/>
    <w:rsid w:val="21C4AC87"/>
    <w:rsid w:val="21D6C8B4"/>
    <w:rsid w:val="221F738E"/>
    <w:rsid w:val="223AC9DF"/>
    <w:rsid w:val="226840D2"/>
    <w:rsid w:val="22FF7AE6"/>
    <w:rsid w:val="23212D01"/>
    <w:rsid w:val="232EDD45"/>
    <w:rsid w:val="233820EB"/>
    <w:rsid w:val="23F62A7E"/>
    <w:rsid w:val="247AC563"/>
    <w:rsid w:val="24B5A84F"/>
    <w:rsid w:val="24D3C878"/>
    <w:rsid w:val="2555FB08"/>
    <w:rsid w:val="25703CAD"/>
    <w:rsid w:val="25EE40F6"/>
    <w:rsid w:val="25F4B822"/>
    <w:rsid w:val="26872F63"/>
    <w:rsid w:val="26A3F8AE"/>
    <w:rsid w:val="27AE46CC"/>
    <w:rsid w:val="28758F16"/>
    <w:rsid w:val="28A05230"/>
    <w:rsid w:val="28BD7765"/>
    <w:rsid w:val="292F73EB"/>
    <w:rsid w:val="294112E2"/>
    <w:rsid w:val="29733BEA"/>
    <w:rsid w:val="2977FD2A"/>
    <w:rsid w:val="2993C733"/>
    <w:rsid w:val="2A233060"/>
    <w:rsid w:val="2B6DB840"/>
    <w:rsid w:val="2BBF00C1"/>
    <w:rsid w:val="2BEC9A0C"/>
    <w:rsid w:val="2C347D0D"/>
    <w:rsid w:val="2C729CE0"/>
    <w:rsid w:val="2C985401"/>
    <w:rsid w:val="2D119623"/>
    <w:rsid w:val="2D4F0FC6"/>
    <w:rsid w:val="2E0CAE29"/>
    <w:rsid w:val="2E3112FD"/>
    <w:rsid w:val="2EEEB3FD"/>
    <w:rsid w:val="300AF7FD"/>
    <w:rsid w:val="301EF6FA"/>
    <w:rsid w:val="301F6954"/>
    <w:rsid w:val="3085868F"/>
    <w:rsid w:val="30D65C5E"/>
    <w:rsid w:val="30DD8EF6"/>
    <w:rsid w:val="312156F5"/>
    <w:rsid w:val="312216A6"/>
    <w:rsid w:val="31315724"/>
    <w:rsid w:val="316F695F"/>
    <w:rsid w:val="3188D3E9"/>
    <w:rsid w:val="31B82801"/>
    <w:rsid w:val="322CA9C9"/>
    <w:rsid w:val="3347976D"/>
    <w:rsid w:val="33710E21"/>
    <w:rsid w:val="33946C39"/>
    <w:rsid w:val="339C966C"/>
    <w:rsid w:val="33C324D5"/>
    <w:rsid w:val="340EA654"/>
    <w:rsid w:val="34141670"/>
    <w:rsid w:val="344849C0"/>
    <w:rsid w:val="34D6EA03"/>
    <w:rsid w:val="34FCF059"/>
    <w:rsid w:val="3506BB28"/>
    <w:rsid w:val="35D4D788"/>
    <w:rsid w:val="36185BEE"/>
    <w:rsid w:val="362BA1F4"/>
    <w:rsid w:val="36A26B09"/>
    <w:rsid w:val="36E4DBA7"/>
    <w:rsid w:val="376DAE28"/>
    <w:rsid w:val="37B57B01"/>
    <w:rsid w:val="37D23B0A"/>
    <w:rsid w:val="37E5844A"/>
    <w:rsid w:val="382865A9"/>
    <w:rsid w:val="38866AD2"/>
    <w:rsid w:val="38B39A28"/>
    <w:rsid w:val="38B63C2D"/>
    <w:rsid w:val="397A0072"/>
    <w:rsid w:val="397E5BE9"/>
    <w:rsid w:val="3A245A9F"/>
    <w:rsid w:val="3B15D0D3"/>
    <w:rsid w:val="3BA1E0C6"/>
    <w:rsid w:val="3BC346A9"/>
    <w:rsid w:val="3C6260D5"/>
    <w:rsid w:val="3C83B974"/>
    <w:rsid w:val="3CE4C3FF"/>
    <w:rsid w:val="3D97A644"/>
    <w:rsid w:val="3DE45EF3"/>
    <w:rsid w:val="3DF95099"/>
    <w:rsid w:val="3E6DCC6D"/>
    <w:rsid w:val="3EA0B7B6"/>
    <w:rsid w:val="3EA75E15"/>
    <w:rsid w:val="3EE56548"/>
    <w:rsid w:val="3EEF11E8"/>
    <w:rsid w:val="3F0D8403"/>
    <w:rsid w:val="3F1CA23A"/>
    <w:rsid w:val="3F25FCE8"/>
    <w:rsid w:val="3F52F35D"/>
    <w:rsid w:val="3F73FCFE"/>
    <w:rsid w:val="3FEEB4F6"/>
    <w:rsid w:val="403FD80F"/>
    <w:rsid w:val="404865F8"/>
    <w:rsid w:val="406E3840"/>
    <w:rsid w:val="4139F545"/>
    <w:rsid w:val="413FB41F"/>
    <w:rsid w:val="4156066A"/>
    <w:rsid w:val="419B179B"/>
    <w:rsid w:val="41A3A31C"/>
    <w:rsid w:val="42AA45BD"/>
    <w:rsid w:val="435D4090"/>
    <w:rsid w:val="43A30192"/>
    <w:rsid w:val="441A18AB"/>
    <w:rsid w:val="445A4350"/>
    <w:rsid w:val="44E771A1"/>
    <w:rsid w:val="45330922"/>
    <w:rsid w:val="45ABAEA1"/>
    <w:rsid w:val="46283057"/>
    <w:rsid w:val="464DFD11"/>
    <w:rsid w:val="4680C7C6"/>
    <w:rsid w:val="46BAE6D6"/>
    <w:rsid w:val="46D21AB0"/>
    <w:rsid w:val="474E7516"/>
    <w:rsid w:val="474FB0CE"/>
    <w:rsid w:val="477F6938"/>
    <w:rsid w:val="47A86AAB"/>
    <w:rsid w:val="47C8FE27"/>
    <w:rsid w:val="47F27846"/>
    <w:rsid w:val="4809640D"/>
    <w:rsid w:val="480D9DCC"/>
    <w:rsid w:val="482DD887"/>
    <w:rsid w:val="483DBA27"/>
    <w:rsid w:val="484A25DF"/>
    <w:rsid w:val="487CC6AE"/>
    <w:rsid w:val="489A7F36"/>
    <w:rsid w:val="48CCF45E"/>
    <w:rsid w:val="49BDEA32"/>
    <w:rsid w:val="4A2C6C34"/>
    <w:rsid w:val="4A345C64"/>
    <w:rsid w:val="4A8005C4"/>
    <w:rsid w:val="4B0753E0"/>
    <w:rsid w:val="4B33E223"/>
    <w:rsid w:val="4B3CFBC9"/>
    <w:rsid w:val="4BEAD09D"/>
    <w:rsid w:val="4C9B8035"/>
    <w:rsid w:val="4DBFE1A9"/>
    <w:rsid w:val="4DD9E1F5"/>
    <w:rsid w:val="4E1FF956"/>
    <w:rsid w:val="4E46A018"/>
    <w:rsid w:val="4EBEA76A"/>
    <w:rsid w:val="4EEE02E7"/>
    <w:rsid w:val="4F24977F"/>
    <w:rsid w:val="50FB5AB8"/>
    <w:rsid w:val="50FBA328"/>
    <w:rsid w:val="51679034"/>
    <w:rsid w:val="524FD0C9"/>
    <w:rsid w:val="527B4618"/>
    <w:rsid w:val="528A88B1"/>
    <w:rsid w:val="52CCF645"/>
    <w:rsid w:val="52D83413"/>
    <w:rsid w:val="53501040"/>
    <w:rsid w:val="53566B2D"/>
    <w:rsid w:val="53CB19FC"/>
    <w:rsid w:val="53DC7B0D"/>
    <w:rsid w:val="53F7BD55"/>
    <w:rsid w:val="543829FB"/>
    <w:rsid w:val="54563EF3"/>
    <w:rsid w:val="54EE2A71"/>
    <w:rsid w:val="5664CB89"/>
    <w:rsid w:val="567EFC60"/>
    <w:rsid w:val="569D6D3A"/>
    <w:rsid w:val="56D8DB20"/>
    <w:rsid w:val="56F5DD06"/>
    <w:rsid w:val="570074F5"/>
    <w:rsid w:val="57B3FE7E"/>
    <w:rsid w:val="57E651BA"/>
    <w:rsid w:val="5805450B"/>
    <w:rsid w:val="5882C898"/>
    <w:rsid w:val="588F7407"/>
    <w:rsid w:val="59006941"/>
    <w:rsid w:val="5903A300"/>
    <w:rsid w:val="59DB3DA6"/>
    <w:rsid w:val="5A3ADF55"/>
    <w:rsid w:val="5A41D9F7"/>
    <w:rsid w:val="5A4B8A14"/>
    <w:rsid w:val="5ABD2689"/>
    <w:rsid w:val="5AED0365"/>
    <w:rsid w:val="5B471654"/>
    <w:rsid w:val="5BAE0C84"/>
    <w:rsid w:val="5BB612E5"/>
    <w:rsid w:val="5BD269FD"/>
    <w:rsid w:val="5BEA1D59"/>
    <w:rsid w:val="5C33FFC5"/>
    <w:rsid w:val="5C3D6B17"/>
    <w:rsid w:val="5C7AFF5B"/>
    <w:rsid w:val="5CBDA310"/>
    <w:rsid w:val="5CDF0B79"/>
    <w:rsid w:val="5D3E5647"/>
    <w:rsid w:val="5D70D9F4"/>
    <w:rsid w:val="5D81B341"/>
    <w:rsid w:val="5DC615DB"/>
    <w:rsid w:val="5E1D6140"/>
    <w:rsid w:val="5E4568F3"/>
    <w:rsid w:val="5EC9E33F"/>
    <w:rsid w:val="5EE65CA8"/>
    <w:rsid w:val="5EEBEB03"/>
    <w:rsid w:val="5F0F980A"/>
    <w:rsid w:val="5F5EEDCE"/>
    <w:rsid w:val="5F6E4780"/>
    <w:rsid w:val="5F961AA1"/>
    <w:rsid w:val="5FC2D676"/>
    <w:rsid w:val="5FF73AC3"/>
    <w:rsid w:val="6066B20F"/>
    <w:rsid w:val="60FBC632"/>
    <w:rsid w:val="61659D6F"/>
    <w:rsid w:val="6178C7F6"/>
    <w:rsid w:val="617FF854"/>
    <w:rsid w:val="618824CD"/>
    <w:rsid w:val="619DC0A4"/>
    <w:rsid w:val="61A9AD92"/>
    <w:rsid w:val="61AFAC0F"/>
    <w:rsid w:val="61E129CB"/>
    <w:rsid w:val="62A9B7DC"/>
    <w:rsid w:val="636BC6C3"/>
    <w:rsid w:val="6386D426"/>
    <w:rsid w:val="63AFAA7B"/>
    <w:rsid w:val="64067CD3"/>
    <w:rsid w:val="640D2274"/>
    <w:rsid w:val="6489716E"/>
    <w:rsid w:val="65EAB32F"/>
    <w:rsid w:val="660D3C62"/>
    <w:rsid w:val="6618646E"/>
    <w:rsid w:val="66771DBF"/>
    <w:rsid w:val="66BFB4FB"/>
    <w:rsid w:val="6797F2AC"/>
    <w:rsid w:val="68949844"/>
    <w:rsid w:val="68B74B6E"/>
    <w:rsid w:val="6908EE7F"/>
    <w:rsid w:val="693D1BF1"/>
    <w:rsid w:val="69409D2E"/>
    <w:rsid w:val="6994994D"/>
    <w:rsid w:val="69D6B370"/>
    <w:rsid w:val="6A531BCF"/>
    <w:rsid w:val="6A7C61C4"/>
    <w:rsid w:val="6AC120C3"/>
    <w:rsid w:val="6AE0AD85"/>
    <w:rsid w:val="6B086932"/>
    <w:rsid w:val="6B29F391"/>
    <w:rsid w:val="6B2BF6EA"/>
    <w:rsid w:val="6B5CBB75"/>
    <w:rsid w:val="6B66CF8A"/>
    <w:rsid w:val="6B9A0ACB"/>
    <w:rsid w:val="6C83FF4C"/>
    <w:rsid w:val="6D3B29D4"/>
    <w:rsid w:val="6D5AE21F"/>
    <w:rsid w:val="6D8A5A4E"/>
    <w:rsid w:val="6D90EF0C"/>
    <w:rsid w:val="6D9ACE9E"/>
    <w:rsid w:val="6E399ADC"/>
    <w:rsid w:val="6E8B85C6"/>
    <w:rsid w:val="6EC7DD1B"/>
    <w:rsid w:val="6F5A6A7C"/>
    <w:rsid w:val="6FEA52A8"/>
    <w:rsid w:val="6FEFB27A"/>
    <w:rsid w:val="6FF97052"/>
    <w:rsid w:val="705A761A"/>
    <w:rsid w:val="7061BEB6"/>
    <w:rsid w:val="706F41A8"/>
    <w:rsid w:val="70CD7239"/>
    <w:rsid w:val="71404066"/>
    <w:rsid w:val="716CB16C"/>
    <w:rsid w:val="72765FE4"/>
    <w:rsid w:val="72FD2694"/>
    <w:rsid w:val="735A29FB"/>
    <w:rsid w:val="7393FFA9"/>
    <w:rsid w:val="73A426DE"/>
    <w:rsid w:val="7477CA0D"/>
    <w:rsid w:val="748367A2"/>
    <w:rsid w:val="74A03140"/>
    <w:rsid w:val="7535C374"/>
    <w:rsid w:val="757B52BE"/>
    <w:rsid w:val="76357A27"/>
    <w:rsid w:val="7738C901"/>
    <w:rsid w:val="77878E0C"/>
    <w:rsid w:val="77D82322"/>
    <w:rsid w:val="78B9C26D"/>
    <w:rsid w:val="791BD652"/>
    <w:rsid w:val="7985D65B"/>
    <w:rsid w:val="7A8C013E"/>
    <w:rsid w:val="7A9AB41F"/>
    <w:rsid w:val="7AA3FB5E"/>
    <w:rsid w:val="7ADDD545"/>
    <w:rsid w:val="7AE52CB9"/>
    <w:rsid w:val="7B9D6FB8"/>
    <w:rsid w:val="7C1A717C"/>
    <w:rsid w:val="7C452040"/>
    <w:rsid w:val="7C5296AF"/>
    <w:rsid w:val="7D143120"/>
    <w:rsid w:val="7D21B992"/>
    <w:rsid w:val="7D63F7B5"/>
    <w:rsid w:val="7D9AED3E"/>
    <w:rsid w:val="7DF8AED0"/>
    <w:rsid w:val="7E580E6A"/>
    <w:rsid w:val="7E967A75"/>
    <w:rsid w:val="7EBA3F1E"/>
    <w:rsid w:val="7EF9FBAC"/>
    <w:rsid w:val="7F4D2837"/>
    <w:rsid w:val="7F71E0E9"/>
    <w:rsid w:val="7FC42FA7"/>
  </w:rsids>
  <m:mathPr>
    <m:mathFont m:val="Cambria Math"/>
    <m:brkBin m:val="before"/>
    <m:brkBinSub m:val="--"/>
    <m:smallFrac m:val="0"/>
    <m:dispDef/>
    <m:lMargin m:val="0"/>
    <m:rMargin m:val="0"/>
    <m:defJc m:val="centerGroup"/>
    <m:wrapIndent m:val="1440"/>
    <m:intLim m:val="subSup"/>
    <m:naryLim m:val="undOvr"/>
  </m:mathPr>
  <w:themeFontLang w:val="en-CA"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8"/>
    <o:shapelayout v:ext="edit">
      <o:idmap v:ext="edit" data="1"/>
    </o:shapelayout>
  </w:shapeDefaults>
  <w:decimalSymbol w:val="."/>
  <w:listSeparator w:val=","/>
  <w14:docId w14:val="2B2824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CA" w:eastAsia="en-CA"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iPriority="99"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D6F68"/>
    <w:pPr>
      <w:spacing w:after="80"/>
    </w:pPr>
    <w:rPr>
      <w:sz w:val="22"/>
      <w:lang w:val="en-US"/>
    </w:rPr>
  </w:style>
  <w:style w:type="paragraph" w:styleId="Heading1">
    <w:name w:val="heading 1"/>
    <w:aliases w:val="h1"/>
    <w:basedOn w:val="Normal"/>
    <w:next w:val="BodyText"/>
    <w:link w:val="Heading1Char"/>
    <w:qFormat/>
    <w:rsid w:val="006D6F68"/>
    <w:pPr>
      <w:keepNext/>
      <w:widowControl w:val="0"/>
      <w:numPr>
        <w:numId w:val="27"/>
      </w:numPr>
      <w:pBdr>
        <w:bottom w:val="single" w:sz="24" w:space="1" w:color="C0C0C0"/>
      </w:pBdr>
      <w:shd w:val="solid" w:color="FFFFFF" w:fill="FFFFFF"/>
      <w:spacing w:before="500" w:after="300"/>
      <w:outlineLvl w:val="0"/>
    </w:pPr>
    <w:rPr>
      <w:rFonts w:ascii="Arial" w:hAnsi="Arial"/>
      <w:b/>
      <w:sz w:val="44"/>
      <w:shd w:val="solid" w:color="FFFFFF" w:fill="FFFFFF"/>
    </w:rPr>
  </w:style>
  <w:style w:type="paragraph" w:styleId="Heading2">
    <w:name w:val="heading 2"/>
    <w:aliases w:val="h2,NPB"/>
    <w:next w:val="BodyText"/>
    <w:link w:val="Heading2Char"/>
    <w:qFormat/>
    <w:rsid w:val="006D6F68"/>
    <w:pPr>
      <w:keepNext/>
      <w:numPr>
        <w:ilvl w:val="1"/>
        <w:numId w:val="27"/>
      </w:numPr>
      <w:spacing w:before="480" w:after="80"/>
      <w:outlineLvl w:val="1"/>
    </w:pPr>
    <w:rPr>
      <w:rFonts w:ascii="Arial" w:hAnsi="Arial"/>
      <w:b/>
      <w:sz w:val="32"/>
      <w:lang w:val="en-US"/>
    </w:rPr>
  </w:style>
  <w:style w:type="paragraph" w:styleId="Heading3">
    <w:name w:val="heading 3"/>
    <w:aliases w:val="heading 3,h3,No Indent"/>
    <w:next w:val="BodyText"/>
    <w:link w:val="Heading3Char"/>
    <w:qFormat/>
    <w:rsid w:val="006D6F68"/>
    <w:pPr>
      <w:keepNext/>
      <w:numPr>
        <w:ilvl w:val="2"/>
        <w:numId w:val="27"/>
      </w:numPr>
      <w:spacing w:before="360" w:after="80"/>
      <w:outlineLvl w:val="2"/>
    </w:pPr>
    <w:rPr>
      <w:rFonts w:ascii="Arial" w:hAnsi="Arial"/>
      <w:b/>
      <w:sz w:val="28"/>
      <w:lang w:val="en-US"/>
    </w:rPr>
  </w:style>
  <w:style w:type="paragraph" w:styleId="Heading4">
    <w:name w:val="heading 4"/>
    <w:aliases w:val="Table head,Signature Space"/>
    <w:basedOn w:val="Normal"/>
    <w:next w:val="BodyText"/>
    <w:link w:val="Heading4Char"/>
    <w:autoRedefine/>
    <w:qFormat/>
    <w:rsid w:val="00B442BA"/>
    <w:pPr>
      <w:keepNext/>
      <w:numPr>
        <w:ilvl w:val="3"/>
        <w:numId w:val="27"/>
      </w:numPr>
      <w:tabs>
        <w:tab w:val="clear" w:pos="6030"/>
        <w:tab w:val="num" w:pos="1170"/>
      </w:tabs>
      <w:spacing w:before="240" w:after="40"/>
      <w:ind w:left="1170"/>
      <w:outlineLvl w:val="3"/>
    </w:pPr>
    <w:rPr>
      <w:rFonts w:ascii="Arial" w:hAnsi="Arial"/>
      <w:b/>
      <w:sz w:val="24"/>
    </w:rPr>
  </w:style>
  <w:style w:type="paragraph" w:styleId="Heading5">
    <w:name w:val="heading 5"/>
    <w:aliases w:val="h5,Block Label,Table column head"/>
    <w:basedOn w:val="Normal"/>
    <w:next w:val="BodyText"/>
    <w:link w:val="Heading5Char"/>
    <w:qFormat/>
    <w:rsid w:val="006D6F68"/>
    <w:pPr>
      <w:keepNext/>
      <w:spacing w:before="240" w:after="40"/>
      <w:outlineLvl w:val="4"/>
    </w:pPr>
    <w:rPr>
      <w:rFonts w:ascii="Arial" w:hAnsi="Arial"/>
      <w:sz w:val="24"/>
    </w:rPr>
  </w:style>
  <w:style w:type="paragraph" w:styleId="Heading6">
    <w:name w:val="heading 6"/>
    <w:basedOn w:val="Normal"/>
    <w:next w:val="Normal"/>
    <w:qFormat/>
    <w:rsid w:val="006D6F68"/>
    <w:pPr>
      <w:tabs>
        <w:tab w:val="num" w:pos="1440"/>
      </w:tabs>
      <w:spacing w:after="160"/>
      <w:ind w:left="1440" w:hanging="360"/>
      <w:outlineLvl w:val="5"/>
    </w:pPr>
    <w:rPr>
      <w:b/>
      <w:sz w:val="32"/>
    </w:rPr>
  </w:style>
  <w:style w:type="paragraph" w:styleId="Heading7">
    <w:name w:val="heading 7"/>
    <w:basedOn w:val="Heading1"/>
    <w:next w:val="BodyText"/>
    <w:qFormat/>
    <w:rsid w:val="006D6F68"/>
    <w:pPr>
      <w:numPr>
        <w:ilvl w:val="6"/>
        <w:numId w:val="24"/>
      </w:numPr>
      <w:spacing w:before="240" w:after="40"/>
      <w:outlineLvl w:val="6"/>
    </w:pPr>
  </w:style>
  <w:style w:type="paragraph" w:styleId="Heading8">
    <w:name w:val="heading 8"/>
    <w:basedOn w:val="Heading2"/>
    <w:next w:val="BodyText"/>
    <w:qFormat/>
    <w:rsid w:val="006D6F68"/>
    <w:pPr>
      <w:tabs>
        <w:tab w:val="left" w:pos="936"/>
      </w:tabs>
      <w:outlineLvl w:val="7"/>
    </w:pPr>
  </w:style>
  <w:style w:type="paragraph" w:styleId="Heading9">
    <w:name w:val="heading 9"/>
    <w:basedOn w:val="Heading3"/>
    <w:next w:val="BodyText"/>
    <w:qFormat/>
    <w:rsid w:val="006D6F68"/>
    <w:pPr>
      <w:tabs>
        <w:tab w:val="left" w:pos="936"/>
      </w:tabs>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6D6F68"/>
    <w:pPr>
      <w:spacing w:before="120" w:after="120"/>
    </w:pPr>
  </w:style>
  <w:style w:type="paragraph" w:customStyle="1" w:styleId="FootnoteBase">
    <w:name w:val="Footnote Base"/>
    <w:basedOn w:val="Normal"/>
    <w:rsid w:val="006D6F68"/>
    <w:pPr>
      <w:keepLines/>
      <w:spacing w:line="200" w:lineRule="atLeast"/>
    </w:pPr>
    <w:rPr>
      <w:rFonts w:ascii="Arial" w:hAnsi="Arial"/>
      <w:spacing w:val="-5"/>
      <w:sz w:val="16"/>
    </w:rPr>
  </w:style>
  <w:style w:type="paragraph" w:customStyle="1" w:styleId="Abstract">
    <w:name w:val="Abstract"/>
    <w:basedOn w:val="Normal"/>
    <w:rsid w:val="006D6F68"/>
    <w:pPr>
      <w:spacing w:before="80" w:after="120"/>
      <w:ind w:left="2160"/>
      <w:jc w:val="right"/>
    </w:pPr>
    <w:rPr>
      <w:rFonts w:ascii="Arial Narrow" w:hAnsi="Arial Narrow"/>
      <w:b/>
    </w:rPr>
  </w:style>
  <w:style w:type="paragraph" w:styleId="ListContinue">
    <w:name w:val="List Continue"/>
    <w:basedOn w:val="BodyText"/>
    <w:rsid w:val="006D6F68"/>
    <w:pPr>
      <w:spacing w:before="40" w:after="80"/>
    </w:pPr>
    <w:rPr>
      <w:noProof/>
    </w:rPr>
  </w:style>
  <w:style w:type="paragraph" w:styleId="ListNumber">
    <w:name w:val="List Number"/>
    <w:basedOn w:val="BodyText"/>
    <w:rsid w:val="006D6F68"/>
    <w:pPr>
      <w:numPr>
        <w:numId w:val="3"/>
      </w:numPr>
      <w:spacing w:before="40" w:after="80"/>
    </w:pPr>
  </w:style>
  <w:style w:type="paragraph" w:customStyle="1" w:styleId="DocumentControlTableHead">
    <w:name w:val="DocumentControlTableHead"/>
    <w:basedOn w:val="Normal"/>
    <w:rsid w:val="006D6F68"/>
    <w:pPr>
      <w:spacing w:before="120" w:after="40"/>
    </w:pPr>
    <w:rPr>
      <w:b/>
    </w:rPr>
  </w:style>
  <w:style w:type="character" w:styleId="FootnoteReference">
    <w:name w:val="footnote reference"/>
    <w:rsid w:val="006D6F68"/>
    <w:rPr>
      <w:bdr w:val="none" w:sz="0" w:space="0" w:color="auto"/>
      <w:vertAlign w:val="superscript"/>
    </w:rPr>
  </w:style>
  <w:style w:type="paragraph" w:styleId="ListContinue2">
    <w:name w:val="List Continue 2"/>
    <w:basedOn w:val="BodyText"/>
    <w:rsid w:val="006D6F68"/>
    <w:pPr>
      <w:spacing w:before="40" w:after="80"/>
      <w:ind w:left="1224"/>
    </w:pPr>
  </w:style>
  <w:style w:type="paragraph" w:customStyle="1" w:styleId="DocumentControlHeading">
    <w:name w:val="DocumentControlHeading"/>
    <w:next w:val="DocumentControlSubHeading"/>
    <w:rsid w:val="006D6F68"/>
    <w:pPr>
      <w:spacing w:after="120"/>
    </w:pPr>
    <w:rPr>
      <w:rFonts w:ascii="Arial" w:hAnsi="Arial"/>
      <w:b/>
      <w:noProof/>
      <w:sz w:val="28"/>
    </w:rPr>
  </w:style>
  <w:style w:type="paragraph" w:customStyle="1" w:styleId="DocumentControlSubHeading">
    <w:name w:val="DocumentControlSubHeading"/>
    <w:rsid w:val="006D6F68"/>
    <w:rPr>
      <w:rFonts w:ascii="Arial" w:hAnsi="Arial"/>
      <w:b/>
      <w:i/>
      <w:noProof/>
      <w:sz w:val="24"/>
    </w:rPr>
  </w:style>
  <w:style w:type="paragraph" w:customStyle="1" w:styleId="Figure">
    <w:name w:val="Figure"/>
    <w:basedOn w:val="Normal"/>
    <w:next w:val="FigureCaption"/>
    <w:rsid w:val="006D6F68"/>
    <w:pPr>
      <w:spacing w:before="240" w:after="60"/>
      <w:jc w:val="center"/>
    </w:pPr>
    <w:rPr>
      <w:noProof/>
    </w:rPr>
  </w:style>
  <w:style w:type="paragraph" w:customStyle="1" w:styleId="FigureCaption">
    <w:name w:val="Figure Caption"/>
    <w:basedOn w:val="Normal"/>
    <w:link w:val="FigureCaptionChar"/>
    <w:rsid w:val="006D6F68"/>
    <w:pPr>
      <w:tabs>
        <w:tab w:val="left" w:pos="1800"/>
      </w:tabs>
      <w:spacing w:before="40" w:after="240"/>
      <w:jc w:val="center"/>
    </w:pPr>
    <w:rPr>
      <w:b/>
      <w:snapToGrid w:val="0"/>
      <w:color w:val="000000"/>
      <w:lang w:eastAsia="en-US"/>
    </w:rPr>
  </w:style>
  <w:style w:type="paragraph" w:styleId="Header">
    <w:name w:val="header"/>
    <w:basedOn w:val="Normal"/>
    <w:link w:val="HeaderChar"/>
    <w:rsid w:val="006D6F68"/>
    <w:pPr>
      <w:pBdr>
        <w:bottom w:val="single" w:sz="6" w:space="1" w:color="auto"/>
      </w:pBdr>
      <w:tabs>
        <w:tab w:val="right" w:pos="9540"/>
      </w:tabs>
      <w:ind w:left="-720" w:right="-540"/>
    </w:pPr>
    <w:rPr>
      <w:sz w:val="20"/>
    </w:rPr>
  </w:style>
  <w:style w:type="paragraph" w:styleId="Footer">
    <w:name w:val="footer"/>
    <w:basedOn w:val="Normal"/>
    <w:link w:val="FooterChar"/>
    <w:qFormat/>
    <w:rsid w:val="006D6F68"/>
    <w:pPr>
      <w:pBdr>
        <w:top w:val="single" w:sz="4" w:space="1" w:color="auto"/>
      </w:pBdr>
      <w:tabs>
        <w:tab w:val="center" w:pos="4824"/>
        <w:tab w:val="right" w:pos="9720"/>
      </w:tabs>
      <w:ind w:left="-720" w:right="-720"/>
    </w:pPr>
    <w:rPr>
      <w:sz w:val="20"/>
    </w:rPr>
  </w:style>
  <w:style w:type="paragraph" w:styleId="FootnoteText">
    <w:name w:val="footnote text"/>
    <w:basedOn w:val="FootnoteBase"/>
    <w:link w:val="FootnoteTextChar"/>
    <w:rsid w:val="006D6F68"/>
    <w:pPr>
      <w:ind w:left="144" w:hanging="144"/>
    </w:pPr>
  </w:style>
  <w:style w:type="paragraph" w:customStyle="1" w:styleId="Domain">
    <w:name w:val="Domain"/>
    <w:basedOn w:val="Normal"/>
    <w:next w:val="Normal"/>
    <w:rsid w:val="006D6F68"/>
    <w:pPr>
      <w:keepNext/>
      <w:jc w:val="center"/>
    </w:pPr>
    <w:rPr>
      <w:rFonts w:ascii="Arial" w:hAnsi="Arial"/>
      <w:b/>
      <w:sz w:val="48"/>
    </w:rPr>
  </w:style>
  <w:style w:type="paragraph" w:customStyle="1" w:styleId="DocumentType">
    <w:name w:val="Document Type"/>
    <w:basedOn w:val="Normal"/>
    <w:rsid w:val="006D6F68"/>
    <w:pPr>
      <w:keepNext/>
      <w:spacing w:before="180"/>
      <w:jc w:val="center"/>
    </w:pPr>
    <w:rPr>
      <w:rFonts w:ascii="Arial" w:hAnsi="Arial"/>
      <w:b/>
      <w:color w:val="FFFFFF"/>
      <w:sz w:val="170"/>
    </w:rPr>
  </w:style>
  <w:style w:type="paragraph" w:customStyle="1" w:styleId="Title1">
    <w:name w:val="Title1"/>
    <w:basedOn w:val="Normal"/>
    <w:rsid w:val="006D6F68"/>
    <w:pPr>
      <w:pBdr>
        <w:bottom w:val="single" w:sz="12" w:space="10" w:color="auto"/>
      </w:pBdr>
      <w:spacing w:before="160" w:after="120" w:line="940" w:lineRule="exact"/>
      <w:jc w:val="right"/>
    </w:pPr>
    <w:rPr>
      <w:rFonts w:ascii="Arial" w:hAnsi="Arial"/>
      <w:b/>
      <w:sz w:val="72"/>
    </w:rPr>
  </w:style>
  <w:style w:type="paragraph" w:customStyle="1" w:styleId="Title2">
    <w:name w:val="Title2"/>
    <w:basedOn w:val="Normal"/>
    <w:rsid w:val="006D6F68"/>
    <w:pPr>
      <w:pBdr>
        <w:top w:val="single" w:sz="12" w:space="8" w:color="auto"/>
      </w:pBdr>
      <w:spacing w:before="120" w:after="0"/>
      <w:jc w:val="right"/>
    </w:pPr>
    <w:rPr>
      <w:rFonts w:ascii="Arial" w:hAnsi="Arial"/>
      <w:b/>
      <w:sz w:val="44"/>
    </w:rPr>
  </w:style>
  <w:style w:type="paragraph" w:customStyle="1" w:styleId="DocumentRef">
    <w:name w:val="DocumentRef"/>
    <w:basedOn w:val="Normal"/>
    <w:rsid w:val="006E74FD"/>
    <w:pPr>
      <w:spacing w:before="80"/>
      <w:ind w:left="2246" w:hanging="2246"/>
    </w:pPr>
    <w:rPr>
      <w:rFonts w:ascii="Arial" w:hAnsi="Arial"/>
      <w:sz w:val="18"/>
    </w:rPr>
  </w:style>
  <w:style w:type="paragraph" w:styleId="ListBullet3">
    <w:name w:val="List Bullet 3"/>
    <w:basedOn w:val="BodyText"/>
    <w:autoRedefine/>
    <w:rsid w:val="00B658A8"/>
    <w:pPr>
      <w:spacing w:before="40" w:after="80"/>
    </w:pPr>
  </w:style>
  <w:style w:type="paragraph" w:styleId="ListBullet">
    <w:name w:val="List Bullet"/>
    <w:basedOn w:val="BodyText"/>
    <w:rsid w:val="006D6F68"/>
    <w:pPr>
      <w:numPr>
        <w:numId w:val="2"/>
      </w:numPr>
      <w:spacing w:before="40" w:after="80"/>
    </w:pPr>
  </w:style>
  <w:style w:type="paragraph" w:styleId="ListBullet4">
    <w:name w:val="List Bullet 4"/>
    <w:basedOn w:val="ListBullet"/>
    <w:autoRedefine/>
    <w:rsid w:val="006D6F68"/>
    <w:pPr>
      <w:numPr>
        <w:numId w:val="0"/>
      </w:numPr>
      <w:tabs>
        <w:tab w:val="num" w:pos="2160"/>
      </w:tabs>
      <w:ind w:left="2160" w:hanging="360"/>
    </w:pPr>
  </w:style>
  <w:style w:type="paragraph" w:styleId="TOC2">
    <w:name w:val="toc 2"/>
    <w:basedOn w:val="Normal"/>
    <w:next w:val="Normal"/>
    <w:autoRedefine/>
    <w:uiPriority w:val="39"/>
    <w:rsid w:val="006D6F68"/>
    <w:pPr>
      <w:tabs>
        <w:tab w:val="left" w:pos="1224"/>
        <w:tab w:val="right" w:leader="dot" w:pos="9000"/>
      </w:tabs>
      <w:spacing w:before="80" w:after="0"/>
      <w:ind w:left="1224" w:right="900" w:hanging="720"/>
    </w:pPr>
    <w:rPr>
      <w:rFonts w:ascii="Arial" w:hAnsi="Arial"/>
      <w:noProof/>
    </w:rPr>
  </w:style>
  <w:style w:type="paragraph" w:customStyle="1" w:styleId="DocumentNumber">
    <w:name w:val="DocumentNumber"/>
    <w:basedOn w:val="Normal"/>
    <w:rsid w:val="006D6F68"/>
    <w:rPr>
      <w:rFonts w:ascii="Arial" w:hAnsi="Arial"/>
    </w:rPr>
  </w:style>
  <w:style w:type="paragraph" w:customStyle="1" w:styleId="Head1NoNum">
    <w:name w:val="Head1NoNum"/>
    <w:basedOn w:val="Normal"/>
    <w:next w:val="BodyText"/>
    <w:rsid w:val="006D6F68"/>
    <w:pPr>
      <w:keepNext/>
      <w:widowControl w:val="0"/>
      <w:pBdr>
        <w:bottom w:val="single" w:sz="24" w:space="1" w:color="C0C0C0"/>
      </w:pBdr>
      <w:shd w:val="solid" w:color="FFFFFF" w:fill="FFFFFF"/>
      <w:spacing w:before="500" w:after="300"/>
      <w:outlineLvl w:val="0"/>
    </w:pPr>
    <w:rPr>
      <w:rFonts w:ascii="Arial" w:hAnsi="Arial"/>
      <w:b/>
      <w:sz w:val="44"/>
      <w:shd w:val="solid" w:color="FFFFFF" w:fill="FFFFFF"/>
    </w:rPr>
  </w:style>
  <w:style w:type="paragraph" w:styleId="ListNumber2">
    <w:name w:val="List Number 2"/>
    <w:basedOn w:val="BodyText"/>
    <w:rsid w:val="006D6F68"/>
    <w:pPr>
      <w:tabs>
        <w:tab w:val="left" w:pos="1224"/>
      </w:tabs>
      <w:spacing w:before="40" w:after="80"/>
    </w:pPr>
  </w:style>
  <w:style w:type="paragraph" w:styleId="TOC1">
    <w:name w:val="toc 1"/>
    <w:basedOn w:val="Normal"/>
    <w:next w:val="Normal"/>
    <w:autoRedefine/>
    <w:uiPriority w:val="39"/>
    <w:rsid w:val="000E3B3D"/>
    <w:pPr>
      <w:tabs>
        <w:tab w:val="left" w:pos="504"/>
        <w:tab w:val="right" w:leader="dot" w:pos="9000"/>
      </w:tabs>
      <w:spacing w:before="240" w:after="0"/>
      <w:ind w:left="504" w:right="576" w:hanging="504"/>
    </w:pPr>
    <w:rPr>
      <w:rFonts w:ascii="Arial" w:hAnsi="Arial"/>
      <w:noProof/>
      <w:sz w:val="24"/>
      <w:lang w:val="en-CA"/>
    </w:rPr>
  </w:style>
  <w:style w:type="paragraph" w:styleId="TOC3">
    <w:name w:val="toc 3"/>
    <w:basedOn w:val="Normal"/>
    <w:next w:val="Normal"/>
    <w:autoRedefine/>
    <w:uiPriority w:val="39"/>
    <w:rsid w:val="000E3B3D"/>
    <w:pPr>
      <w:tabs>
        <w:tab w:val="left" w:pos="1944"/>
        <w:tab w:val="right" w:leader="dot" w:pos="9000"/>
      </w:tabs>
      <w:spacing w:after="40"/>
      <w:ind w:left="1944" w:hanging="720"/>
    </w:pPr>
    <w:rPr>
      <w:rFonts w:ascii="Arial" w:hAnsi="Arial"/>
    </w:rPr>
  </w:style>
  <w:style w:type="paragraph" w:customStyle="1" w:styleId="TableofContents">
    <w:name w:val="TableofContents"/>
    <w:basedOn w:val="Head1NoNum"/>
    <w:rsid w:val="006D6F68"/>
  </w:style>
  <w:style w:type="paragraph" w:customStyle="1" w:styleId="Bibliographytext">
    <w:name w:val="Bibliography text"/>
    <w:basedOn w:val="Normal"/>
    <w:rsid w:val="006D6F68"/>
    <w:pPr>
      <w:numPr>
        <w:numId w:val="5"/>
      </w:numPr>
      <w:spacing w:before="80" w:after="60"/>
    </w:pPr>
    <w:rPr>
      <w:noProof/>
    </w:rPr>
  </w:style>
  <w:style w:type="paragraph" w:styleId="ListBullet2">
    <w:name w:val="List Bullet 2"/>
    <w:basedOn w:val="BodyText"/>
    <w:rsid w:val="006D6F68"/>
    <w:pPr>
      <w:numPr>
        <w:numId w:val="33"/>
      </w:numPr>
      <w:spacing w:before="40" w:after="80"/>
    </w:pPr>
  </w:style>
  <w:style w:type="paragraph" w:customStyle="1" w:styleId="Bibliographyexample">
    <w:name w:val="Bibliography example"/>
    <w:basedOn w:val="Bibliographytext"/>
    <w:rsid w:val="006D6F68"/>
    <w:pPr>
      <w:numPr>
        <w:numId w:val="0"/>
      </w:numPr>
      <w:ind w:left="720"/>
    </w:pPr>
  </w:style>
  <w:style w:type="paragraph" w:customStyle="1" w:styleId="Version">
    <w:name w:val="Version"/>
    <w:basedOn w:val="Title2"/>
    <w:rsid w:val="006D6F68"/>
    <w:pPr>
      <w:pBdr>
        <w:top w:val="none" w:sz="0" w:space="0" w:color="auto"/>
      </w:pBdr>
    </w:pPr>
  </w:style>
  <w:style w:type="paragraph" w:customStyle="1" w:styleId="FooterCopyright">
    <w:name w:val="FooterCopyright"/>
    <w:basedOn w:val="Footer"/>
    <w:rsid w:val="006D6F68"/>
    <w:pPr>
      <w:pBdr>
        <w:top w:val="single" w:sz="6" w:space="1" w:color="auto"/>
      </w:pBdr>
      <w:tabs>
        <w:tab w:val="right" w:pos="9360"/>
      </w:tabs>
    </w:pPr>
    <w:rPr>
      <w:b/>
      <w:sz w:val="16"/>
    </w:rPr>
  </w:style>
  <w:style w:type="paragraph" w:customStyle="1" w:styleId="Note">
    <w:name w:val="Note"/>
    <w:basedOn w:val="Normal"/>
    <w:rsid w:val="006D6F68"/>
    <w:pPr>
      <w:pBdr>
        <w:top w:val="single" w:sz="4" w:space="5" w:color="auto"/>
        <w:left w:val="single" w:sz="4" w:space="5" w:color="auto"/>
        <w:bottom w:val="single" w:sz="4" w:space="5" w:color="auto"/>
        <w:right w:val="single" w:sz="4" w:space="5" w:color="auto"/>
      </w:pBdr>
      <w:spacing w:before="240" w:after="240"/>
      <w:ind w:left="504"/>
    </w:pPr>
    <w:rPr>
      <w:rFonts w:ascii="Arial" w:hAnsi="Arial"/>
    </w:rPr>
  </w:style>
  <w:style w:type="paragraph" w:styleId="ListNumber4">
    <w:name w:val="List Number 4"/>
    <w:basedOn w:val="ListNumber"/>
    <w:rsid w:val="006D6F68"/>
    <w:pPr>
      <w:numPr>
        <w:numId w:val="0"/>
      </w:numPr>
      <w:tabs>
        <w:tab w:val="left" w:pos="2160"/>
      </w:tabs>
      <w:ind w:left="2160" w:hanging="360"/>
    </w:pPr>
  </w:style>
  <w:style w:type="paragraph" w:customStyle="1" w:styleId="IndentedText">
    <w:name w:val="Indented Text"/>
    <w:basedOn w:val="Normal"/>
    <w:next w:val="Normal"/>
    <w:rsid w:val="006D6F68"/>
    <w:pPr>
      <w:spacing w:before="60" w:after="60"/>
      <w:ind w:left="2160"/>
      <w:jc w:val="both"/>
    </w:pPr>
    <w:rPr>
      <w:rFonts w:ascii="Arial" w:hAnsi="Arial"/>
    </w:rPr>
  </w:style>
  <w:style w:type="paragraph" w:customStyle="1" w:styleId="DocumentControlTableText">
    <w:name w:val="DocumentControlTableText"/>
    <w:basedOn w:val="Normal"/>
    <w:rsid w:val="006D6F68"/>
    <w:pPr>
      <w:spacing w:before="80"/>
    </w:pPr>
  </w:style>
  <w:style w:type="paragraph" w:styleId="ListContinue3">
    <w:name w:val="List Continue 3"/>
    <w:basedOn w:val="BodyText"/>
    <w:rsid w:val="006D6F68"/>
    <w:pPr>
      <w:spacing w:before="40" w:after="80"/>
      <w:ind w:left="1584"/>
    </w:pPr>
  </w:style>
  <w:style w:type="paragraph" w:styleId="ListContinue4">
    <w:name w:val="List Continue 4"/>
    <w:basedOn w:val="ListContinue"/>
    <w:rsid w:val="006D6F68"/>
    <w:pPr>
      <w:ind w:left="1987"/>
    </w:pPr>
  </w:style>
  <w:style w:type="paragraph" w:styleId="ListNumber3">
    <w:name w:val="List Number 3"/>
    <w:basedOn w:val="BodyText"/>
    <w:rsid w:val="006D6F68"/>
    <w:pPr>
      <w:numPr>
        <w:numId w:val="1"/>
      </w:numPr>
      <w:tabs>
        <w:tab w:val="clear" w:pos="1800"/>
      </w:tabs>
      <w:spacing w:before="40" w:after="80"/>
      <w:ind w:left="1584"/>
    </w:pPr>
  </w:style>
  <w:style w:type="paragraph" w:customStyle="1" w:styleId="TableCaption">
    <w:name w:val="Table Caption"/>
    <w:basedOn w:val="Normal"/>
    <w:next w:val="Normal"/>
    <w:rsid w:val="006D6F68"/>
    <w:pPr>
      <w:spacing w:before="240" w:after="120"/>
      <w:jc w:val="center"/>
    </w:pPr>
    <w:rPr>
      <w:b/>
      <w:lang w:eastAsia="en-US"/>
    </w:rPr>
  </w:style>
  <w:style w:type="paragraph" w:customStyle="1" w:styleId="TableHeader">
    <w:name w:val="Table Header"/>
    <w:basedOn w:val="Normal"/>
    <w:rsid w:val="006D6F68"/>
    <w:pPr>
      <w:spacing w:before="40" w:after="40"/>
    </w:pPr>
    <w:rPr>
      <w:rFonts w:ascii="Arial" w:hAnsi="Arial"/>
      <w:b/>
      <w:snapToGrid w:val="0"/>
      <w:lang w:eastAsia="en-US"/>
    </w:rPr>
  </w:style>
  <w:style w:type="paragraph" w:customStyle="1" w:styleId="Confidentiality">
    <w:name w:val="Confidentiality"/>
    <w:basedOn w:val="Normal"/>
    <w:rsid w:val="006D6F68"/>
    <w:pPr>
      <w:spacing w:before="60" w:after="60"/>
      <w:jc w:val="center"/>
    </w:pPr>
    <w:rPr>
      <w:rFonts w:ascii="Arial" w:hAnsi="Arial"/>
    </w:rPr>
  </w:style>
  <w:style w:type="paragraph" w:customStyle="1" w:styleId="EndofText">
    <w:name w:val="EndofText"/>
    <w:rsid w:val="006D6F68"/>
    <w:pPr>
      <w:spacing w:before="480" w:after="120"/>
      <w:jc w:val="center"/>
    </w:pPr>
    <w:rPr>
      <w:b/>
      <w:noProof/>
      <w:sz w:val="22"/>
    </w:rPr>
  </w:style>
  <w:style w:type="paragraph" w:customStyle="1" w:styleId="TableText">
    <w:name w:val="Table Text"/>
    <w:basedOn w:val="Normal"/>
    <w:rsid w:val="006D6F68"/>
    <w:pPr>
      <w:spacing w:before="40" w:after="60"/>
    </w:pPr>
  </w:style>
  <w:style w:type="paragraph" w:customStyle="1" w:styleId="Head2NoNum">
    <w:name w:val="Head2NoNum"/>
    <w:next w:val="BodyText"/>
    <w:rsid w:val="006D6F68"/>
    <w:pPr>
      <w:tabs>
        <w:tab w:val="left" w:pos="990"/>
      </w:tabs>
      <w:spacing w:before="480" w:after="80"/>
    </w:pPr>
    <w:rPr>
      <w:rFonts w:ascii="Arial" w:hAnsi="Arial"/>
      <w:b/>
      <w:noProof/>
      <w:sz w:val="32"/>
    </w:rPr>
  </w:style>
  <w:style w:type="paragraph" w:customStyle="1" w:styleId="Head3NoNum">
    <w:name w:val="Head3NoNum"/>
    <w:next w:val="BodyText"/>
    <w:rsid w:val="006D6F68"/>
    <w:pPr>
      <w:tabs>
        <w:tab w:val="left" w:pos="2250"/>
      </w:tabs>
      <w:spacing w:before="360" w:after="80"/>
    </w:pPr>
    <w:rPr>
      <w:rFonts w:ascii="Arial" w:hAnsi="Arial"/>
      <w:b/>
      <w:noProof/>
      <w:sz w:val="28"/>
    </w:rPr>
  </w:style>
  <w:style w:type="paragraph" w:customStyle="1" w:styleId="Glossarytext">
    <w:name w:val="Glossary text"/>
    <w:basedOn w:val="TableText"/>
    <w:rsid w:val="006D6F68"/>
  </w:style>
  <w:style w:type="character" w:styleId="PageNumber">
    <w:name w:val="page number"/>
    <w:basedOn w:val="DefaultParagraphFont"/>
    <w:rsid w:val="006D6F68"/>
  </w:style>
  <w:style w:type="paragraph" w:styleId="TableofFigures">
    <w:name w:val="table of figures"/>
    <w:basedOn w:val="Normal"/>
    <w:next w:val="Normal"/>
    <w:uiPriority w:val="99"/>
    <w:rsid w:val="006D6F68"/>
    <w:pPr>
      <w:ind w:left="446" w:hanging="446"/>
    </w:pPr>
    <w:rPr>
      <w:rFonts w:ascii="Arial" w:hAnsi="Arial"/>
    </w:rPr>
  </w:style>
  <w:style w:type="paragraph" w:customStyle="1" w:styleId="AppendixHead2">
    <w:name w:val="Appendix Head 2"/>
    <w:next w:val="BodyText"/>
    <w:rsid w:val="006D6F68"/>
    <w:pPr>
      <w:tabs>
        <w:tab w:val="num" w:pos="1080"/>
      </w:tabs>
      <w:spacing w:before="360" w:after="120"/>
      <w:ind w:left="1080" w:hanging="1080"/>
    </w:pPr>
    <w:rPr>
      <w:rFonts w:ascii="Arial" w:hAnsi="Arial"/>
      <w:b/>
      <w:noProof/>
      <w:sz w:val="32"/>
      <w:lang w:val="en-US" w:eastAsia="en-US"/>
    </w:rPr>
  </w:style>
  <w:style w:type="paragraph" w:customStyle="1" w:styleId="AppendixHead3">
    <w:name w:val="Appendix Head 3"/>
    <w:link w:val="AppendixHead3Char"/>
    <w:rsid w:val="006D6F68"/>
    <w:pPr>
      <w:tabs>
        <w:tab w:val="num" w:pos="1080"/>
      </w:tabs>
      <w:spacing w:before="240" w:after="120"/>
      <w:ind w:left="1080" w:hanging="1080"/>
    </w:pPr>
    <w:rPr>
      <w:rFonts w:ascii="Arial" w:hAnsi="Arial"/>
      <w:b/>
      <w:noProof/>
      <w:sz w:val="26"/>
      <w:lang w:val="en-US" w:eastAsia="en-US"/>
    </w:rPr>
  </w:style>
  <w:style w:type="paragraph" w:styleId="BodyTextIndent">
    <w:name w:val="Body Text Indent"/>
    <w:basedOn w:val="Normal"/>
    <w:rsid w:val="006D6F68"/>
    <w:pPr>
      <w:ind w:left="60"/>
    </w:pPr>
    <w:rPr>
      <w:sz w:val="24"/>
      <w:szCs w:val="24"/>
    </w:rPr>
  </w:style>
  <w:style w:type="paragraph" w:customStyle="1" w:styleId="TEXT1">
    <w:name w:val="TEXT1"/>
    <w:basedOn w:val="Normal"/>
    <w:rsid w:val="006D6F68"/>
    <w:pPr>
      <w:tabs>
        <w:tab w:val="left" w:pos="1080"/>
      </w:tabs>
      <w:spacing w:after="120"/>
      <w:ind w:left="720"/>
    </w:pPr>
    <w:rPr>
      <w:rFonts w:ascii="Arial" w:hAnsi="Arial"/>
      <w:sz w:val="24"/>
      <w:lang w:val="en-CA" w:eastAsia="en-US"/>
    </w:rPr>
  </w:style>
  <w:style w:type="paragraph" w:customStyle="1" w:styleId="TableHead">
    <w:name w:val="Table Head"/>
    <w:basedOn w:val="Normal"/>
    <w:rsid w:val="006D6F68"/>
    <w:pPr>
      <w:spacing w:before="80" w:after="60"/>
      <w:jc w:val="center"/>
    </w:pPr>
    <w:rPr>
      <w:b/>
    </w:rPr>
  </w:style>
  <w:style w:type="paragraph" w:customStyle="1" w:styleId="GlossaryHead">
    <w:name w:val="Glossary Head"/>
    <w:basedOn w:val="Normal"/>
    <w:next w:val="GlossaryText0"/>
    <w:rsid w:val="006D6F68"/>
    <w:pPr>
      <w:keepNext/>
      <w:spacing w:before="120"/>
    </w:pPr>
    <w:rPr>
      <w:b/>
    </w:rPr>
  </w:style>
  <w:style w:type="paragraph" w:styleId="BodyText2">
    <w:name w:val="Body Text 2"/>
    <w:basedOn w:val="Normal"/>
    <w:rsid w:val="006D6F68"/>
    <w:rPr>
      <w:b/>
      <w:i/>
    </w:rPr>
  </w:style>
  <w:style w:type="paragraph" w:styleId="TOC4">
    <w:name w:val="toc 4"/>
    <w:basedOn w:val="Normal"/>
    <w:next w:val="Normal"/>
    <w:autoRedefine/>
    <w:uiPriority w:val="39"/>
    <w:rsid w:val="006D6F68"/>
    <w:pPr>
      <w:ind w:left="660"/>
    </w:pPr>
  </w:style>
  <w:style w:type="paragraph" w:styleId="TOC5">
    <w:name w:val="toc 5"/>
    <w:basedOn w:val="Normal"/>
    <w:next w:val="Normal"/>
    <w:autoRedefine/>
    <w:uiPriority w:val="39"/>
    <w:rsid w:val="006D6F68"/>
    <w:pPr>
      <w:ind w:left="880"/>
    </w:pPr>
  </w:style>
  <w:style w:type="paragraph" w:styleId="TOC6">
    <w:name w:val="toc 6"/>
    <w:basedOn w:val="Normal"/>
    <w:next w:val="Normal"/>
    <w:autoRedefine/>
    <w:uiPriority w:val="39"/>
    <w:rsid w:val="006D6F68"/>
    <w:pPr>
      <w:ind w:left="1100"/>
    </w:pPr>
  </w:style>
  <w:style w:type="paragraph" w:styleId="TOC7">
    <w:name w:val="toc 7"/>
    <w:basedOn w:val="Normal"/>
    <w:next w:val="Normal"/>
    <w:autoRedefine/>
    <w:uiPriority w:val="39"/>
    <w:rsid w:val="006D6F68"/>
    <w:pPr>
      <w:ind w:left="1320"/>
    </w:pPr>
  </w:style>
  <w:style w:type="paragraph" w:styleId="TOC8">
    <w:name w:val="toc 8"/>
    <w:basedOn w:val="Normal"/>
    <w:next w:val="Normal"/>
    <w:autoRedefine/>
    <w:uiPriority w:val="39"/>
    <w:rsid w:val="006D6F68"/>
    <w:pPr>
      <w:ind w:left="1540"/>
    </w:pPr>
  </w:style>
  <w:style w:type="paragraph" w:styleId="TOC9">
    <w:name w:val="toc 9"/>
    <w:basedOn w:val="Normal"/>
    <w:next w:val="Normal"/>
    <w:autoRedefine/>
    <w:uiPriority w:val="39"/>
    <w:rsid w:val="006D6F68"/>
    <w:pPr>
      <w:ind w:left="1760"/>
    </w:pPr>
  </w:style>
  <w:style w:type="paragraph" w:customStyle="1" w:styleId="Issue">
    <w:name w:val="Issue"/>
    <w:basedOn w:val="Title2"/>
    <w:rsid w:val="006D6F68"/>
    <w:pPr>
      <w:pBdr>
        <w:top w:val="none" w:sz="0" w:space="0" w:color="auto"/>
      </w:pBdr>
    </w:pPr>
  </w:style>
  <w:style w:type="paragraph" w:customStyle="1" w:styleId="DocumentDivision">
    <w:name w:val="DocumentDivision"/>
    <w:basedOn w:val="Normal"/>
    <w:rsid w:val="006D6F68"/>
    <w:pPr>
      <w:keepNext/>
      <w:spacing w:before="180"/>
      <w:jc w:val="center"/>
    </w:pPr>
    <w:rPr>
      <w:rFonts w:ascii="Arial" w:hAnsi="Arial"/>
      <w:b/>
      <w:color w:val="FFFFFF"/>
      <w:sz w:val="170"/>
    </w:rPr>
  </w:style>
  <w:style w:type="paragraph" w:styleId="DocumentMap">
    <w:name w:val="Document Map"/>
    <w:basedOn w:val="Normal"/>
    <w:semiHidden/>
    <w:rsid w:val="006D6F68"/>
    <w:pPr>
      <w:shd w:val="clear" w:color="auto" w:fill="000080"/>
    </w:pPr>
  </w:style>
  <w:style w:type="paragraph" w:customStyle="1" w:styleId="ListAlpha">
    <w:name w:val="List Alpha"/>
    <w:basedOn w:val="BodyText"/>
    <w:rsid w:val="006D6F68"/>
    <w:pPr>
      <w:numPr>
        <w:numId w:val="9"/>
      </w:numPr>
      <w:spacing w:before="40" w:after="80"/>
    </w:pPr>
  </w:style>
  <w:style w:type="paragraph" w:customStyle="1" w:styleId="GlossaryText0">
    <w:name w:val="Glossary Text"/>
    <w:basedOn w:val="Normal"/>
    <w:next w:val="GlossaryHead"/>
    <w:rsid w:val="006D6F68"/>
    <w:pPr>
      <w:ind w:left="504"/>
    </w:pPr>
  </w:style>
  <w:style w:type="paragraph" w:customStyle="1" w:styleId="ListAlpha3">
    <w:name w:val="List Alpha3"/>
    <w:basedOn w:val="BodyText"/>
    <w:rsid w:val="006D6F68"/>
    <w:pPr>
      <w:numPr>
        <w:numId w:val="10"/>
      </w:numPr>
      <w:spacing w:before="40" w:after="80"/>
    </w:pPr>
  </w:style>
  <w:style w:type="paragraph" w:customStyle="1" w:styleId="ListAlpha2">
    <w:name w:val="List Alpha2"/>
    <w:basedOn w:val="BodyText"/>
    <w:rsid w:val="006D6F68"/>
    <w:pPr>
      <w:numPr>
        <w:numId w:val="8"/>
      </w:numPr>
      <w:tabs>
        <w:tab w:val="clear" w:pos="1224"/>
      </w:tabs>
      <w:spacing w:before="40" w:after="80"/>
    </w:pPr>
  </w:style>
  <w:style w:type="paragraph" w:customStyle="1" w:styleId="BodyTextNote">
    <w:name w:val="Body Text Note"/>
    <w:basedOn w:val="BodyText"/>
    <w:next w:val="BodyText"/>
    <w:rsid w:val="006D6F68"/>
    <w:pPr>
      <w:numPr>
        <w:numId w:val="11"/>
      </w:numPr>
      <w:tabs>
        <w:tab w:val="clear" w:pos="900"/>
        <w:tab w:val="left" w:pos="576"/>
      </w:tabs>
      <w:ind w:left="0"/>
    </w:pPr>
  </w:style>
  <w:style w:type="paragraph" w:customStyle="1" w:styleId="HeaderLandscape">
    <w:name w:val="HeaderLandscape"/>
    <w:basedOn w:val="Header"/>
    <w:rsid w:val="006D6F68"/>
    <w:pPr>
      <w:tabs>
        <w:tab w:val="clear" w:pos="9540"/>
        <w:tab w:val="right" w:pos="13680"/>
      </w:tabs>
      <w:ind w:right="-720"/>
    </w:pPr>
  </w:style>
  <w:style w:type="paragraph" w:customStyle="1" w:styleId="FooterLandscape">
    <w:name w:val="FooterLandscape"/>
    <w:basedOn w:val="Footer"/>
    <w:rsid w:val="006D6F68"/>
    <w:pPr>
      <w:pBdr>
        <w:top w:val="single" w:sz="6" w:space="1" w:color="auto"/>
      </w:pBdr>
      <w:tabs>
        <w:tab w:val="clear" w:pos="4824"/>
        <w:tab w:val="clear" w:pos="9720"/>
        <w:tab w:val="center" w:pos="6120"/>
        <w:tab w:val="right" w:pos="13680"/>
      </w:tabs>
    </w:pPr>
  </w:style>
  <w:style w:type="paragraph" w:customStyle="1" w:styleId="TableBullet">
    <w:name w:val="Table Bullet"/>
    <w:basedOn w:val="TableText"/>
    <w:rsid w:val="006D6F68"/>
    <w:pPr>
      <w:numPr>
        <w:numId w:val="12"/>
      </w:numPr>
      <w:spacing w:before="20" w:after="40"/>
    </w:pPr>
  </w:style>
  <w:style w:type="paragraph" w:customStyle="1" w:styleId="Head4NoNum">
    <w:name w:val="Head4NoNum"/>
    <w:basedOn w:val="Normal"/>
    <w:next w:val="BodyText"/>
    <w:rsid w:val="006D6F68"/>
    <w:pPr>
      <w:spacing w:before="240" w:after="40"/>
    </w:pPr>
    <w:rPr>
      <w:rFonts w:ascii="Arial" w:hAnsi="Arial"/>
      <w:b/>
      <w:sz w:val="24"/>
    </w:rPr>
  </w:style>
  <w:style w:type="paragraph" w:customStyle="1" w:styleId="TableBullet2">
    <w:name w:val="Table Bullet2"/>
    <w:basedOn w:val="TableBullet"/>
    <w:rsid w:val="006D6F68"/>
    <w:pPr>
      <w:numPr>
        <w:numId w:val="13"/>
      </w:numPr>
      <w:tabs>
        <w:tab w:val="clear" w:pos="576"/>
        <w:tab w:val="num" w:pos="1080"/>
      </w:tabs>
      <w:ind w:left="1080" w:hanging="1080"/>
    </w:pPr>
  </w:style>
  <w:style w:type="paragraph" w:customStyle="1" w:styleId="TEXTBULLET1">
    <w:name w:val="TEXT BULLET 1"/>
    <w:basedOn w:val="Normal"/>
    <w:rsid w:val="006D6F68"/>
    <w:pPr>
      <w:tabs>
        <w:tab w:val="left" w:pos="1080"/>
      </w:tabs>
      <w:spacing w:after="120"/>
    </w:pPr>
    <w:rPr>
      <w:rFonts w:ascii="Arial" w:hAnsi="Arial"/>
      <w:sz w:val="24"/>
      <w:lang w:val="en-CA" w:eastAsia="en-US"/>
    </w:rPr>
  </w:style>
  <w:style w:type="character" w:customStyle="1" w:styleId="VariableName">
    <w:name w:val="Variable Name"/>
    <w:basedOn w:val="DefaultParagraphFont"/>
    <w:rsid w:val="006D6F68"/>
    <w:rPr>
      <w:b/>
    </w:rPr>
  </w:style>
  <w:style w:type="paragraph" w:styleId="BodyText3">
    <w:name w:val="Body Text 3"/>
    <w:basedOn w:val="Normal"/>
    <w:rsid w:val="006D6F68"/>
    <w:pPr>
      <w:tabs>
        <w:tab w:val="left" w:pos="1080"/>
      </w:tabs>
      <w:spacing w:after="120"/>
    </w:pPr>
    <w:rPr>
      <w:rFonts w:ascii="Arial" w:hAnsi="Arial"/>
      <w:b/>
      <w:i/>
      <w:sz w:val="24"/>
      <w:lang w:val="en-CA" w:eastAsia="en-US"/>
    </w:rPr>
  </w:style>
  <w:style w:type="paragraph" w:customStyle="1" w:styleId="BodyText4">
    <w:name w:val="Body Text 4"/>
    <w:basedOn w:val="Heading1"/>
    <w:rsid w:val="006D6F68"/>
    <w:pPr>
      <w:keepNext w:val="0"/>
      <w:numPr>
        <w:ilvl w:val="3"/>
        <w:numId w:val="15"/>
      </w:numPr>
      <w:pBdr>
        <w:bottom w:val="none" w:sz="0" w:space="0" w:color="auto"/>
      </w:pBdr>
      <w:spacing w:before="0" w:after="240"/>
    </w:pPr>
    <w:rPr>
      <w:rFonts w:ascii="Times New Roman" w:hAnsi="Times New Roman"/>
      <w:b w:val="0"/>
      <w:sz w:val="24"/>
    </w:rPr>
  </w:style>
  <w:style w:type="paragraph" w:customStyle="1" w:styleId="TableFormula">
    <w:name w:val="Table Formula"/>
    <w:basedOn w:val="TableText"/>
    <w:rsid w:val="006D6F68"/>
    <w:pPr>
      <w:ind w:left="556" w:hanging="556"/>
    </w:pPr>
  </w:style>
  <w:style w:type="paragraph" w:customStyle="1" w:styleId="BodyText3nonum">
    <w:name w:val="Body Text 3no num"/>
    <w:rsid w:val="006D6F68"/>
    <w:pPr>
      <w:tabs>
        <w:tab w:val="left" w:pos="1080"/>
      </w:tabs>
      <w:spacing w:after="240"/>
      <w:ind w:left="1080" w:hanging="1080"/>
    </w:pPr>
    <w:rPr>
      <w:noProof/>
      <w:sz w:val="24"/>
      <w:lang w:eastAsia="en-US"/>
    </w:rPr>
  </w:style>
  <w:style w:type="paragraph" w:customStyle="1" w:styleId="BodyTextNumContinue">
    <w:name w:val="Body Text NumContinue"/>
    <w:basedOn w:val="Normal"/>
    <w:rsid w:val="006D6F68"/>
    <w:pPr>
      <w:spacing w:before="120" w:after="120"/>
      <w:ind w:left="504"/>
    </w:pPr>
  </w:style>
  <w:style w:type="character" w:styleId="Hyperlink">
    <w:name w:val="Hyperlink"/>
    <w:basedOn w:val="DefaultParagraphFont"/>
    <w:uiPriority w:val="99"/>
    <w:rsid w:val="006D6F68"/>
    <w:rPr>
      <w:color w:val="0000FF"/>
      <w:u w:val="single"/>
    </w:rPr>
  </w:style>
  <w:style w:type="character" w:styleId="FollowedHyperlink">
    <w:name w:val="FollowedHyperlink"/>
    <w:basedOn w:val="DefaultParagraphFont"/>
    <w:rsid w:val="006D6F68"/>
    <w:rPr>
      <w:color w:val="800080"/>
      <w:u w:val="single"/>
    </w:rPr>
  </w:style>
  <w:style w:type="paragraph" w:customStyle="1" w:styleId="ListNumber1">
    <w:name w:val="List Number1"/>
    <w:rsid w:val="006D6F68"/>
    <w:pPr>
      <w:tabs>
        <w:tab w:val="num" w:pos="1224"/>
      </w:tabs>
      <w:spacing w:before="40" w:after="80"/>
      <w:ind w:left="864" w:hanging="360"/>
    </w:pPr>
    <w:rPr>
      <w:noProof/>
      <w:sz w:val="22"/>
      <w:lang w:eastAsia="en-US"/>
    </w:rPr>
  </w:style>
  <w:style w:type="paragraph" w:customStyle="1" w:styleId="ListNumber2NoNum">
    <w:name w:val="List Number 2 NoNum"/>
    <w:rsid w:val="006D6F68"/>
    <w:pPr>
      <w:spacing w:before="40" w:after="80"/>
      <w:ind w:left="1440" w:hanging="576"/>
    </w:pPr>
    <w:rPr>
      <w:noProof/>
      <w:sz w:val="22"/>
      <w:lang w:eastAsia="en-US"/>
    </w:rPr>
  </w:style>
  <w:style w:type="paragraph" w:customStyle="1" w:styleId="BodyText0">
    <w:name w:val="BodyText"/>
    <w:autoRedefine/>
    <w:rsid w:val="00A442B9"/>
    <w:pPr>
      <w:spacing w:after="240"/>
    </w:pPr>
    <w:rPr>
      <w:snapToGrid w:val="0"/>
      <w:sz w:val="22"/>
      <w:lang w:eastAsia="en-US"/>
    </w:rPr>
  </w:style>
  <w:style w:type="character" w:styleId="Emphasis">
    <w:name w:val="Emphasis"/>
    <w:basedOn w:val="DefaultParagraphFont"/>
    <w:qFormat/>
    <w:rsid w:val="006D6F68"/>
    <w:rPr>
      <w:i/>
    </w:rPr>
  </w:style>
  <w:style w:type="paragraph" w:styleId="Index6">
    <w:name w:val="index 6"/>
    <w:basedOn w:val="Normal"/>
    <w:next w:val="Normal"/>
    <w:autoRedefine/>
    <w:semiHidden/>
    <w:rsid w:val="006D6F68"/>
    <w:pPr>
      <w:ind w:left="1320" w:hanging="220"/>
    </w:pPr>
  </w:style>
  <w:style w:type="paragraph" w:styleId="BodyTextIndent2">
    <w:name w:val="Body Text Indent 2"/>
    <w:basedOn w:val="Normal"/>
    <w:rsid w:val="006D6F68"/>
    <w:pPr>
      <w:spacing w:before="120"/>
      <w:ind w:left="2160"/>
    </w:pPr>
    <w:rPr>
      <w:sz w:val="16"/>
    </w:rPr>
  </w:style>
  <w:style w:type="paragraph" w:customStyle="1" w:styleId="BodyTextNumber">
    <w:name w:val="Body Text Number"/>
    <w:basedOn w:val="Normal"/>
    <w:rsid w:val="006D6F68"/>
    <w:pPr>
      <w:tabs>
        <w:tab w:val="num" w:pos="360"/>
        <w:tab w:val="left" w:pos="504"/>
      </w:tabs>
      <w:spacing w:before="120" w:after="120"/>
      <w:ind w:left="360" w:hanging="360"/>
    </w:pPr>
  </w:style>
  <w:style w:type="paragraph" w:customStyle="1" w:styleId="Bullet">
    <w:name w:val="Bullet"/>
    <w:basedOn w:val="Normal"/>
    <w:link w:val="BulletChar"/>
    <w:rsid w:val="006D6F68"/>
    <w:pPr>
      <w:numPr>
        <w:numId w:val="17"/>
      </w:numPr>
    </w:pPr>
    <w:rPr>
      <w:lang w:val="en-CA"/>
    </w:rPr>
  </w:style>
  <w:style w:type="paragraph" w:customStyle="1" w:styleId="Bullet2">
    <w:name w:val="Bullet2"/>
    <w:basedOn w:val="Normal"/>
    <w:rsid w:val="006D6F68"/>
    <w:pPr>
      <w:numPr>
        <w:numId w:val="18"/>
      </w:numPr>
    </w:pPr>
  </w:style>
  <w:style w:type="paragraph" w:customStyle="1" w:styleId="Checklist">
    <w:name w:val="Checklist"/>
    <w:basedOn w:val="Normal"/>
    <w:rsid w:val="006D6F68"/>
    <w:pPr>
      <w:keepLines/>
      <w:spacing w:before="80"/>
    </w:pPr>
    <w:rPr>
      <w:kern w:val="28"/>
      <w:lang w:val="en-GB"/>
    </w:rPr>
  </w:style>
  <w:style w:type="paragraph" w:customStyle="1" w:styleId="TableTextAlpha">
    <w:name w:val="Table Text Alpha"/>
    <w:basedOn w:val="TableText"/>
    <w:rsid w:val="006D6F68"/>
    <w:pPr>
      <w:numPr>
        <w:numId w:val="19"/>
      </w:numPr>
    </w:pPr>
  </w:style>
  <w:style w:type="paragraph" w:customStyle="1" w:styleId="TableTextNumber">
    <w:name w:val="Table Text Number"/>
    <w:basedOn w:val="TableText"/>
    <w:rsid w:val="006D6F68"/>
    <w:pPr>
      <w:keepNext/>
      <w:keepLines/>
      <w:numPr>
        <w:numId w:val="20"/>
      </w:numPr>
    </w:pPr>
    <w:rPr>
      <w:snapToGrid w:val="0"/>
      <w:color w:val="000000"/>
    </w:rPr>
  </w:style>
  <w:style w:type="paragraph" w:customStyle="1" w:styleId="BodyTextLeader">
    <w:name w:val="Body Text Leader"/>
    <w:basedOn w:val="BodyText"/>
    <w:next w:val="BodyText"/>
    <w:rsid w:val="006D6F68"/>
    <w:pPr>
      <w:spacing w:before="480"/>
    </w:pPr>
  </w:style>
  <w:style w:type="paragraph" w:customStyle="1" w:styleId="HiddenText">
    <w:name w:val="Hidden Text"/>
    <w:basedOn w:val="Normal"/>
    <w:rsid w:val="006D6F68"/>
    <w:pPr>
      <w:spacing w:before="60" w:after="60"/>
    </w:pPr>
    <w:rPr>
      <w:i/>
      <w:vanish/>
      <w:color w:val="0000FF"/>
    </w:rPr>
  </w:style>
  <w:style w:type="paragraph" w:customStyle="1" w:styleId="Table-TopLine">
    <w:name w:val="Table - Top Line"/>
    <w:basedOn w:val="Normal"/>
    <w:rsid w:val="006D6F68"/>
    <w:pPr>
      <w:spacing w:before="120"/>
    </w:pPr>
  </w:style>
  <w:style w:type="paragraph" w:styleId="Title">
    <w:name w:val="Title"/>
    <w:basedOn w:val="Normal"/>
    <w:qFormat/>
    <w:rsid w:val="006D6F68"/>
    <w:pPr>
      <w:jc w:val="center"/>
    </w:pPr>
    <w:rPr>
      <w:rFonts w:ascii="Arial" w:hAnsi="Arial"/>
      <w:b/>
      <w:sz w:val="32"/>
    </w:rPr>
  </w:style>
  <w:style w:type="paragraph" w:customStyle="1" w:styleId="DocumentControl">
    <w:name w:val="Document Control"/>
    <w:basedOn w:val="Table-TopLine"/>
    <w:rsid w:val="006D6F68"/>
    <w:pPr>
      <w:spacing w:before="80"/>
    </w:pPr>
  </w:style>
  <w:style w:type="character" w:styleId="CommentReference">
    <w:name w:val="annotation reference"/>
    <w:basedOn w:val="DefaultParagraphFont"/>
    <w:uiPriority w:val="99"/>
    <w:rsid w:val="00E57305"/>
    <w:rPr>
      <w:sz w:val="16"/>
    </w:rPr>
  </w:style>
  <w:style w:type="paragraph" w:styleId="CommentText">
    <w:name w:val="annotation text"/>
    <w:basedOn w:val="Normal"/>
    <w:link w:val="CommentTextChar"/>
    <w:uiPriority w:val="99"/>
    <w:rsid w:val="00E57305"/>
  </w:style>
  <w:style w:type="paragraph" w:styleId="BlockText">
    <w:name w:val="Block Text"/>
    <w:basedOn w:val="Normal"/>
    <w:rsid w:val="006D6F68"/>
    <w:pPr>
      <w:spacing w:after="240"/>
      <w:ind w:left="-180" w:right="-360"/>
      <w:jc w:val="both"/>
    </w:pPr>
    <w:rPr>
      <w:i/>
      <w:vanish/>
    </w:rPr>
  </w:style>
  <w:style w:type="character" w:styleId="Strong">
    <w:name w:val="Strong"/>
    <w:basedOn w:val="DefaultParagraphFont"/>
    <w:qFormat/>
    <w:rsid w:val="006D6F68"/>
    <w:rPr>
      <w:b/>
    </w:rPr>
  </w:style>
  <w:style w:type="paragraph" w:customStyle="1" w:styleId="StepsBullet">
    <w:name w:val="StepsBullet"/>
    <w:basedOn w:val="Normal"/>
    <w:autoRedefine/>
    <w:rsid w:val="006D6F68"/>
    <w:pPr>
      <w:tabs>
        <w:tab w:val="num" w:pos="720"/>
      </w:tabs>
      <w:spacing w:before="40"/>
      <w:ind w:left="720" w:hanging="360"/>
    </w:pPr>
    <w:rPr>
      <w:rFonts w:ascii="Arial" w:hAnsi="Arial"/>
      <w:sz w:val="20"/>
    </w:rPr>
  </w:style>
  <w:style w:type="paragraph" w:styleId="BalloonText">
    <w:name w:val="Balloon Text"/>
    <w:basedOn w:val="Normal"/>
    <w:link w:val="BalloonTextChar"/>
    <w:uiPriority w:val="99"/>
    <w:semiHidden/>
    <w:rsid w:val="006D6F68"/>
    <w:rPr>
      <w:rFonts w:ascii="Tahoma" w:hAnsi="Tahoma" w:cs="Tahoma"/>
      <w:sz w:val="16"/>
      <w:szCs w:val="16"/>
    </w:rPr>
  </w:style>
  <w:style w:type="character" w:customStyle="1" w:styleId="FigureCaptionChar">
    <w:name w:val="Figure Caption Char"/>
    <w:basedOn w:val="DefaultParagraphFont"/>
    <w:link w:val="FigureCaption"/>
    <w:rsid w:val="00575A0A"/>
    <w:rPr>
      <w:b/>
      <w:snapToGrid w:val="0"/>
      <w:color w:val="000000"/>
      <w:sz w:val="22"/>
      <w:lang w:val="en-US" w:eastAsia="en-US" w:bidi="ar-SA"/>
    </w:rPr>
  </w:style>
  <w:style w:type="table" w:styleId="TableGrid">
    <w:name w:val="Table Grid"/>
    <w:basedOn w:val="TableNormal"/>
    <w:uiPriority w:val="59"/>
    <w:rsid w:val="004D354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lletedList">
    <w:name w:val="Bulleted List"/>
    <w:basedOn w:val="Normal"/>
    <w:rsid w:val="00443BFB"/>
    <w:pPr>
      <w:numPr>
        <w:numId w:val="30"/>
      </w:numPr>
    </w:pPr>
  </w:style>
  <w:style w:type="paragraph" w:styleId="Index1">
    <w:name w:val="index 1"/>
    <w:basedOn w:val="Normal"/>
    <w:next w:val="Normal"/>
    <w:autoRedefine/>
    <w:uiPriority w:val="99"/>
    <w:rsid w:val="00C5235F"/>
    <w:pPr>
      <w:ind w:left="220" w:hanging="220"/>
    </w:pPr>
  </w:style>
  <w:style w:type="paragraph" w:styleId="CommentSubject">
    <w:name w:val="annotation subject"/>
    <w:basedOn w:val="CommentText"/>
    <w:next w:val="CommentText"/>
    <w:semiHidden/>
    <w:rsid w:val="00757F1D"/>
    <w:rPr>
      <w:b/>
      <w:bCs/>
      <w:sz w:val="20"/>
    </w:rPr>
  </w:style>
  <w:style w:type="paragraph" w:styleId="BodyTextIndent3">
    <w:name w:val="Body Text Indent 3"/>
    <w:basedOn w:val="Normal"/>
    <w:rsid w:val="00552DC2"/>
    <w:pPr>
      <w:spacing w:after="120"/>
      <w:ind w:left="360"/>
    </w:pPr>
    <w:rPr>
      <w:sz w:val="16"/>
      <w:szCs w:val="16"/>
      <w:lang w:val="en-CA"/>
    </w:rPr>
  </w:style>
  <w:style w:type="character" w:customStyle="1" w:styleId="AppendixHead3Char">
    <w:name w:val="Appendix Head 3 Char"/>
    <w:basedOn w:val="DefaultParagraphFont"/>
    <w:link w:val="AppendixHead3"/>
    <w:rsid w:val="001F5B03"/>
    <w:rPr>
      <w:rFonts w:ascii="Arial" w:hAnsi="Arial"/>
      <w:b/>
      <w:noProof/>
      <w:sz w:val="26"/>
      <w:lang w:val="en-US" w:eastAsia="en-US"/>
    </w:rPr>
  </w:style>
  <w:style w:type="character" w:customStyle="1" w:styleId="BodyTextChar">
    <w:name w:val="Body Text Char"/>
    <w:basedOn w:val="DefaultParagraphFont"/>
    <w:link w:val="BodyText"/>
    <w:rsid w:val="006D6F68"/>
    <w:rPr>
      <w:sz w:val="22"/>
      <w:lang w:val="en-US" w:eastAsia="en-CA" w:bidi="ar-SA"/>
    </w:rPr>
  </w:style>
  <w:style w:type="character" w:customStyle="1" w:styleId="BulletChar">
    <w:name w:val="Bullet Char"/>
    <w:basedOn w:val="DefaultParagraphFont"/>
    <w:link w:val="Bullet"/>
    <w:rsid w:val="006D6F68"/>
    <w:rPr>
      <w:sz w:val="22"/>
    </w:rPr>
  </w:style>
  <w:style w:type="paragraph" w:customStyle="1" w:styleId="Heading51">
    <w:name w:val="Heading 51"/>
    <w:autoRedefine/>
    <w:rsid w:val="00C46412"/>
    <w:pPr>
      <w:spacing w:before="120" w:after="120"/>
    </w:pPr>
    <w:rPr>
      <w:b/>
      <w:color w:val="000000"/>
      <w:sz w:val="22"/>
      <w:szCs w:val="22"/>
      <w:lang w:val="en-US"/>
    </w:rPr>
  </w:style>
  <w:style w:type="paragraph" w:styleId="ListParagraph">
    <w:name w:val="List Paragraph"/>
    <w:basedOn w:val="Normal"/>
    <w:uiPriority w:val="34"/>
    <w:qFormat/>
    <w:rsid w:val="00187D40"/>
    <w:pPr>
      <w:ind w:left="720"/>
      <w:contextualSpacing/>
    </w:pPr>
  </w:style>
  <w:style w:type="paragraph" w:customStyle="1" w:styleId="Default">
    <w:name w:val="Default"/>
    <w:rsid w:val="00E6726A"/>
    <w:pPr>
      <w:autoSpaceDE w:val="0"/>
      <w:autoSpaceDN w:val="0"/>
      <w:adjustRightInd w:val="0"/>
    </w:pPr>
    <w:rPr>
      <w:color w:val="000000"/>
      <w:sz w:val="24"/>
      <w:szCs w:val="24"/>
    </w:rPr>
  </w:style>
  <w:style w:type="character" w:styleId="PlaceholderText">
    <w:name w:val="Placeholder Text"/>
    <w:basedOn w:val="DefaultParagraphFont"/>
    <w:uiPriority w:val="99"/>
    <w:semiHidden/>
    <w:rsid w:val="00AB10D3"/>
    <w:rPr>
      <w:color w:val="808080"/>
    </w:rPr>
  </w:style>
  <w:style w:type="paragraph" w:styleId="NormalWeb">
    <w:name w:val="Normal (Web)"/>
    <w:basedOn w:val="Normal"/>
    <w:uiPriority w:val="99"/>
    <w:unhideWhenUsed/>
    <w:rsid w:val="00C35244"/>
    <w:pPr>
      <w:spacing w:before="100" w:beforeAutospacing="1" w:after="100" w:afterAutospacing="1"/>
    </w:pPr>
    <w:rPr>
      <w:rFonts w:eastAsiaTheme="minorHAnsi"/>
      <w:sz w:val="24"/>
      <w:szCs w:val="24"/>
      <w:lang w:val="en-CA"/>
    </w:rPr>
  </w:style>
  <w:style w:type="character" w:customStyle="1" w:styleId="FootnoteTextChar">
    <w:name w:val="Footnote Text Char"/>
    <w:basedOn w:val="DefaultParagraphFont"/>
    <w:link w:val="FootnoteText"/>
    <w:rsid w:val="00D827FC"/>
    <w:rPr>
      <w:rFonts w:ascii="Arial" w:hAnsi="Arial"/>
      <w:spacing w:val="-5"/>
      <w:sz w:val="16"/>
      <w:lang w:val="en-US"/>
    </w:rPr>
  </w:style>
  <w:style w:type="character" w:customStyle="1" w:styleId="CommentTextChar">
    <w:name w:val="Comment Text Char"/>
    <w:basedOn w:val="DefaultParagraphFont"/>
    <w:link w:val="CommentText"/>
    <w:uiPriority w:val="99"/>
    <w:rsid w:val="00D827FC"/>
    <w:rPr>
      <w:sz w:val="22"/>
      <w:lang w:val="en-US"/>
    </w:rPr>
  </w:style>
  <w:style w:type="character" w:customStyle="1" w:styleId="Heading3Char">
    <w:name w:val="Heading 3 Char"/>
    <w:aliases w:val="heading 3 Char,h3 Char,No Indent Char"/>
    <w:basedOn w:val="DefaultParagraphFont"/>
    <w:link w:val="Heading3"/>
    <w:rsid w:val="00627CF4"/>
    <w:rPr>
      <w:rFonts w:ascii="Arial" w:hAnsi="Arial"/>
      <w:b/>
      <w:sz w:val="28"/>
      <w:lang w:val="en-US"/>
    </w:rPr>
  </w:style>
  <w:style w:type="paragraph" w:customStyle="1" w:styleId="paragraph-e">
    <w:name w:val="paragraph-e"/>
    <w:rsid w:val="001B5C9D"/>
    <w:pPr>
      <w:tabs>
        <w:tab w:val="right" w:pos="836"/>
        <w:tab w:val="left" w:pos="1076"/>
      </w:tabs>
      <w:spacing w:line="200" w:lineRule="atLeast"/>
      <w:ind w:left="1076" w:hanging="1076"/>
    </w:pPr>
    <w:rPr>
      <w:snapToGrid w:val="0"/>
      <w:sz w:val="26"/>
      <w:lang w:val="en-GB" w:eastAsia="en-US"/>
    </w:rPr>
  </w:style>
  <w:style w:type="paragraph" w:customStyle="1" w:styleId="clause-e">
    <w:name w:val="clause-e"/>
    <w:rsid w:val="00E63380"/>
    <w:pPr>
      <w:tabs>
        <w:tab w:val="right" w:pos="836"/>
        <w:tab w:val="left" w:pos="1076"/>
      </w:tabs>
      <w:spacing w:line="200" w:lineRule="atLeast"/>
      <w:ind w:left="1066" w:hanging="1066"/>
    </w:pPr>
    <w:rPr>
      <w:snapToGrid w:val="0"/>
      <w:sz w:val="26"/>
      <w:lang w:val="en-GB" w:eastAsia="en-US"/>
    </w:rPr>
  </w:style>
  <w:style w:type="character" w:customStyle="1" w:styleId="BalloonTextChar">
    <w:name w:val="Balloon Text Char"/>
    <w:basedOn w:val="DefaultParagraphFont"/>
    <w:link w:val="BalloonText"/>
    <w:uiPriority w:val="99"/>
    <w:semiHidden/>
    <w:rsid w:val="00D13AF5"/>
    <w:rPr>
      <w:rFonts w:ascii="Tahoma" w:hAnsi="Tahoma" w:cs="Tahoma"/>
      <w:sz w:val="16"/>
      <w:szCs w:val="16"/>
      <w:lang w:val="en-US"/>
    </w:rPr>
  </w:style>
  <w:style w:type="paragraph" w:styleId="EndnoteText">
    <w:name w:val="endnote text"/>
    <w:basedOn w:val="Normal"/>
    <w:link w:val="EndnoteTextChar"/>
    <w:rsid w:val="00BE3B2E"/>
    <w:pPr>
      <w:spacing w:after="0"/>
    </w:pPr>
    <w:rPr>
      <w:sz w:val="20"/>
    </w:rPr>
  </w:style>
  <w:style w:type="character" w:customStyle="1" w:styleId="EndnoteTextChar">
    <w:name w:val="Endnote Text Char"/>
    <w:basedOn w:val="DefaultParagraphFont"/>
    <w:link w:val="EndnoteText"/>
    <w:rsid w:val="00BE3B2E"/>
    <w:rPr>
      <w:lang w:val="en-US"/>
    </w:rPr>
  </w:style>
  <w:style w:type="character" w:styleId="EndnoteReference">
    <w:name w:val="endnote reference"/>
    <w:basedOn w:val="DefaultParagraphFont"/>
    <w:rsid w:val="00BE3B2E"/>
    <w:rPr>
      <w:vertAlign w:val="superscript"/>
    </w:rPr>
  </w:style>
  <w:style w:type="paragraph" w:styleId="Caption">
    <w:name w:val="caption"/>
    <w:basedOn w:val="Normal"/>
    <w:next w:val="Normal"/>
    <w:uiPriority w:val="35"/>
    <w:unhideWhenUsed/>
    <w:qFormat/>
    <w:rsid w:val="00E75AEC"/>
    <w:pPr>
      <w:spacing w:after="200"/>
    </w:pPr>
    <w:rPr>
      <w:rFonts w:ascii="Calibri" w:eastAsia="Calibri" w:hAnsi="Calibri"/>
      <w:b/>
      <w:bCs/>
      <w:color w:val="4F81BD"/>
      <w:sz w:val="18"/>
      <w:szCs w:val="18"/>
      <w:lang w:val="en-CA" w:eastAsia="en-US"/>
    </w:rPr>
  </w:style>
  <w:style w:type="paragraph" w:styleId="Revision">
    <w:name w:val="Revision"/>
    <w:hidden/>
    <w:uiPriority w:val="99"/>
    <w:semiHidden/>
    <w:rsid w:val="0099487F"/>
    <w:rPr>
      <w:sz w:val="22"/>
      <w:lang w:val="en-US"/>
    </w:rPr>
  </w:style>
  <w:style w:type="paragraph" w:customStyle="1" w:styleId="ConstructionL1">
    <w:name w:val="Construction_L1"/>
    <w:basedOn w:val="Normal"/>
    <w:next w:val="ConstructionL2"/>
    <w:rsid w:val="00340B86"/>
    <w:pPr>
      <w:numPr>
        <w:numId w:val="91"/>
      </w:numPr>
      <w:spacing w:after="240" w:line="360" w:lineRule="auto"/>
      <w:jc w:val="both"/>
      <w:outlineLvl w:val="0"/>
    </w:pPr>
    <w:rPr>
      <w:b/>
      <w:caps/>
      <w:sz w:val="20"/>
      <w:lang w:val="en-CA" w:eastAsia="en-US"/>
    </w:rPr>
  </w:style>
  <w:style w:type="paragraph" w:customStyle="1" w:styleId="ConstructionL2">
    <w:name w:val="Construction_L2"/>
    <w:basedOn w:val="ConstructionL1"/>
    <w:next w:val="ConstructionL3"/>
    <w:rsid w:val="00340B86"/>
    <w:pPr>
      <w:numPr>
        <w:ilvl w:val="1"/>
      </w:numPr>
      <w:outlineLvl w:val="1"/>
    </w:pPr>
    <w:rPr>
      <w:caps w:val="0"/>
    </w:rPr>
  </w:style>
  <w:style w:type="paragraph" w:customStyle="1" w:styleId="ConstructionL3">
    <w:name w:val="Construction_L3"/>
    <w:basedOn w:val="ConstructionL2"/>
    <w:rsid w:val="00340B86"/>
    <w:pPr>
      <w:numPr>
        <w:ilvl w:val="2"/>
      </w:numPr>
      <w:outlineLvl w:val="2"/>
    </w:pPr>
    <w:rPr>
      <w:b w:val="0"/>
    </w:rPr>
  </w:style>
  <w:style w:type="paragraph" w:customStyle="1" w:styleId="ConstructionL4">
    <w:name w:val="Construction_L4"/>
    <w:basedOn w:val="ConstructionL3"/>
    <w:rsid w:val="00340B86"/>
    <w:pPr>
      <w:numPr>
        <w:ilvl w:val="3"/>
      </w:numPr>
      <w:outlineLvl w:val="3"/>
    </w:pPr>
  </w:style>
  <w:style w:type="paragraph" w:customStyle="1" w:styleId="ConstructionL5">
    <w:name w:val="Construction_L5"/>
    <w:basedOn w:val="ConstructionL4"/>
    <w:rsid w:val="00340B86"/>
    <w:pPr>
      <w:numPr>
        <w:ilvl w:val="4"/>
      </w:numPr>
      <w:outlineLvl w:val="4"/>
    </w:pPr>
  </w:style>
  <w:style w:type="paragraph" w:customStyle="1" w:styleId="ConstructionL7">
    <w:name w:val="Construction_L7"/>
    <w:basedOn w:val="Normal"/>
    <w:rsid w:val="00340B86"/>
    <w:pPr>
      <w:numPr>
        <w:ilvl w:val="6"/>
        <w:numId w:val="91"/>
      </w:numPr>
      <w:spacing w:after="240"/>
      <w:jc w:val="both"/>
      <w:outlineLvl w:val="6"/>
    </w:pPr>
    <w:rPr>
      <w:sz w:val="24"/>
      <w:lang w:val="en-CA" w:eastAsia="en-US"/>
    </w:rPr>
  </w:style>
  <w:style w:type="character" w:customStyle="1" w:styleId="Heading1Char">
    <w:name w:val="Heading 1 Char"/>
    <w:aliases w:val="h1 Char"/>
    <w:basedOn w:val="DefaultParagraphFont"/>
    <w:link w:val="Heading1"/>
    <w:rsid w:val="007055BD"/>
    <w:rPr>
      <w:rFonts w:ascii="Arial" w:hAnsi="Arial"/>
      <w:b/>
      <w:sz w:val="44"/>
      <w:shd w:val="solid" w:color="FFFFFF" w:fill="FFFFFF"/>
      <w:lang w:val="en-US"/>
    </w:rPr>
  </w:style>
  <w:style w:type="table" w:styleId="LightGrid-Accent1">
    <w:name w:val="Light Grid Accent 1"/>
    <w:basedOn w:val="TableNormal"/>
    <w:uiPriority w:val="62"/>
    <w:rsid w:val="004D3136"/>
    <w:rPr>
      <w:rFonts w:asciiTheme="minorHAnsi" w:eastAsiaTheme="minorHAnsi" w:hAnsiTheme="minorHAnsi" w:cstheme="minorBidi"/>
      <w:sz w:val="22"/>
      <w:szCs w:val="22"/>
      <w:lang w:eastAsia="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customStyle="1" w:styleId="OHHpara">
    <w:name w:val="OHHpara"/>
    <w:aliases w:val="P,ORPara,Para"/>
    <w:basedOn w:val="Normal"/>
    <w:rsid w:val="00546EFC"/>
    <w:pPr>
      <w:spacing w:after="240" w:line="360" w:lineRule="auto"/>
      <w:jc w:val="both"/>
    </w:pPr>
    <w:rPr>
      <w:rFonts w:ascii="Times New (W1)" w:hAnsi="Times New (W1)"/>
      <w:sz w:val="20"/>
      <w:lang w:val="en-CA" w:eastAsia="en-US"/>
    </w:rPr>
  </w:style>
  <w:style w:type="character" w:customStyle="1" w:styleId="Heading2Char">
    <w:name w:val="Heading 2 Char"/>
    <w:aliases w:val="h2 Char,NPB Char"/>
    <w:basedOn w:val="DefaultParagraphFont"/>
    <w:link w:val="Heading2"/>
    <w:rsid w:val="00B92035"/>
    <w:rPr>
      <w:rFonts w:ascii="Arial" w:hAnsi="Arial"/>
      <w:b/>
      <w:sz w:val="32"/>
      <w:lang w:val="en-US"/>
    </w:rPr>
  </w:style>
  <w:style w:type="character" w:customStyle="1" w:styleId="Heading4Char">
    <w:name w:val="Heading 4 Char"/>
    <w:aliases w:val="Table head Char,Signature Space Char"/>
    <w:basedOn w:val="DefaultParagraphFont"/>
    <w:link w:val="Heading4"/>
    <w:rsid w:val="00B442BA"/>
    <w:rPr>
      <w:rFonts w:ascii="Arial" w:hAnsi="Arial"/>
      <w:b/>
      <w:sz w:val="24"/>
      <w:lang w:val="en-US"/>
    </w:rPr>
  </w:style>
  <w:style w:type="character" w:customStyle="1" w:styleId="Heading5Char">
    <w:name w:val="Heading 5 Char"/>
    <w:aliases w:val="h5 Char,Block Label Char,Table column head Char"/>
    <w:basedOn w:val="DefaultParagraphFont"/>
    <w:link w:val="Heading5"/>
    <w:rsid w:val="00B92035"/>
    <w:rPr>
      <w:rFonts w:ascii="Arial" w:hAnsi="Arial"/>
      <w:sz w:val="24"/>
      <w:lang w:val="en-US"/>
    </w:rPr>
  </w:style>
  <w:style w:type="character" w:customStyle="1" w:styleId="HeaderChar">
    <w:name w:val="Header Char"/>
    <w:basedOn w:val="DefaultParagraphFont"/>
    <w:link w:val="Header"/>
    <w:rsid w:val="000C2C50"/>
    <w:rPr>
      <w:lang w:val="en-US"/>
    </w:rPr>
  </w:style>
  <w:style w:type="character" w:customStyle="1" w:styleId="FooterChar">
    <w:name w:val="Footer Char"/>
    <w:basedOn w:val="DefaultParagraphFont"/>
    <w:link w:val="Footer"/>
    <w:rsid w:val="000C2C50"/>
    <w:rPr>
      <w:lang w:val="en-US"/>
    </w:rPr>
  </w:style>
  <w:style w:type="paragraph" w:customStyle="1" w:styleId="Headerlandscape0">
    <w:name w:val="Header landscape"/>
    <w:basedOn w:val="Header"/>
    <w:rsid w:val="00217655"/>
    <w:pPr>
      <w:tabs>
        <w:tab w:val="clear" w:pos="9540"/>
        <w:tab w:val="left" w:pos="4410"/>
        <w:tab w:val="right" w:pos="9720"/>
        <w:tab w:val="right" w:pos="13500"/>
      </w:tabs>
      <w:ind w:left="4410" w:right="-720" w:hanging="5130"/>
    </w:pPr>
  </w:style>
  <w:style w:type="paragraph" w:customStyle="1" w:styleId="ManualBodyText4">
    <w:name w:val="Manual Body Text 4"/>
    <w:link w:val="ManualBodyText4Char"/>
    <w:autoRedefine/>
    <w:rsid w:val="00CD1FDE"/>
    <w:pPr>
      <w:tabs>
        <w:tab w:val="left" w:pos="2160"/>
      </w:tabs>
      <w:spacing w:after="240"/>
      <w:ind w:left="2160" w:hanging="1080"/>
    </w:pPr>
    <w:rPr>
      <w:noProof/>
      <w:sz w:val="24"/>
    </w:rPr>
  </w:style>
  <w:style w:type="character" w:customStyle="1" w:styleId="ManualBodyText4Char">
    <w:name w:val="Manual Body Text 4 Char"/>
    <w:basedOn w:val="DefaultParagraphFont"/>
    <w:link w:val="ManualBodyText4"/>
    <w:rsid w:val="00CD1FDE"/>
    <w:rPr>
      <w:noProof/>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3302949">
      <w:bodyDiv w:val="1"/>
      <w:marLeft w:val="0"/>
      <w:marRight w:val="0"/>
      <w:marTop w:val="0"/>
      <w:marBottom w:val="0"/>
      <w:divBdr>
        <w:top w:val="none" w:sz="0" w:space="0" w:color="auto"/>
        <w:left w:val="none" w:sz="0" w:space="0" w:color="auto"/>
        <w:bottom w:val="none" w:sz="0" w:space="0" w:color="auto"/>
        <w:right w:val="none" w:sz="0" w:space="0" w:color="auto"/>
      </w:divBdr>
    </w:div>
    <w:div w:id="144050182">
      <w:bodyDiv w:val="1"/>
      <w:marLeft w:val="0"/>
      <w:marRight w:val="0"/>
      <w:marTop w:val="0"/>
      <w:marBottom w:val="0"/>
      <w:divBdr>
        <w:top w:val="none" w:sz="0" w:space="0" w:color="auto"/>
        <w:left w:val="none" w:sz="0" w:space="0" w:color="auto"/>
        <w:bottom w:val="none" w:sz="0" w:space="0" w:color="auto"/>
        <w:right w:val="none" w:sz="0" w:space="0" w:color="auto"/>
      </w:divBdr>
    </w:div>
    <w:div w:id="408424077">
      <w:bodyDiv w:val="1"/>
      <w:marLeft w:val="0"/>
      <w:marRight w:val="0"/>
      <w:marTop w:val="0"/>
      <w:marBottom w:val="0"/>
      <w:divBdr>
        <w:top w:val="none" w:sz="0" w:space="0" w:color="auto"/>
        <w:left w:val="none" w:sz="0" w:space="0" w:color="auto"/>
        <w:bottom w:val="none" w:sz="0" w:space="0" w:color="auto"/>
        <w:right w:val="none" w:sz="0" w:space="0" w:color="auto"/>
      </w:divBdr>
    </w:div>
    <w:div w:id="468784206">
      <w:bodyDiv w:val="1"/>
      <w:marLeft w:val="0"/>
      <w:marRight w:val="0"/>
      <w:marTop w:val="0"/>
      <w:marBottom w:val="0"/>
      <w:divBdr>
        <w:top w:val="none" w:sz="0" w:space="0" w:color="auto"/>
        <w:left w:val="none" w:sz="0" w:space="0" w:color="auto"/>
        <w:bottom w:val="none" w:sz="0" w:space="0" w:color="auto"/>
        <w:right w:val="none" w:sz="0" w:space="0" w:color="auto"/>
      </w:divBdr>
    </w:div>
    <w:div w:id="548148689">
      <w:bodyDiv w:val="1"/>
      <w:marLeft w:val="0"/>
      <w:marRight w:val="0"/>
      <w:marTop w:val="0"/>
      <w:marBottom w:val="0"/>
      <w:divBdr>
        <w:top w:val="none" w:sz="0" w:space="0" w:color="auto"/>
        <w:left w:val="none" w:sz="0" w:space="0" w:color="auto"/>
        <w:bottom w:val="none" w:sz="0" w:space="0" w:color="auto"/>
        <w:right w:val="none" w:sz="0" w:space="0" w:color="auto"/>
      </w:divBdr>
    </w:div>
    <w:div w:id="572738801">
      <w:bodyDiv w:val="1"/>
      <w:marLeft w:val="0"/>
      <w:marRight w:val="0"/>
      <w:marTop w:val="0"/>
      <w:marBottom w:val="0"/>
      <w:divBdr>
        <w:top w:val="none" w:sz="0" w:space="0" w:color="auto"/>
        <w:left w:val="none" w:sz="0" w:space="0" w:color="auto"/>
        <w:bottom w:val="none" w:sz="0" w:space="0" w:color="auto"/>
        <w:right w:val="none" w:sz="0" w:space="0" w:color="auto"/>
      </w:divBdr>
    </w:div>
    <w:div w:id="657154644">
      <w:bodyDiv w:val="1"/>
      <w:marLeft w:val="0"/>
      <w:marRight w:val="0"/>
      <w:marTop w:val="0"/>
      <w:marBottom w:val="0"/>
      <w:divBdr>
        <w:top w:val="none" w:sz="0" w:space="0" w:color="auto"/>
        <w:left w:val="none" w:sz="0" w:space="0" w:color="auto"/>
        <w:bottom w:val="none" w:sz="0" w:space="0" w:color="auto"/>
        <w:right w:val="none" w:sz="0" w:space="0" w:color="auto"/>
      </w:divBdr>
    </w:div>
    <w:div w:id="903100827">
      <w:bodyDiv w:val="1"/>
      <w:marLeft w:val="0"/>
      <w:marRight w:val="0"/>
      <w:marTop w:val="0"/>
      <w:marBottom w:val="0"/>
      <w:divBdr>
        <w:top w:val="none" w:sz="0" w:space="0" w:color="auto"/>
        <w:left w:val="none" w:sz="0" w:space="0" w:color="auto"/>
        <w:bottom w:val="none" w:sz="0" w:space="0" w:color="auto"/>
        <w:right w:val="none" w:sz="0" w:space="0" w:color="auto"/>
      </w:divBdr>
    </w:div>
    <w:div w:id="925647219">
      <w:bodyDiv w:val="1"/>
      <w:marLeft w:val="0"/>
      <w:marRight w:val="0"/>
      <w:marTop w:val="0"/>
      <w:marBottom w:val="0"/>
      <w:divBdr>
        <w:top w:val="none" w:sz="0" w:space="0" w:color="auto"/>
        <w:left w:val="none" w:sz="0" w:space="0" w:color="auto"/>
        <w:bottom w:val="none" w:sz="0" w:space="0" w:color="auto"/>
        <w:right w:val="none" w:sz="0" w:space="0" w:color="auto"/>
      </w:divBdr>
    </w:div>
    <w:div w:id="1391609580">
      <w:bodyDiv w:val="1"/>
      <w:marLeft w:val="0"/>
      <w:marRight w:val="0"/>
      <w:marTop w:val="0"/>
      <w:marBottom w:val="0"/>
      <w:divBdr>
        <w:top w:val="none" w:sz="0" w:space="0" w:color="auto"/>
        <w:left w:val="none" w:sz="0" w:space="0" w:color="auto"/>
        <w:bottom w:val="none" w:sz="0" w:space="0" w:color="auto"/>
        <w:right w:val="none" w:sz="0" w:space="0" w:color="auto"/>
      </w:divBdr>
    </w:div>
    <w:div w:id="1554346909">
      <w:bodyDiv w:val="1"/>
      <w:marLeft w:val="0"/>
      <w:marRight w:val="0"/>
      <w:marTop w:val="0"/>
      <w:marBottom w:val="0"/>
      <w:divBdr>
        <w:top w:val="none" w:sz="0" w:space="0" w:color="auto"/>
        <w:left w:val="none" w:sz="0" w:space="0" w:color="auto"/>
        <w:bottom w:val="none" w:sz="0" w:space="0" w:color="auto"/>
        <w:right w:val="none" w:sz="0" w:space="0" w:color="auto"/>
      </w:divBdr>
    </w:div>
    <w:div w:id="1769079538">
      <w:bodyDiv w:val="1"/>
      <w:marLeft w:val="0"/>
      <w:marRight w:val="0"/>
      <w:marTop w:val="0"/>
      <w:marBottom w:val="0"/>
      <w:divBdr>
        <w:top w:val="none" w:sz="0" w:space="0" w:color="auto"/>
        <w:left w:val="none" w:sz="0" w:space="0" w:color="auto"/>
        <w:bottom w:val="none" w:sz="0" w:space="0" w:color="auto"/>
        <w:right w:val="none" w:sz="0" w:space="0" w:color="auto"/>
      </w:divBdr>
      <w:divsChild>
        <w:div w:id="1930305631">
          <w:marLeft w:val="0"/>
          <w:marRight w:val="0"/>
          <w:marTop w:val="0"/>
          <w:marBottom w:val="0"/>
          <w:divBdr>
            <w:top w:val="none" w:sz="0" w:space="0" w:color="auto"/>
            <w:left w:val="none" w:sz="0" w:space="0" w:color="auto"/>
            <w:bottom w:val="none" w:sz="0" w:space="0" w:color="auto"/>
            <w:right w:val="none" w:sz="0" w:space="0" w:color="auto"/>
          </w:divBdr>
          <w:divsChild>
            <w:div w:id="1696730503">
              <w:marLeft w:val="0"/>
              <w:marRight w:val="0"/>
              <w:marTop w:val="0"/>
              <w:marBottom w:val="0"/>
              <w:divBdr>
                <w:top w:val="none" w:sz="0" w:space="0" w:color="auto"/>
                <w:left w:val="none" w:sz="0" w:space="0" w:color="auto"/>
                <w:bottom w:val="none" w:sz="0" w:space="0" w:color="auto"/>
                <w:right w:val="none" w:sz="0" w:space="0" w:color="auto"/>
              </w:divBdr>
              <w:divsChild>
                <w:div w:id="1780372749">
                  <w:marLeft w:val="0"/>
                  <w:marRight w:val="0"/>
                  <w:marTop w:val="0"/>
                  <w:marBottom w:val="0"/>
                  <w:divBdr>
                    <w:top w:val="none" w:sz="0" w:space="0" w:color="auto"/>
                    <w:left w:val="none" w:sz="0" w:space="0" w:color="auto"/>
                    <w:bottom w:val="none" w:sz="0" w:space="0" w:color="auto"/>
                    <w:right w:val="none" w:sz="0" w:space="0" w:color="auto"/>
                  </w:divBdr>
                  <w:divsChild>
                    <w:div w:id="1962418264">
                      <w:marLeft w:val="0"/>
                      <w:marRight w:val="0"/>
                      <w:marTop w:val="0"/>
                      <w:marBottom w:val="0"/>
                      <w:divBdr>
                        <w:top w:val="none" w:sz="0" w:space="0" w:color="auto"/>
                        <w:left w:val="none" w:sz="0" w:space="0" w:color="auto"/>
                        <w:bottom w:val="none" w:sz="0" w:space="0" w:color="auto"/>
                        <w:right w:val="none" w:sz="0" w:space="0" w:color="auto"/>
                      </w:divBdr>
                      <w:divsChild>
                        <w:div w:id="98375678">
                          <w:marLeft w:val="0"/>
                          <w:marRight w:val="0"/>
                          <w:marTop w:val="0"/>
                          <w:marBottom w:val="0"/>
                          <w:divBdr>
                            <w:top w:val="none" w:sz="0" w:space="0" w:color="auto"/>
                            <w:left w:val="none" w:sz="0" w:space="0" w:color="auto"/>
                            <w:bottom w:val="none" w:sz="0" w:space="0" w:color="auto"/>
                            <w:right w:val="none" w:sz="0" w:space="0" w:color="auto"/>
                          </w:divBdr>
                          <w:divsChild>
                            <w:div w:id="541014834">
                              <w:marLeft w:val="0"/>
                              <w:marRight w:val="0"/>
                              <w:marTop w:val="0"/>
                              <w:marBottom w:val="0"/>
                              <w:divBdr>
                                <w:top w:val="none" w:sz="0" w:space="0" w:color="auto"/>
                                <w:left w:val="none" w:sz="0" w:space="0" w:color="auto"/>
                                <w:bottom w:val="none" w:sz="0" w:space="0" w:color="auto"/>
                                <w:right w:val="none" w:sz="0" w:space="0" w:color="auto"/>
                              </w:divBdr>
                              <w:divsChild>
                                <w:div w:id="767427471">
                                  <w:marLeft w:val="0"/>
                                  <w:marRight w:val="0"/>
                                  <w:marTop w:val="0"/>
                                  <w:marBottom w:val="0"/>
                                  <w:divBdr>
                                    <w:top w:val="none" w:sz="0" w:space="0" w:color="auto"/>
                                    <w:left w:val="none" w:sz="0" w:space="0" w:color="auto"/>
                                    <w:bottom w:val="none" w:sz="0" w:space="0" w:color="auto"/>
                                    <w:right w:val="none" w:sz="0" w:space="0" w:color="auto"/>
                                  </w:divBdr>
                                  <w:divsChild>
                                    <w:div w:id="1233851261">
                                      <w:marLeft w:val="0"/>
                                      <w:marRight w:val="0"/>
                                      <w:marTop w:val="0"/>
                                      <w:marBottom w:val="0"/>
                                      <w:divBdr>
                                        <w:top w:val="none" w:sz="0" w:space="0" w:color="auto"/>
                                        <w:left w:val="none" w:sz="0" w:space="0" w:color="auto"/>
                                        <w:bottom w:val="none" w:sz="0" w:space="0" w:color="auto"/>
                                        <w:right w:val="none" w:sz="0" w:space="0" w:color="auto"/>
                                      </w:divBdr>
                                      <w:divsChild>
                                        <w:div w:id="1718160550">
                                          <w:marLeft w:val="0"/>
                                          <w:marRight w:val="0"/>
                                          <w:marTop w:val="0"/>
                                          <w:marBottom w:val="0"/>
                                          <w:divBdr>
                                            <w:top w:val="none" w:sz="0" w:space="0" w:color="auto"/>
                                            <w:left w:val="none" w:sz="0" w:space="0" w:color="auto"/>
                                            <w:bottom w:val="none" w:sz="0" w:space="0" w:color="auto"/>
                                            <w:right w:val="none" w:sz="0" w:space="0" w:color="auto"/>
                                          </w:divBdr>
                                          <w:divsChild>
                                            <w:div w:id="1143933271">
                                              <w:marLeft w:val="0"/>
                                              <w:marRight w:val="0"/>
                                              <w:marTop w:val="0"/>
                                              <w:marBottom w:val="0"/>
                                              <w:divBdr>
                                                <w:top w:val="none" w:sz="0" w:space="0" w:color="auto"/>
                                                <w:left w:val="none" w:sz="0" w:space="0" w:color="auto"/>
                                                <w:bottom w:val="none" w:sz="0" w:space="0" w:color="auto"/>
                                                <w:right w:val="none" w:sz="0" w:space="0" w:color="auto"/>
                                              </w:divBdr>
                                              <w:divsChild>
                                                <w:div w:id="1627277906">
                                                  <w:marLeft w:val="0"/>
                                                  <w:marRight w:val="0"/>
                                                  <w:marTop w:val="0"/>
                                                  <w:marBottom w:val="0"/>
                                                  <w:divBdr>
                                                    <w:top w:val="none" w:sz="0" w:space="0" w:color="auto"/>
                                                    <w:left w:val="none" w:sz="0" w:space="0" w:color="auto"/>
                                                    <w:bottom w:val="none" w:sz="0" w:space="0" w:color="auto"/>
                                                    <w:right w:val="none" w:sz="0" w:space="0" w:color="auto"/>
                                                  </w:divBdr>
                                                  <w:divsChild>
                                                    <w:div w:id="1240019504">
                                                      <w:marLeft w:val="0"/>
                                                      <w:marRight w:val="0"/>
                                                      <w:marTop w:val="0"/>
                                                      <w:marBottom w:val="0"/>
                                                      <w:divBdr>
                                                        <w:top w:val="none" w:sz="0" w:space="0" w:color="auto"/>
                                                        <w:left w:val="none" w:sz="0" w:space="0" w:color="auto"/>
                                                        <w:bottom w:val="none" w:sz="0" w:space="0" w:color="auto"/>
                                                        <w:right w:val="none" w:sz="0" w:space="0" w:color="auto"/>
                                                      </w:divBdr>
                                                      <w:divsChild>
                                                        <w:div w:id="1825001032">
                                                          <w:marLeft w:val="0"/>
                                                          <w:marRight w:val="0"/>
                                                          <w:marTop w:val="0"/>
                                                          <w:marBottom w:val="0"/>
                                                          <w:divBdr>
                                                            <w:top w:val="none" w:sz="0" w:space="0" w:color="auto"/>
                                                            <w:left w:val="none" w:sz="0" w:space="0" w:color="auto"/>
                                                            <w:bottom w:val="none" w:sz="0" w:space="0" w:color="auto"/>
                                                            <w:right w:val="none" w:sz="0" w:space="0" w:color="auto"/>
                                                          </w:divBdr>
                                                          <w:divsChild>
                                                            <w:div w:id="1194001161">
                                                              <w:marLeft w:val="0"/>
                                                              <w:marRight w:val="0"/>
                                                              <w:marTop w:val="0"/>
                                                              <w:marBottom w:val="0"/>
                                                              <w:divBdr>
                                                                <w:top w:val="none" w:sz="0" w:space="0" w:color="auto"/>
                                                                <w:left w:val="none" w:sz="0" w:space="0" w:color="auto"/>
                                                                <w:bottom w:val="none" w:sz="0" w:space="0" w:color="auto"/>
                                                                <w:right w:val="none" w:sz="0" w:space="0" w:color="auto"/>
                                                              </w:divBdr>
                                                              <w:divsChild>
                                                                <w:div w:id="318732548">
                                                                  <w:marLeft w:val="0"/>
                                                                  <w:marRight w:val="0"/>
                                                                  <w:marTop w:val="0"/>
                                                                  <w:marBottom w:val="0"/>
                                                                  <w:divBdr>
                                                                    <w:top w:val="none" w:sz="0" w:space="0" w:color="auto"/>
                                                                    <w:left w:val="none" w:sz="0" w:space="0" w:color="auto"/>
                                                                    <w:bottom w:val="none" w:sz="0" w:space="0" w:color="auto"/>
                                                                    <w:right w:val="none" w:sz="0" w:space="0" w:color="auto"/>
                                                                  </w:divBdr>
                                                                  <w:divsChild>
                                                                    <w:div w:id="712267749">
                                                                      <w:marLeft w:val="0"/>
                                                                      <w:marRight w:val="0"/>
                                                                      <w:marTop w:val="0"/>
                                                                      <w:marBottom w:val="0"/>
                                                                      <w:divBdr>
                                                                        <w:top w:val="none" w:sz="0" w:space="0" w:color="auto"/>
                                                                        <w:left w:val="none" w:sz="0" w:space="0" w:color="auto"/>
                                                                        <w:bottom w:val="none" w:sz="0" w:space="0" w:color="auto"/>
                                                                        <w:right w:val="none" w:sz="0" w:space="0" w:color="auto"/>
                                                                      </w:divBdr>
                                                                      <w:divsChild>
                                                                        <w:div w:id="213198822">
                                                                          <w:marLeft w:val="0"/>
                                                                          <w:marRight w:val="0"/>
                                                                          <w:marTop w:val="0"/>
                                                                          <w:marBottom w:val="0"/>
                                                                          <w:divBdr>
                                                                            <w:top w:val="none" w:sz="0" w:space="0" w:color="auto"/>
                                                                            <w:left w:val="none" w:sz="0" w:space="0" w:color="auto"/>
                                                                            <w:bottom w:val="none" w:sz="0" w:space="0" w:color="auto"/>
                                                                            <w:right w:val="none" w:sz="0" w:space="0" w:color="auto"/>
                                                                          </w:divBdr>
                                                                          <w:divsChild>
                                                                            <w:div w:id="1136528281">
                                                                              <w:marLeft w:val="0"/>
                                                                              <w:marRight w:val="0"/>
                                                                              <w:marTop w:val="0"/>
                                                                              <w:marBottom w:val="0"/>
                                                                              <w:divBdr>
                                                                                <w:top w:val="none" w:sz="0" w:space="0" w:color="auto"/>
                                                                                <w:left w:val="none" w:sz="0" w:space="0" w:color="auto"/>
                                                                                <w:bottom w:val="none" w:sz="0" w:space="0" w:color="auto"/>
                                                                                <w:right w:val="none" w:sz="0" w:space="0" w:color="auto"/>
                                                                              </w:divBdr>
                                                                              <w:divsChild>
                                                                                <w:div w:id="1647247535">
                                                                                  <w:marLeft w:val="0"/>
                                                                                  <w:marRight w:val="0"/>
                                                                                  <w:marTop w:val="0"/>
                                                                                  <w:marBottom w:val="0"/>
                                                                                  <w:divBdr>
                                                                                    <w:top w:val="none" w:sz="0" w:space="0" w:color="auto"/>
                                                                                    <w:left w:val="none" w:sz="0" w:space="0" w:color="auto"/>
                                                                                    <w:bottom w:val="none" w:sz="0" w:space="0" w:color="auto"/>
                                                                                    <w:right w:val="none" w:sz="0" w:space="0" w:color="auto"/>
                                                                                  </w:divBdr>
                                                                                  <w:divsChild>
                                                                                    <w:div w:id="1352533682">
                                                                                      <w:marLeft w:val="0"/>
                                                                                      <w:marRight w:val="0"/>
                                                                                      <w:marTop w:val="0"/>
                                                                                      <w:marBottom w:val="0"/>
                                                                                      <w:divBdr>
                                                                                        <w:top w:val="none" w:sz="0" w:space="0" w:color="auto"/>
                                                                                        <w:left w:val="none" w:sz="0" w:space="0" w:color="auto"/>
                                                                                        <w:bottom w:val="none" w:sz="0" w:space="0" w:color="auto"/>
                                                                                        <w:right w:val="none" w:sz="0" w:space="0" w:color="auto"/>
                                                                                      </w:divBdr>
                                                                                      <w:divsChild>
                                                                                        <w:div w:id="1530951383">
                                                                                          <w:marLeft w:val="0"/>
                                                                                          <w:marRight w:val="0"/>
                                                                                          <w:marTop w:val="0"/>
                                                                                          <w:marBottom w:val="0"/>
                                                                                          <w:divBdr>
                                                                                            <w:top w:val="none" w:sz="0" w:space="0" w:color="auto"/>
                                                                                            <w:left w:val="none" w:sz="0" w:space="0" w:color="auto"/>
                                                                                            <w:bottom w:val="none" w:sz="0" w:space="0" w:color="auto"/>
                                                                                            <w:right w:val="none" w:sz="0" w:space="0" w:color="auto"/>
                                                                                          </w:divBdr>
                                                                                          <w:divsChild>
                                                                                            <w:div w:id="1326084850">
                                                                                              <w:marLeft w:val="0"/>
                                                                                              <w:marRight w:val="0"/>
                                                                                              <w:marTop w:val="0"/>
                                                                                              <w:marBottom w:val="0"/>
                                                                                              <w:divBdr>
                                                                                                <w:top w:val="none" w:sz="0" w:space="0" w:color="auto"/>
                                                                                                <w:left w:val="none" w:sz="0" w:space="0" w:color="auto"/>
                                                                                                <w:bottom w:val="none" w:sz="0" w:space="0" w:color="auto"/>
                                                                                                <w:right w:val="none" w:sz="0" w:space="0" w:color="auto"/>
                                                                                              </w:divBdr>
                                                                                              <w:divsChild>
                                                                                                <w:div w:id="1925455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73615390">
                                                                              <w:marLeft w:val="0"/>
                                                                              <w:marRight w:val="0"/>
                                                                              <w:marTop w:val="0"/>
                                                                              <w:marBottom w:val="0"/>
                                                                              <w:divBdr>
                                                                                <w:top w:val="none" w:sz="0" w:space="0" w:color="auto"/>
                                                                                <w:left w:val="none" w:sz="0" w:space="0" w:color="auto"/>
                                                                                <w:bottom w:val="none" w:sz="0" w:space="0" w:color="auto"/>
                                                                                <w:right w:val="none" w:sz="0" w:space="0" w:color="auto"/>
                                                                              </w:divBdr>
                                                                              <w:divsChild>
                                                                                <w:div w:id="1227105335">
                                                                                  <w:marLeft w:val="0"/>
                                                                                  <w:marRight w:val="0"/>
                                                                                  <w:marTop w:val="0"/>
                                                                                  <w:marBottom w:val="0"/>
                                                                                  <w:divBdr>
                                                                                    <w:top w:val="none" w:sz="0" w:space="0" w:color="auto"/>
                                                                                    <w:left w:val="none" w:sz="0" w:space="0" w:color="auto"/>
                                                                                    <w:bottom w:val="none" w:sz="0" w:space="0" w:color="auto"/>
                                                                                    <w:right w:val="none" w:sz="0" w:space="0" w:color="auto"/>
                                                                                  </w:divBdr>
                                                                                  <w:divsChild>
                                                                                    <w:div w:id="1970669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72582134">
      <w:bodyDiv w:val="1"/>
      <w:marLeft w:val="0"/>
      <w:marRight w:val="0"/>
      <w:marTop w:val="0"/>
      <w:marBottom w:val="0"/>
      <w:divBdr>
        <w:top w:val="none" w:sz="0" w:space="0" w:color="auto"/>
        <w:left w:val="none" w:sz="0" w:space="0" w:color="auto"/>
        <w:bottom w:val="none" w:sz="0" w:space="0" w:color="auto"/>
        <w:right w:val="none" w:sz="0" w:space="0" w:color="auto"/>
      </w:divBdr>
    </w:div>
    <w:div w:id="1858300833">
      <w:bodyDiv w:val="1"/>
      <w:marLeft w:val="0"/>
      <w:marRight w:val="0"/>
      <w:marTop w:val="0"/>
      <w:marBottom w:val="0"/>
      <w:divBdr>
        <w:top w:val="none" w:sz="0" w:space="0" w:color="auto"/>
        <w:left w:val="none" w:sz="0" w:space="0" w:color="auto"/>
        <w:bottom w:val="none" w:sz="0" w:space="0" w:color="auto"/>
        <w:right w:val="none" w:sz="0" w:space="0" w:color="auto"/>
      </w:divBdr>
      <w:divsChild>
        <w:div w:id="324167379">
          <w:marLeft w:val="0"/>
          <w:marRight w:val="0"/>
          <w:marTop w:val="0"/>
          <w:marBottom w:val="0"/>
          <w:divBdr>
            <w:top w:val="none" w:sz="0" w:space="0" w:color="auto"/>
            <w:left w:val="none" w:sz="0" w:space="0" w:color="auto"/>
            <w:bottom w:val="none" w:sz="0" w:space="0" w:color="auto"/>
            <w:right w:val="none" w:sz="0" w:space="0" w:color="auto"/>
          </w:divBdr>
          <w:divsChild>
            <w:div w:id="2011367402">
              <w:marLeft w:val="0"/>
              <w:marRight w:val="0"/>
              <w:marTop w:val="0"/>
              <w:marBottom w:val="0"/>
              <w:divBdr>
                <w:top w:val="none" w:sz="0" w:space="0" w:color="auto"/>
                <w:left w:val="none" w:sz="0" w:space="0" w:color="auto"/>
                <w:bottom w:val="none" w:sz="0" w:space="0" w:color="auto"/>
                <w:right w:val="none" w:sz="0" w:space="0" w:color="auto"/>
              </w:divBdr>
              <w:divsChild>
                <w:div w:id="438793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9614126">
          <w:marLeft w:val="0"/>
          <w:marRight w:val="0"/>
          <w:marTop w:val="0"/>
          <w:marBottom w:val="0"/>
          <w:divBdr>
            <w:top w:val="none" w:sz="0" w:space="0" w:color="auto"/>
            <w:left w:val="none" w:sz="0" w:space="0" w:color="auto"/>
            <w:bottom w:val="none" w:sz="0" w:space="0" w:color="auto"/>
            <w:right w:val="none" w:sz="0" w:space="0" w:color="auto"/>
          </w:divBdr>
          <w:divsChild>
            <w:div w:id="267156192">
              <w:marLeft w:val="0"/>
              <w:marRight w:val="0"/>
              <w:marTop w:val="0"/>
              <w:marBottom w:val="0"/>
              <w:divBdr>
                <w:top w:val="none" w:sz="0" w:space="0" w:color="auto"/>
                <w:left w:val="none" w:sz="0" w:space="0" w:color="auto"/>
                <w:bottom w:val="none" w:sz="0" w:space="0" w:color="auto"/>
                <w:right w:val="none" w:sz="0" w:space="0" w:color="auto"/>
              </w:divBdr>
              <w:divsChild>
                <w:div w:id="1851019720">
                  <w:marLeft w:val="0"/>
                  <w:marRight w:val="0"/>
                  <w:marTop w:val="0"/>
                  <w:marBottom w:val="0"/>
                  <w:divBdr>
                    <w:top w:val="none" w:sz="0" w:space="0" w:color="auto"/>
                    <w:left w:val="none" w:sz="0" w:space="0" w:color="auto"/>
                    <w:bottom w:val="none" w:sz="0" w:space="0" w:color="auto"/>
                    <w:right w:val="none" w:sz="0" w:space="0" w:color="auto"/>
                  </w:divBdr>
                </w:div>
                <w:div w:id="157774241">
                  <w:marLeft w:val="0"/>
                  <w:marRight w:val="0"/>
                  <w:marTop w:val="0"/>
                  <w:marBottom w:val="0"/>
                  <w:divBdr>
                    <w:top w:val="none" w:sz="0" w:space="0" w:color="auto"/>
                    <w:left w:val="none" w:sz="0" w:space="0" w:color="auto"/>
                    <w:bottom w:val="none" w:sz="0" w:space="0" w:color="auto"/>
                    <w:right w:val="none" w:sz="0" w:space="0" w:color="auto"/>
                  </w:divBdr>
                </w:div>
                <w:div w:id="1223641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2884204">
      <w:bodyDiv w:val="1"/>
      <w:marLeft w:val="0"/>
      <w:marRight w:val="0"/>
      <w:marTop w:val="0"/>
      <w:marBottom w:val="0"/>
      <w:divBdr>
        <w:top w:val="none" w:sz="0" w:space="0" w:color="auto"/>
        <w:left w:val="none" w:sz="0" w:space="0" w:color="auto"/>
        <w:bottom w:val="none" w:sz="0" w:space="0" w:color="auto"/>
        <w:right w:val="none" w:sz="0" w:space="0" w:color="auto"/>
      </w:divBdr>
    </w:div>
    <w:div w:id="19760569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28.png"/><Relationship Id="rId21" Type="http://schemas.openxmlformats.org/officeDocument/2006/relationships/footer" Target="footer6.xml"/><Relationship Id="rId42" Type="http://schemas.openxmlformats.org/officeDocument/2006/relationships/image" Target="media/image70.emf"/><Relationship Id="rId63" Type="http://schemas.openxmlformats.org/officeDocument/2006/relationships/footer" Target="footer13.xml"/><Relationship Id="rId84" Type="http://schemas.openxmlformats.org/officeDocument/2006/relationships/header" Target="header22.xml"/><Relationship Id="rId16" Type="http://schemas.openxmlformats.org/officeDocument/2006/relationships/header" Target="header4.xml"/><Relationship Id="rId107" Type="http://schemas.openxmlformats.org/officeDocument/2006/relationships/hyperlink" Target="mailto:CBDR.MV@ieso.ca" TargetMode="External"/><Relationship Id="rId11" Type="http://schemas.openxmlformats.org/officeDocument/2006/relationships/header" Target="header2.xml"/><Relationship Id="rId32" Type="http://schemas.openxmlformats.org/officeDocument/2006/relationships/footer" Target="footer10.xml"/><Relationship Id="rId37" Type="http://schemas.openxmlformats.org/officeDocument/2006/relationships/image" Target="media/image5.emf"/><Relationship Id="rId53" Type="http://schemas.openxmlformats.org/officeDocument/2006/relationships/image" Target="media/image9.png"/><Relationship Id="rId58" Type="http://schemas.openxmlformats.org/officeDocument/2006/relationships/image" Target="media/image14.png"/><Relationship Id="rId74" Type="http://schemas.openxmlformats.org/officeDocument/2006/relationships/hyperlink" Target="http://www.ieso.ca/" TargetMode="External"/><Relationship Id="rId79" Type="http://schemas.openxmlformats.org/officeDocument/2006/relationships/image" Target="media/image17.png"/><Relationship Id="rId102" Type="http://schemas.openxmlformats.org/officeDocument/2006/relationships/footer" Target="footer27.xml"/><Relationship Id="rId123" Type="http://schemas.openxmlformats.org/officeDocument/2006/relationships/footer" Target="footer33.xml"/><Relationship Id="rId128" Type="http://schemas.openxmlformats.org/officeDocument/2006/relationships/header" Target="header38.xml"/><Relationship Id="rId5" Type="http://schemas.openxmlformats.org/officeDocument/2006/relationships/webSettings" Target="webSettings.xml"/><Relationship Id="rId90" Type="http://schemas.openxmlformats.org/officeDocument/2006/relationships/footer" Target="footer23.xml"/><Relationship Id="rId95" Type="http://schemas.openxmlformats.org/officeDocument/2006/relationships/footer" Target="footer25.xml"/><Relationship Id="R931301d0cfea42ce" Type="http://schemas.microsoft.com/office/2018/08/relationships/commentsExtensible" Target="commentsExtensible.xml"/><Relationship Id="rId22" Type="http://schemas.openxmlformats.org/officeDocument/2006/relationships/header" Target="header7.xml"/><Relationship Id="rId27" Type="http://schemas.openxmlformats.org/officeDocument/2006/relationships/image" Target="media/image3.png"/><Relationship Id="rId43" Type="http://schemas.openxmlformats.org/officeDocument/2006/relationships/image" Target="media/image8.emf"/><Relationship Id="rId48" Type="http://schemas.openxmlformats.org/officeDocument/2006/relationships/footer" Target="footer12.xml"/><Relationship Id="rId64" Type="http://schemas.openxmlformats.org/officeDocument/2006/relationships/footer" Target="footer14.xml"/><Relationship Id="rId69" Type="http://schemas.openxmlformats.org/officeDocument/2006/relationships/hyperlink" Target="mailto:customer.relations@ieso.ca" TargetMode="External"/><Relationship Id="rId113" Type="http://schemas.openxmlformats.org/officeDocument/2006/relationships/footer" Target="footer29.xml"/><Relationship Id="rId118" Type="http://schemas.openxmlformats.org/officeDocument/2006/relationships/header" Target="header33.xml"/><Relationship Id="R99094c277ad44e90" Type="http://schemas.microsoft.com/office/2016/09/relationships/commentsIds" Target="commentsIds.xml"/><Relationship Id="rId134" Type="http://schemas.openxmlformats.org/officeDocument/2006/relationships/customXml" Target="../customXml/item2.xml"/><Relationship Id="rId80" Type="http://schemas.openxmlformats.org/officeDocument/2006/relationships/image" Target="media/image18.png"/><Relationship Id="rId85" Type="http://schemas.openxmlformats.org/officeDocument/2006/relationships/header" Target="header23.xml"/><Relationship Id="rId12" Type="http://schemas.openxmlformats.org/officeDocument/2006/relationships/footer" Target="footer1.xml"/><Relationship Id="rId17" Type="http://schemas.openxmlformats.org/officeDocument/2006/relationships/header" Target="header5.xml"/><Relationship Id="rId33" Type="http://schemas.openxmlformats.org/officeDocument/2006/relationships/image" Target="media/image4.png"/><Relationship Id="rId38" Type="http://schemas.openxmlformats.org/officeDocument/2006/relationships/image" Target="media/image50.emf"/><Relationship Id="rId59" Type="http://schemas.openxmlformats.org/officeDocument/2006/relationships/image" Target="media/image15.png"/><Relationship Id="rId103" Type="http://schemas.openxmlformats.org/officeDocument/2006/relationships/footer" Target="footer28.xml"/><Relationship Id="rId108" Type="http://schemas.openxmlformats.org/officeDocument/2006/relationships/hyperlink" Target="mailto:cbdr@ieso.ca" TargetMode="External"/><Relationship Id="rId124" Type="http://schemas.openxmlformats.org/officeDocument/2006/relationships/header" Target="header36.xml"/><Relationship Id="rId129" Type="http://schemas.openxmlformats.org/officeDocument/2006/relationships/header" Target="header39.xml"/><Relationship Id="rId54" Type="http://schemas.openxmlformats.org/officeDocument/2006/relationships/image" Target="media/image10.png"/><Relationship Id="rId70" Type="http://schemas.openxmlformats.org/officeDocument/2006/relationships/header" Target="header18.xml"/><Relationship Id="rId75" Type="http://schemas.openxmlformats.org/officeDocument/2006/relationships/header" Target="header20.xml"/><Relationship Id="rId91" Type="http://schemas.openxmlformats.org/officeDocument/2006/relationships/footer" Target="footer24.xml"/><Relationship Id="rId96" Type="http://schemas.openxmlformats.org/officeDocument/2006/relationships/footer" Target="footer26.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eader" Target="header8.xml"/><Relationship Id="rId28" Type="http://schemas.openxmlformats.org/officeDocument/2006/relationships/hyperlink" Target="mailto:IESOCustomerRelations@ieso.ca" TargetMode="External"/><Relationship Id="rId49" Type="http://schemas.openxmlformats.org/officeDocument/2006/relationships/hyperlink" Target="https://www.ontario.ca/laws/regulation/150314" TargetMode="External"/><Relationship Id="rId114" Type="http://schemas.openxmlformats.org/officeDocument/2006/relationships/header" Target="header32.xml"/><Relationship Id="rId119" Type="http://schemas.openxmlformats.org/officeDocument/2006/relationships/footer" Target="footer31.xml"/><Relationship Id="rId44" Type="http://schemas.openxmlformats.org/officeDocument/2006/relationships/image" Target="media/image80.emf"/><Relationship Id="rId60" Type="http://schemas.openxmlformats.org/officeDocument/2006/relationships/image" Target="media/image16.png"/><Relationship Id="rId65" Type="http://schemas.openxmlformats.org/officeDocument/2006/relationships/header" Target="header16.xml"/><Relationship Id="rId81" Type="http://schemas.openxmlformats.org/officeDocument/2006/relationships/image" Target="media/image19.png"/><Relationship Id="rId86" Type="http://schemas.openxmlformats.org/officeDocument/2006/relationships/footer" Target="footer21.xml"/><Relationship Id="rId130" Type="http://schemas.openxmlformats.org/officeDocument/2006/relationships/footer" Target="footer36.xml"/><Relationship Id="rId135" Type="http://schemas.openxmlformats.org/officeDocument/2006/relationships/customXml" Target="../customXml/item3.xml"/><Relationship Id="rId13" Type="http://schemas.openxmlformats.org/officeDocument/2006/relationships/footer" Target="footer2.xml"/><Relationship Id="rId18" Type="http://schemas.openxmlformats.org/officeDocument/2006/relationships/footer" Target="footer4.xml"/><Relationship Id="rId39" Type="http://schemas.openxmlformats.org/officeDocument/2006/relationships/image" Target="media/image6.emf"/><Relationship Id="rId109" Type="http://schemas.openxmlformats.org/officeDocument/2006/relationships/hyperlink" Target="mailto:CBDR.Datafiles@ieso.ca" TargetMode="External"/><Relationship Id="rId34" Type="http://schemas.openxmlformats.org/officeDocument/2006/relationships/hyperlink" Target="mailto:customer.relations@ieso.ca" TargetMode="External"/><Relationship Id="rId50" Type="http://schemas.openxmlformats.org/officeDocument/2006/relationships/hyperlink" Target="https://www.oeb.ca/sites/default/files/OEBltr-IESO-CEAP-Funding-20210326.pdf" TargetMode="External"/><Relationship Id="rId55" Type="http://schemas.openxmlformats.org/officeDocument/2006/relationships/image" Target="media/image11.png"/><Relationship Id="rId76" Type="http://schemas.openxmlformats.org/officeDocument/2006/relationships/header" Target="header21.xml"/><Relationship Id="rId97" Type="http://schemas.openxmlformats.org/officeDocument/2006/relationships/image" Target="media/image22.png"/><Relationship Id="rId104" Type="http://schemas.openxmlformats.org/officeDocument/2006/relationships/hyperlink" Target="http://www.e-laws.gov.on.ca/html/source/regs/english/2010/elaws_src_regs_r10495_e.htm" TargetMode="External"/><Relationship Id="rId120" Type="http://schemas.openxmlformats.org/officeDocument/2006/relationships/header" Target="header34.xml"/><Relationship Id="rId125" Type="http://schemas.openxmlformats.org/officeDocument/2006/relationships/header" Target="header37.xml"/><Relationship Id="rId7" Type="http://schemas.openxmlformats.org/officeDocument/2006/relationships/endnotes" Target="endnotes.xml"/><Relationship Id="rId71" Type="http://schemas.openxmlformats.org/officeDocument/2006/relationships/header" Target="header19.xml"/><Relationship Id="rId92" Type="http://schemas.openxmlformats.org/officeDocument/2006/relationships/header" Target="header26.xml"/><Relationship Id="rId2" Type="http://schemas.openxmlformats.org/officeDocument/2006/relationships/numbering" Target="numbering.xml"/><Relationship Id="rId29" Type="http://schemas.openxmlformats.org/officeDocument/2006/relationships/header" Target="header10.xml"/><Relationship Id="rId24" Type="http://schemas.openxmlformats.org/officeDocument/2006/relationships/footer" Target="footer7.xml"/><Relationship Id="rId40" Type="http://schemas.openxmlformats.org/officeDocument/2006/relationships/image" Target="media/image60.emf"/><Relationship Id="rId45" Type="http://schemas.openxmlformats.org/officeDocument/2006/relationships/header" Target="header12.xml"/><Relationship Id="rId66" Type="http://schemas.openxmlformats.org/officeDocument/2006/relationships/header" Target="header17.xml"/><Relationship Id="rId87" Type="http://schemas.openxmlformats.org/officeDocument/2006/relationships/footer" Target="footer22.xml"/><Relationship Id="rId110" Type="http://schemas.openxmlformats.org/officeDocument/2006/relationships/image" Target="media/image25.png"/><Relationship Id="rId115" Type="http://schemas.openxmlformats.org/officeDocument/2006/relationships/footer" Target="footer30.xml"/><Relationship Id="rId131" Type="http://schemas.openxmlformats.org/officeDocument/2006/relationships/footer" Target="footer37.xml"/><Relationship Id="rId136" Type="http://schemas.openxmlformats.org/officeDocument/2006/relationships/customXml" Target="../customXml/item4.xml"/><Relationship Id="rId61" Type="http://schemas.openxmlformats.org/officeDocument/2006/relationships/header" Target="header14.xml"/><Relationship Id="rId82" Type="http://schemas.openxmlformats.org/officeDocument/2006/relationships/image" Target="media/image20.png"/><Relationship Id="rId19" Type="http://schemas.openxmlformats.org/officeDocument/2006/relationships/footer" Target="footer5.xml"/><Relationship Id="rId14" Type="http://schemas.openxmlformats.org/officeDocument/2006/relationships/header" Target="header3.xml"/><Relationship Id="rId30" Type="http://schemas.openxmlformats.org/officeDocument/2006/relationships/header" Target="header11.xml"/><Relationship Id="rId35" Type="http://schemas.openxmlformats.org/officeDocument/2006/relationships/hyperlink" Target="mailto:customer.relations@ieso.ca" TargetMode="External"/><Relationship Id="rId56" Type="http://schemas.openxmlformats.org/officeDocument/2006/relationships/image" Target="media/image12.png"/><Relationship Id="rId77" Type="http://schemas.openxmlformats.org/officeDocument/2006/relationships/footer" Target="footer19.xml"/><Relationship Id="rId100" Type="http://schemas.openxmlformats.org/officeDocument/2006/relationships/header" Target="header29.xml"/><Relationship Id="rId105" Type="http://schemas.openxmlformats.org/officeDocument/2006/relationships/hyperlink" Target="http://ieso.ca/-/media/files/ieso/document-library/training/guide-to-online-data-submission.pdf" TargetMode="External"/><Relationship Id="rId126" Type="http://schemas.openxmlformats.org/officeDocument/2006/relationships/footer" Target="footer34.xml"/><Relationship Id="rId8" Type="http://schemas.openxmlformats.org/officeDocument/2006/relationships/image" Target="media/image1.png"/><Relationship Id="rId51" Type="http://schemas.openxmlformats.org/officeDocument/2006/relationships/hyperlink" Target="mailto:customer.relations@ieso.ca" TargetMode="External"/><Relationship Id="rId72" Type="http://schemas.openxmlformats.org/officeDocument/2006/relationships/footer" Target="footer17.xml"/><Relationship Id="rId93" Type="http://schemas.openxmlformats.org/officeDocument/2006/relationships/header" Target="header27.xml"/><Relationship Id="rId98" Type="http://schemas.openxmlformats.org/officeDocument/2006/relationships/image" Target="media/image23.png"/><Relationship Id="rId121" Type="http://schemas.openxmlformats.org/officeDocument/2006/relationships/footer" Target="footer32.xml"/><Relationship Id="rId3" Type="http://schemas.openxmlformats.org/officeDocument/2006/relationships/styles" Target="styles.xml"/><Relationship Id="rId25" Type="http://schemas.openxmlformats.org/officeDocument/2006/relationships/footer" Target="footer8.xml"/><Relationship Id="rId46" Type="http://schemas.openxmlformats.org/officeDocument/2006/relationships/header" Target="header13.xml"/><Relationship Id="rId67" Type="http://schemas.openxmlformats.org/officeDocument/2006/relationships/footer" Target="footer15.xml"/><Relationship Id="rId116" Type="http://schemas.openxmlformats.org/officeDocument/2006/relationships/image" Target="media/image27.png"/><Relationship Id="rId20" Type="http://schemas.openxmlformats.org/officeDocument/2006/relationships/header" Target="header6.xml"/><Relationship Id="rId41" Type="http://schemas.openxmlformats.org/officeDocument/2006/relationships/image" Target="media/image7.emf"/><Relationship Id="rId62" Type="http://schemas.openxmlformats.org/officeDocument/2006/relationships/header" Target="header15.xml"/><Relationship Id="rId83" Type="http://schemas.openxmlformats.org/officeDocument/2006/relationships/image" Target="media/image21.png"/><Relationship Id="rId88" Type="http://schemas.openxmlformats.org/officeDocument/2006/relationships/header" Target="header24.xml"/><Relationship Id="rId111" Type="http://schemas.openxmlformats.org/officeDocument/2006/relationships/image" Target="media/image26.png"/><Relationship Id="rId132" Type="http://schemas.openxmlformats.org/officeDocument/2006/relationships/fontTable" Target="fontTable.xml"/><Relationship Id="rId15" Type="http://schemas.openxmlformats.org/officeDocument/2006/relationships/footer" Target="footer3.xml"/><Relationship Id="rId36" Type="http://schemas.openxmlformats.org/officeDocument/2006/relationships/hyperlink" Target="http://www.ieso.ca/-/media/files/ieso/document-library/engage/completed/renewable-integration_completed-engagement.pdf" TargetMode="External"/><Relationship Id="rId57" Type="http://schemas.openxmlformats.org/officeDocument/2006/relationships/image" Target="media/image13.png"/><Relationship Id="rId106" Type="http://schemas.openxmlformats.org/officeDocument/2006/relationships/hyperlink" Target="mailto:CBDR.MV@ieso.ca" TargetMode="External"/><Relationship Id="rId127" Type="http://schemas.openxmlformats.org/officeDocument/2006/relationships/footer" Target="footer35.xml"/><Relationship Id="rId10" Type="http://schemas.openxmlformats.org/officeDocument/2006/relationships/header" Target="header1.xml"/><Relationship Id="rId31" Type="http://schemas.openxmlformats.org/officeDocument/2006/relationships/footer" Target="footer9.xml"/><Relationship Id="rId52" Type="http://schemas.openxmlformats.org/officeDocument/2006/relationships/hyperlink" Target="http://www.ieso.ca/" TargetMode="External"/><Relationship Id="rId73" Type="http://schemas.openxmlformats.org/officeDocument/2006/relationships/footer" Target="footer18.xml"/><Relationship Id="rId78" Type="http://schemas.openxmlformats.org/officeDocument/2006/relationships/footer" Target="footer20.xml"/><Relationship Id="rId94" Type="http://schemas.openxmlformats.org/officeDocument/2006/relationships/header" Target="header28.xml"/><Relationship Id="rId99" Type="http://schemas.openxmlformats.org/officeDocument/2006/relationships/image" Target="media/image24.png"/><Relationship Id="rId101" Type="http://schemas.openxmlformats.org/officeDocument/2006/relationships/header" Target="header30.xml"/><Relationship Id="rId122" Type="http://schemas.openxmlformats.org/officeDocument/2006/relationships/header" Target="header35.xm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header" Target="header9.xml"/><Relationship Id="rId47" Type="http://schemas.openxmlformats.org/officeDocument/2006/relationships/footer" Target="footer11.xml"/><Relationship Id="rId68" Type="http://schemas.openxmlformats.org/officeDocument/2006/relationships/footer" Target="footer16.xml"/><Relationship Id="rId89" Type="http://schemas.openxmlformats.org/officeDocument/2006/relationships/header" Target="header25.xml"/><Relationship Id="rId112" Type="http://schemas.openxmlformats.org/officeDocument/2006/relationships/header" Target="header31.xml"/><Relationship Id="rId133"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7FEBD578AA449343B2A65204F59EC1BD" ma:contentTypeVersion="4" ma:contentTypeDescription="Create a new document." ma:contentTypeScope="" ma:versionID="152263b8ac7ca856c189803fdfe5d4e2">
  <xsd:schema xmlns:xsd="http://www.w3.org/2001/XMLSchema" xmlns:xs="http://www.w3.org/2001/XMLSchema" xmlns:p="http://schemas.microsoft.com/office/2006/metadata/properties" xmlns:ns2="d52dd339-cdfb-418b-bfb2-b4ae9a579f1f" targetNamespace="http://schemas.microsoft.com/office/2006/metadata/properties" ma:root="true" ma:fieldsID="81a8ad2039c2e572cc37aed351af7ad4" ns2:_="">
    <xsd:import namespace="d52dd339-cdfb-418b-bfb2-b4ae9a579f1f"/>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52dd339-cdfb-418b-bfb2-b4ae9a579f1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999EB45E-2629-4F27-BAEE-85B0CEF2B7B8}">
  <ds:schemaRefs>
    <ds:schemaRef ds:uri="http://schemas.openxmlformats.org/officeDocument/2006/bibliography"/>
  </ds:schemaRefs>
</ds:datastoreItem>
</file>

<file path=customXml/itemProps2.xml><?xml version="1.0" encoding="utf-8"?>
<ds:datastoreItem xmlns:ds="http://schemas.openxmlformats.org/officeDocument/2006/customXml" ds:itemID="{AD7D40F3-8615-48BA-8C55-7CF90A70B001}"/>
</file>

<file path=customXml/itemProps3.xml><?xml version="1.0" encoding="utf-8"?>
<ds:datastoreItem xmlns:ds="http://schemas.openxmlformats.org/officeDocument/2006/customXml" ds:itemID="{48A7AADD-85A9-4258-95F1-371879734E8C}"/>
</file>

<file path=customXml/itemProps4.xml><?xml version="1.0" encoding="utf-8"?>
<ds:datastoreItem xmlns:ds="http://schemas.openxmlformats.org/officeDocument/2006/customXml" ds:itemID="{28CDC696-5FF0-4BE6-AC38-94D0E5769739}"/>
</file>

<file path=docProps/app.xml><?xml version="1.0" encoding="utf-8"?>
<Properties xmlns="http://schemas.openxmlformats.org/officeDocument/2006/extended-properties" xmlns:vt="http://schemas.openxmlformats.org/officeDocument/2006/docPropsVTypes">
  <Template>Normal.dotm</Template>
  <TotalTime>0</TotalTime>
  <Pages>44</Pages>
  <Words>57386</Words>
  <Characters>327105</Characters>
  <Application>Microsoft Office Word</Application>
  <DocSecurity>8</DocSecurity>
  <Lines>2725</Lines>
  <Paragraphs>767</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383724</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2021-12-07T19:01:00Z</dcterms:created>
  <dcterms:modified xsi:type="dcterms:W3CDTF">2021-12-07T21:02:00Z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0x0101007FEBD578AA449343B2A65204F59EC1BD</vt:lpwstr>
  </property>
</Properties>
</file>