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ABBFF9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42BF78CC" w:rsidR="006F582B" w:rsidRDefault="00FA3F94" w:rsidP="006F582B">
      <w:pPr>
        <w:pStyle w:val="Heading2"/>
      </w:pPr>
      <w:bookmarkStart w:id="0" w:name="_GoBack"/>
      <w:r>
        <w:t>Resource Adequacy</w:t>
      </w:r>
      <w:r w:rsidR="00252B43">
        <w:t xml:space="preserve"> webinar</w:t>
      </w:r>
      <w:r w:rsidR="007A1A30">
        <w:t xml:space="preserve"> – </w:t>
      </w:r>
      <w:r w:rsidR="00B12871">
        <w:t>May 28</w:t>
      </w:r>
      <w:r w:rsidR="0054218F">
        <w:t>, 2021</w:t>
      </w:r>
      <w:bookmarkEnd w:id="0"/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5C15A2B6" w14:textId="3D169871" w:rsidR="006F582B" w:rsidRDefault="00B44D93" w:rsidP="006F582B">
      <w:pPr>
        <w:pStyle w:val="BodyText"/>
      </w:pPr>
      <w:r w:rsidRPr="005D1848">
        <w:rPr>
          <w:rFonts w:eastAsiaTheme="minorEastAsia" w:cs="Tahoma"/>
          <w:szCs w:val="22"/>
          <w:lang w:val="en-US"/>
        </w:rPr>
        <w:t xml:space="preserve">Following the </w:t>
      </w:r>
      <w:r w:rsidR="00B12871">
        <w:rPr>
          <w:rFonts w:eastAsiaTheme="minorEastAsia" w:cs="Tahoma"/>
          <w:szCs w:val="22"/>
          <w:lang w:val="en-US"/>
        </w:rPr>
        <w:t>May 28</w:t>
      </w:r>
      <w:r w:rsidR="0054218F">
        <w:rPr>
          <w:rFonts w:eastAsiaTheme="minorEastAsia" w:cs="Tahoma"/>
          <w:szCs w:val="22"/>
          <w:lang w:val="en-US"/>
        </w:rPr>
        <w:t>, 2021</w:t>
      </w:r>
      <w:r w:rsidRPr="005D1848">
        <w:rPr>
          <w:rFonts w:eastAsiaTheme="minorEastAsia" w:cs="Tahoma"/>
          <w:szCs w:val="22"/>
          <w:lang w:val="en-US"/>
        </w:rPr>
        <w:t xml:space="preserve"> </w:t>
      </w:r>
      <w:r w:rsidR="00FA3F94">
        <w:rPr>
          <w:rFonts w:eastAsiaTheme="minorEastAsia" w:cs="Tahoma"/>
          <w:szCs w:val="22"/>
          <w:lang w:val="en-US"/>
        </w:rPr>
        <w:t>Resource Adequacy</w:t>
      </w:r>
      <w:r w:rsidR="00C27988">
        <w:rPr>
          <w:rFonts w:eastAsiaTheme="minorEastAsia" w:cs="Tahoma"/>
          <w:szCs w:val="22"/>
          <w:lang w:val="en-US"/>
        </w:rPr>
        <w:t xml:space="preserve"> engagement webinar</w:t>
      </w:r>
      <w:r w:rsidRPr="005D184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 w:rsidR="00B12871">
        <w:rPr>
          <w:rFonts w:eastAsiaTheme="minorEastAsia" w:cs="Tahoma"/>
          <w:szCs w:val="22"/>
          <w:lang w:val="en-US"/>
        </w:rPr>
        <w:t>seeking</w:t>
      </w:r>
      <w:r w:rsidRPr="005D1848">
        <w:rPr>
          <w:rFonts w:eastAsiaTheme="minorEastAsia" w:cs="Tahoma"/>
          <w:szCs w:val="22"/>
          <w:lang w:val="en-US"/>
        </w:rPr>
        <w:t xml:space="preserve"> feedback from stakeholders on the items discussed during the webinar. </w:t>
      </w:r>
      <w:r w:rsidR="00FA3F94">
        <w:rPr>
          <w:rFonts w:eastAsiaTheme="minorEastAsia" w:cs="Tahoma"/>
          <w:szCs w:val="22"/>
          <w:lang w:val="en-US"/>
        </w:rPr>
        <w:t>The webinar presentation and recording</w:t>
      </w:r>
      <w:r w:rsidRPr="005D1848">
        <w:rPr>
          <w:rFonts w:eastAsiaTheme="minorEastAsia" w:cs="Tahoma"/>
          <w:szCs w:val="22"/>
          <w:lang w:val="en-US"/>
        </w:rPr>
        <w:t xml:space="preserve"> can be accessed from the </w:t>
      </w:r>
      <w:hyperlink r:id="rId8" w:history="1">
        <w:r w:rsidRPr="00A515BA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 web page</w:t>
        </w:r>
      </w:hyperlink>
      <w:r w:rsidRPr="005D1848">
        <w:rPr>
          <w:rFonts w:eastAsiaTheme="minorEastAsia" w:cs="Tahoma"/>
          <w:szCs w:val="22"/>
          <w:lang w:val="en-US"/>
        </w:rPr>
        <w:t>.</w:t>
      </w:r>
    </w:p>
    <w:p w14:paraId="5A95E5DF" w14:textId="4811A911" w:rsidR="009B6BAE" w:rsidRDefault="00B44D93" w:rsidP="006F582B">
      <w:pPr>
        <w:pStyle w:val="BodyText"/>
      </w:pPr>
      <w:r w:rsidRPr="00717CD0">
        <w:rPr>
          <w:rFonts w:eastAsiaTheme="minorEastAsia" w:cs="Tahoma"/>
          <w:b/>
          <w:szCs w:val="22"/>
          <w:lang w:val="en-US"/>
        </w:rPr>
        <w:t>Please submit feedback to</w:t>
      </w:r>
      <w:r w:rsidRPr="005D1848">
        <w:rPr>
          <w:rFonts w:eastAsiaTheme="minorEastAsia" w:cs="Tahoma"/>
          <w:szCs w:val="22"/>
          <w:lang w:val="en-US"/>
        </w:rPr>
        <w:t xml:space="preserve"> </w:t>
      </w:r>
      <w:hyperlink r:id="rId9" w:history="1">
        <w:r w:rsidRPr="008810D0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engagement@ieso.ca</w:t>
        </w:r>
      </w:hyperlink>
      <w:r>
        <w:rPr>
          <w:rFonts w:eastAsiaTheme="minorEastAsia" w:cs="Tahoma"/>
          <w:szCs w:val="22"/>
          <w:lang w:val="en-US"/>
        </w:rPr>
        <w:t xml:space="preserve"> </w:t>
      </w:r>
      <w:r w:rsidRPr="00717CD0">
        <w:rPr>
          <w:rFonts w:eastAsiaTheme="minorEastAsia" w:cs="Tahoma"/>
          <w:b/>
          <w:szCs w:val="22"/>
          <w:lang w:val="en-US"/>
        </w:rPr>
        <w:t xml:space="preserve">by </w:t>
      </w:r>
      <w:r w:rsidR="00B12871">
        <w:rPr>
          <w:rFonts w:eastAsiaTheme="minorEastAsia" w:cs="Tahoma"/>
          <w:b/>
          <w:szCs w:val="22"/>
          <w:lang w:val="en-US"/>
        </w:rPr>
        <w:t>June 18</w:t>
      </w:r>
      <w:r w:rsidR="0054218F">
        <w:rPr>
          <w:rFonts w:eastAsiaTheme="minorEastAsia" w:cs="Tahoma"/>
          <w:b/>
          <w:szCs w:val="22"/>
          <w:lang w:val="en-US"/>
        </w:rPr>
        <w:t>, 2021</w:t>
      </w:r>
      <w:r w:rsidRPr="005D184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4A9555B9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0EA7A0E8" w14:textId="058DFC93" w:rsidR="00D56CDF" w:rsidRDefault="00B12871" w:rsidP="00B91B2C">
      <w:pPr>
        <w:pStyle w:val="Heading3"/>
      </w:pPr>
      <w:bookmarkStart w:id="1" w:name="_Toc35868671"/>
      <w:r>
        <w:lastRenderedPageBreak/>
        <w:t>Resource Adequacy Information Guide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B12871" w:rsidRPr="006B7128" w14:paraId="308208C5" w14:textId="77777777" w:rsidTr="006B7D2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1394FB90" w14:textId="77777777" w:rsidR="00B12871" w:rsidRPr="003A3754" w:rsidRDefault="00B12871" w:rsidP="006B7D21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5837DE8" w14:textId="77777777" w:rsidR="00B12871" w:rsidRPr="006B7128" w:rsidRDefault="00B12871" w:rsidP="006B7D2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12871" w:rsidRPr="006B7128" w14:paraId="31D310B9" w14:textId="77777777" w:rsidTr="006B7D2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9637BAA" w14:textId="172AFBBA" w:rsidR="00B12871" w:rsidRPr="00B12871" w:rsidRDefault="00B12871" w:rsidP="00B12871">
            <w:pPr>
              <w:pStyle w:val="TableNumeralsLeftAlignment"/>
            </w:pPr>
            <w:r w:rsidRPr="00B12871">
              <w:t>Is there any important Resource Adequacy-related information not already considered in this guide?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88C1A1F" w14:textId="77777777" w:rsidR="00B12871" w:rsidRPr="006D7540" w:rsidRDefault="00B12871" w:rsidP="00B12871">
            <w:pPr>
              <w:pStyle w:val="TableNumeralsLeftAlignment"/>
            </w:pPr>
          </w:p>
        </w:tc>
      </w:tr>
    </w:tbl>
    <w:p w14:paraId="56427A84" w14:textId="30182688" w:rsidR="00B91B2C" w:rsidRDefault="00B12871" w:rsidP="00B91B2C">
      <w:pPr>
        <w:pStyle w:val="Heading3"/>
      </w:pPr>
      <w:r>
        <w:t>Capacity Auction: Forward Guidance and Minimum Target Threshold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B91B2C" w:rsidRPr="006B7128" w14:paraId="05646708" w14:textId="77777777" w:rsidTr="00B91B2C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74C961AF" w14:textId="6718900B" w:rsidR="00B91B2C" w:rsidRPr="003A3754" w:rsidRDefault="00B91B2C" w:rsidP="008025A2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CB56158" w14:textId="77777777" w:rsidR="00B91B2C" w:rsidRPr="006B7128" w:rsidRDefault="00B91B2C" w:rsidP="008025A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91B2C" w:rsidRPr="006B7128" w14:paraId="518676B9" w14:textId="77777777" w:rsidTr="00B91B2C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7D14D55" w14:textId="2A66561B" w:rsidR="00B91B2C" w:rsidRPr="00B91B2C" w:rsidRDefault="00B12871" w:rsidP="00B12871">
            <w:pPr>
              <w:pStyle w:val="TableNumeralsLeftAlignment"/>
            </w:pPr>
            <w:r w:rsidRPr="00B12871">
              <w:rPr>
                <w:lang w:val="en-CA"/>
              </w:rPr>
              <w:t>Stakeholders are invited to provide general feedback on the proposed approach for forward guidance and minimum target threshold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390B542" w14:textId="77777777" w:rsidR="00B91B2C" w:rsidRPr="006D7540" w:rsidRDefault="00B91B2C" w:rsidP="00B12871">
            <w:pPr>
              <w:pStyle w:val="TableNumeralsLeftAlignment"/>
            </w:pPr>
          </w:p>
        </w:tc>
      </w:tr>
    </w:tbl>
    <w:p w14:paraId="776C419B" w14:textId="38DBEB2E" w:rsidR="00B12871" w:rsidRDefault="00B12871" w:rsidP="00B12871">
      <w:pPr>
        <w:pStyle w:val="Heading3"/>
      </w:pPr>
      <w:r w:rsidRPr="00B12871">
        <w:t>Transition to Qualified Capacity/UCAP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B12871" w:rsidRPr="006B7128" w14:paraId="12AB08ED" w14:textId="77777777" w:rsidTr="006B7D2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1DC382" w14:textId="77777777" w:rsidR="00B12871" w:rsidRPr="003A3754" w:rsidRDefault="00B12871" w:rsidP="006B7D21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3E210CC" w14:textId="77777777" w:rsidR="00B12871" w:rsidRPr="006B7128" w:rsidRDefault="00B12871" w:rsidP="006B7D2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12871" w:rsidRPr="006B7128" w14:paraId="01A2E544" w14:textId="77777777" w:rsidTr="00B12871">
        <w:trPr>
          <w:trHeight w:val="1093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6822305" w14:textId="2F6AACEB" w:rsidR="00B12871" w:rsidRPr="00B91B2C" w:rsidRDefault="00B12871" w:rsidP="006B7D21">
            <w:pPr>
              <w:pStyle w:val="TableNumeralsLeftAlignment"/>
            </w:pPr>
            <w:r w:rsidRPr="00B12871">
              <w:rPr>
                <w:lang w:val="en-CA"/>
              </w:rPr>
              <w:t>Will the initial qualified capacity proposals presented result in a UCAP value that is consistent with the qualified capacity design principles for the resource types considered? If not, what changes would you suggest? Please offer alternatives.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9865621" w14:textId="77777777" w:rsidR="00B12871" w:rsidRPr="006D7540" w:rsidRDefault="00B12871" w:rsidP="006B7D21">
            <w:pPr>
              <w:pStyle w:val="TableNumeralsLeftAlignment"/>
            </w:pPr>
          </w:p>
        </w:tc>
      </w:tr>
      <w:tr w:rsidR="00B12871" w:rsidRPr="006B7128" w14:paraId="1C4D2EC7" w14:textId="77777777" w:rsidTr="00B12871">
        <w:trPr>
          <w:trHeight w:val="1093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FF4E820" w14:textId="39887098" w:rsidR="00B12871" w:rsidRPr="00B12871" w:rsidRDefault="00B12871" w:rsidP="006B7D21">
            <w:pPr>
              <w:pStyle w:val="TableNumeralsLeftAlignment"/>
              <w:rPr>
                <w:lang w:val="en-CA"/>
              </w:rPr>
            </w:pPr>
            <w:r w:rsidRPr="00B12871">
              <w:rPr>
                <w:lang w:val="en-CA"/>
              </w:rPr>
              <w:t>Are the sources of data suggested as inputs into each UCAP formula appropriate? If not, please explain why and suggest alternatives.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179E4D8" w14:textId="77777777" w:rsidR="00B12871" w:rsidRPr="006D7540" w:rsidRDefault="00B12871" w:rsidP="006B7D21">
            <w:pPr>
              <w:pStyle w:val="TableNumeralsLeftAlignment"/>
            </w:pPr>
          </w:p>
        </w:tc>
      </w:tr>
      <w:tr w:rsidR="00B12871" w:rsidRPr="006B7128" w14:paraId="2CCC24D0" w14:textId="77777777" w:rsidTr="00BA005D">
        <w:trPr>
          <w:trHeight w:val="850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8865AD1" w14:textId="2A21040F" w:rsidR="00B12871" w:rsidRPr="00B12871" w:rsidRDefault="00B12871" w:rsidP="006B7D21">
            <w:pPr>
              <w:pStyle w:val="TableNumeralsLeftAlignment"/>
              <w:rPr>
                <w:lang w:val="en-CA"/>
              </w:rPr>
            </w:pPr>
            <w:r w:rsidRPr="00B12871">
              <w:rPr>
                <w:lang w:val="en-CA"/>
              </w:rPr>
              <w:t>Are there any incorrect assumptions the IESO has included that may not be appropriate?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556C4E3" w14:textId="77777777" w:rsidR="00B12871" w:rsidRPr="006D7540" w:rsidRDefault="00B12871" w:rsidP="006B7D21">
            <w:pPr>
              <w:pStyle w:val="TableNumeralsLeftAlignment"/>
            </w:pPr>
          </w:p>
        </w:tc>
      </w:tr>
      <w:tr w:rsidR="00B12871" w:rsidRPr="006B7128" w14:paraId="5B46E718" w14:textId="77777777" w:rsidTr="00B12871">
        <w:trPr>
          <w:trHeight w:val="1093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BD9482B" w14:textId="5BBCA8BC" w:rsidR="00B12871" w:rsidRPr="00B12871" w:rsidRDefault="00B12871" w:rsidP="006B7D21">
            <w:pPr>
              <w:pStyle w:val="TableNumeralsLeftAlignment"/>
              <w:rPr>
                <w:lang w:val="en-CA"/>
              </w:rPr>
            </w:pPr>
            <w:r w:rsidRPr="00B12871">
              <w:rPr>
                <w:lang w:val="en-CA"/>
              </w:rPr>
              <w:t>Is there anything the IESO may not have considered that may contribute to the development of an accurate UCAP methodology?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9B2612D" w14:textId="77777777" w:rsidR="00B12871" w:rsidRPr="006D7540" w:rsidRDefault="00B12871" w:rsidP="006B7D21">
            <w:pPr>
              <w:pStyle w:val="TableNumeralsLeftAlignment"/>
            </w:pPr>
          </w:p>
        </w:tc>
      </w:tr>
      <w:tr w:rsidR="00B12871" w:rsidRPr="006B7128" w14:paraId="7839F354" w14:textId="77777777" w:rsidTr="00BA005D">
        <w:trPr>
          <w:trHeight w:val="463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CC2F057" w14:textId="671EDF5B" w:rsidR="00B12871" w:rsidRPr="00B12871" w:rsidRDefault="00B12871" w:rsidP="006B7D21">
            <w:pPr>
              <w:pStyle w:val="TableNumeralsLeftAlignment"/>
              <w:rPr>
                <w:lang w:val="en-CA"/>
              </w:rPr>
            </w:pPr>
            <w:r>
              <w:rPr>
                <w:lang w:val="en-CA"/>
              </w:rPr>
              <w:t>General Comments/Feedback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D8AFDDE" w14:textId="77777777" w:rsidR="00B12871" w:rsidRPr="006D7540" w:rsidRDefault="00B12871" w:rsidP="006B7D21">
            <w:pPr>
              <w:pStyle w:val="TableNumeralsLeftAlignment"/>
            </w:pPr>
          </w:p>
        </w:tc>
      </w:tr>
    </w:tbl>
    <w:p w14:paraId="36FA2021" w14:textId="4274E5FE" w:rsidR="00B12871" w:rsidRDefault="00B12871" w:rsidP="00B12871">
      <w:pPr>
        <w:pStyle w:val="Heading3"/>
      </w:pPr>
      <w:r w:rsidRPr="00B12871">
        <w:lastRenderedPageBreak/>
        <w:t>UCAP Resource-Specific Meetings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B12871" w:rsidRPr="006B7128" w14:paraId="0E4B2C5D" w14:textId="77777777" w:rsidTr="006B7D2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34AF6D2D" w14:textId="77777777" w:rsidR="00B12871" w:rsidRPr="003A3754" w:rsidRDefault="00B12871" w:rsidP="006B7D21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8FC335C" w14:textId="77777777" w:rsidR="00B12871" w:rsidRPr="006B7128" w:rsidRDefault="00B12871" w:rsidP="006B7D2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12871" w:rsidRPr="006B7128" w14:paraId="2C3B2CAA" w14:textId="77777777" w:rsidTr="006B7D2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76CE104" w14:textId="2346D069" w:rsidR="00B12871" w:rsidRDefault="00B12871" w:rsidP="00B12871">
            <w:pPr>
              <w:pStyle w:val="TableNumeralsLeftAlignment"/>
              <w:rPr>
                <w:lang w:val="en-CA"/>
              </w:rPr>
            </w:pPr>
            <w:r w:rsidRPr="00B12871">
              <w:rPr>
                <w:lang w:val="en-CA"/>
              </w:rPr>
              <w:t>Please indicate your interest in participating in these meetings sooner than June 18, if possible.</w:t>
            </w:r>
          </w:p>
          <w:p w14:paraId="6EB601CA" w14:textId="77777777" w:rsidR="00B12871" w:rsidRPr="00B12871" w:rsidRDefault="00B12871" w:rsidP="00B12871">
            <w:pPr>
              <w:pStyle w:val="TableNumeralsLeftAlignment"/>
              <w:rPr>
                <w:lang w:val="en-CA"/>
              </w:rPr>
            </w:pPr>
          </w:p>
          <w:p w14:paraId="74F19A63" w14:textId="27015828" w:rsidR="00B12871" w:rsidRPr="00B91B2C" w:rsidRDefault="00B12871" w:rsidP="00B12871">
            <w:pPr>
              <w:pStyle w:val="TableNumeralsLeftAlignment"/>
            </w:pPr>
            <w:r w:rsidRPr="00B12871">
              <w:rPr>
                <w:rFonts w:eastAsiaTheme="minorHAnsi" w:cs="Times New Roman (Body CS)"/>
                <w:bCs w:val="0"/>
                <w:szCs w:val="24"/>
                <w:lang w:val="en-CA"/>
                <w14:ligatures w14:val="none"/>
                <w14:numForm w14:val="default"/>
                <w14:numSpacing w14:val="default"/>
              </w:rPr>
              <w:t>Are bi-weekly meetings appropriate? What should the format be? How should attendance be managed?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3BCC76A" w14:textId="77777777" w:rsidR="00B12871" w:rsidRPr="006D7540" w:rsidRDefault="00B12871" w:rsidP="006B7D21">
            <w:pPr>
              <w:pStyle w:val="TableNumeralsLeftAlignment"/>
            </w:pPr>
          </w:p>
        </w:tc>
      </w:tr>
    </w:tbl>
    <w:p w14:paraId="029CEE15" w14:textId="66E4FE1B" w:rsidR="00B91B2C" w:rsidRPr="00B91B2C" w:rsidRDefault="00B91B2C" w:rsidP="00B91B2C">
      <w:pPr>
        <w:pStyle w:val="Heading3"/>
      </w:pPr>
      <w:r>
        <w:t>General Comments / Feedback</w:t>
      </w:r>
    </w:p>
    <w:bookmarkEnd w:id="1"/>
    <w:sectPr w:rsidR="00B91B2C" w:rsidRPr="00B91B2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ECD2" w14:textId="77777777" w:rsidR="00EA1429" w:rsidRDefault="00EA1429" w:rsidP="00F83314">
      <w:r>
        <w:separator/>
      </w:r>
    </w:p>
    <w:p w14:paraId="1DF33C23" w14:textId="77777777" w:rsidR="00EA1429" w:rsidRDefault="00EA1429"/>
  </w:endnote>
  <w:endnote w:type="continuationSeparator" w:id="0">
    <w:p w14:paraId="779CDA85" w14:textId="77777777" w:rsidR="00EA1429" w:rsidRDefault="00EA1429" w:rsidP="00F83314">
      <w:r>
        <w:continuationSeparator/>
      </w:r>
    </w:p>
    <w:p w14:paraId="577810A2" w14:textId="77777777" w:rsidR="00EA1429" w:rsidRDefault="00EA1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25A84A6C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83E9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9313A61" w14:textId="348955C0" w:rsidR="00BE7B56" w:rsidRDefault="00BE7B56" w:rsidP="00BE7B56">
    <w:pPr>
      <w:pStyle w:val="Footer"/>
      <w:ind w:right="360"/>
    </w:pPr>
    <w:r>
      <w:t>Resource Adequacy</w:t>
    </w:r>
    <w:r>
      <w:t xml:space="preserve">, </w:t>
    </w:r>
    <w:r>
      <w:t>28</w:t>
    </w:r>
    <w:r>
      <w:t>/</w:t>
    </w:r>
    <w:r>
      <w:t>May</w:t>
    </w:r>
    <w:r>
      <w:t>/</w:t>
    </w:r>
    <w: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63312681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BE7B56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1C119" w14:textId="77777777" w:rsidR="00EA1429" w:rsidRDefault="00EA1429">
      <w:r>
        <w:separator/>
      </w:r>
    </w:p>
  </w:footnote>
  <w:footnote w:type="continuationSeparator" w:id="0">
    <w:p w14:paraId="6B33ED3E" w14:textId="77777777" w:rsidR="00EA1429" w:rsidRDefault="00EA1429" w:rsidP="00F83314">
      <w:r>
        <w:continuationSeparator/>
      </w:r>
    </w:p>
    <w:p w14:paraId="4221618E" w14:textId="77777777" w:rsidR="00EA1429" w:rsidRDefault="00EA14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4F4F"/>
    <w:rsid w:val="00027E00"/>
    <w:rsid w:val="00031023"/>
    <w:rsid w:val="00032FAC"/>
    <w:rsid w:val="0003386C"/>
    <w:rsid w:val="000424C0"/>
    <w:rsid w:val="00043811"/>
    <w:rsid w:val="00050A11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2C41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2B0A"/>
    <w:rsid w:val="00245326"/>
    <w:rsid w:val="002529F2"/>
    <w:rsid w:val="00252B43"/>
    <w:rsid w:val="00252FA6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2F671D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56678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25BD3"/>
    <w:rsid w:val="00536D37"/>
    <w:rsid w:val="00540C81"/>
    <w:rsid w:val="0054218F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83E9A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1434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2871"/>
    <w:rsid w:val="00B141CC"/>
    <w:rsid w:val="00B15B1B"/>
    <w:rsid w:val="00B27004"/>
    <w:rsid w:val="00B402AC"/>
    <w:rsid w:val="00B44D93"/>
    <w:rsid w:val="00B45BE4"/>
    <w:rsid w:val="00B54E3D"/>
    <w:rsid w:val="00B55305"/>
    <w:rsid w:val="00B81E1D"/>
    <w:rsid w:val="00B91B2C"/>
    <w:rsid w:val="00B94249"/>
    <w:rsid w:val="00BA005D"/>
    <w:rsid w:val="00BC1CD2"/>
    <w:rsid w:val="00BC73F3"/>
    <w:rsid w:val="00BE4AA6"/>
    <w:rsid w:val="00BE4D1D"/>
    <w:rsid w:val="00BE558C"/>
    <w:rsid w:val="00BE7B56"/>
    <w:rsid w:val="00BF2E6E"/>
    <w:rsid w:val="00C01175"/>
    <w:rsid w:val="00C04795"/>
    <w:rsid w:val="00C27988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1EA8"/>
    <w:rsid w:val="00DD3947"/>
    <w:rsid w:val="00DD5A3D"/>
    <w:rsid w:val="00DE026B"/>
    <w:rsid w:val="00DF2962"/>
    <w:rsid w:val="00E04ECB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0CA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A3F94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BE7B56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BE7B56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B12871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98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5885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704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36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389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10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766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835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61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90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86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30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581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770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458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49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source-Adequacy-Engagemen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B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F65682-E39F-4C90-9D52-91557B33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Response Working Group webinar – February 12, 2021 Feedback</vt:lpstr>
    </vt:vector>
  </TitlesOfParts>
  <Manager/>
  <Company>Independent Electricity System Operator</Company>
  <LinksUpToDate>false</LinksUpToDate>
  <CharactersWithSpaces>2339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Adequacy webinar – May 28, 2021 Feedback</dc:title>
  <dc:subject/>
  <dc:creator>Independent Electricity System Operator</dc:creator>
  <cp:keywords/>
  <dc:description/>
  <cp:lastModifiedBy>Daniela Drazic</cp:lastModifiedBy>
  <cp:revision>5</cp:revision>
  <cp:lastPrinted>2020-04-17T18:00:00Z</cp:lastPrinted>
  <dcterms:created xsi:type="dcterms:W3CDTF">2021-05-14T17:51:00Z</dcterms:created>
  <dcterms:modified xsi:type="dcterms:W3CDTF">2021-05-14T18:52:00Z</dcterms:modified>
  <cp:category/>
</cp:coreProperties>
</file>