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1123C1E8" w:rsidR="001607AF" w:rsidRDefault="001607AF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160"/>
        <w:gridCol w:w="6295"/>
      </w:tblGrid>
      <w:tr w:rsidR="00481860" w:rsidRPr="008F6C57" w14:paraId="0710E2DE" w14:textId="77777777" w:rsidTr="009567BB">
        <w:tc>
          <w:tcPr>
            <w:tcW w:w="4495" w:type="dxa"/>
            <w:tcBorders>
              <w:bottom w:val="nil"/>
            </w:tcBorders>
          </w:tcPr>
          <w:p w14:paraId="576DBF43" w14:textId="77777777" w:rsidR="00481860" w:rsidRPr="008F6C57" w:rsidRDefault="00481860" w:rsidP="009567BB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  <w:tc>
          <w:tcPr>
            <w:tcW w:w="8455" w:type="dxa"/>
            <w:gridSpan w:val="2"/>
            <w:tcBorders>
              <w:bottom w:val="nil"/>
            </w:tcBorders>
          </w:tcPr>
          <w:p w14:paraId="284F58DD" w14:textId="77777777" w:rsidR="00481860" w:rsidRPr="00B04CA0" w:rsidRDefault="00481860" w:rsidP="009567BB">
            <w:pPr>
              <w:rPr>
                <w:rFonts w:ascii="Palatino Linotype" w:hAnsi="Palatino Linotype"/>
                <w:sz w:val="24"/>
              </w:rPr>
            </w:pPr>
            <w:r w:rsidRPr="00EE7D32">
              <w:rPr>
                <w:rFonts w:ascii="Palatino Linotype" w:hAnsi="Palatino Linotype"/>
                <w:b/>
                <w:sz w:val="24"/>
                <w:u w:val="single"/>
              </w:rPr>
              <w:t>Feedback Provided By</w:t>
            </w:r>
            <w:r w:rsidRPr="00B04CA0">
              <w:rPr>
                <w:rFonts w:ascii="Palatino Linotype" w:hAnsi="Palatino Linotype"/>
                <w:b/>
                <w:sz w:val="24"/>
              </w:rPr>
              <w:t>:</w:t>
            </w:r>
          </w:p>
        </w:tc>
      </w:tr>
      <w:tr w:rsidR="00481860" w:rsidRPr="008F6C57" w14:paraId="34905096" w14:textId="77777777" w:rsidTr="009567BB">
        <w:trPr>
          <w:trHeight w:val="440"/>
        </w:trPr>
        <w:tc>
          <w:tcPr>
            <w:tcW w:w="4495" w:type="dxa"/>
            <w:vMerge w:val="restart"/>
            <w:tcBorders>
              <w:top w:val="nil"/>
            </w:tcBorders>
          </w:tcPr>
          <w:p w14:paraId="2DDC0430" w14:textId="77777777" w:rsidR="00481860" w:rsidRPr="008F6C57" w:rsidRDefault="00481860" w:rsidP="009567BB">
            <w:pPr>
              <w:spacing w:before="120"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6C997F59" w14:textId="77777777" w:rsidR="00481860" w:rsidRPr="00B04CA0" w:rsidRDefault="00481860" w:rsidP="009567BB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Organization:</w:t>
            </w:r>
          </w:p>
        </w:tc>
        <w:tc>
          <w:tcPr>
            <w:tcW w:w="6295" w:type="dxa"/>
            <w:tcBorders>
              <w:top w:val="nil"/>
              <w:left w:val="nil"/>
            </w:tcBorders>
            <w:vAlign w:val="center"/>
          </w:tcPr>
          <w:p w14:paraId="57B77856" w14:textId="77777777" w:rsidR="00481860" w:rsidRPr="00D61E4B" w:rsidRDefault="00481860" w:rsidP="009567BB">
            <w:pPr>
              <w:rPr>
                <w:rFonts w:ascii="Palatino Linotype" w:hAnsi="Palatino Linotype"/>
                <w:sz w:val="24"/>
              </w:rPr>
            </w:pPr>
          </w:p>
        </w:tc>
      </w:tr>
      <w:tr w:rsidR="00481860" w:rsidRPr="008F6C57" w14:paraId="33D2BDB4" w14:textId="77777777" w:rsidTr="009567BB">
        <w:trPr>
          <w:trHeight w:val="439"/>
        </w:trPr>
        <w:tc>
          <w:tcPr>
            <w:tcW w:w="4495" w:type="dxa"/>
            <w:vMerge/>
          </w:tcPr>
          <w:p w14:paraId="1F706010" w14:textId="77777777" w:rsidR="00481860" w:rsidRPr="008F6C57" w:rsidRDefault="00481860" w:rsidP="009567BB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352209EC" w14:textId="77777777" w:rsidR="00481860" w:rsidRPr="00B04CA0" w:rsidRDefault="00481860" w:rsidP="009567BB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Main Contact:</w:t>
            </w:r>
          </w:p>
        </w:tc>
        <w:tc>
          <w:tcPr>
            <w:tcW w:w="6295" w:type="dxa"/>
            <w:tcBorders>
              <w:left w:val="nil"/>
            </w:tcBorders>
            <w:vAlign w:val="center"/>
          </w:tcPr>
          <w:p w14:paraId="75E380D7" w14:textId="77777777" w:rsidR="00481860" w:rsidRPr="00D61E4B" w:rsidRDefault="00481860" w:rsidP="009567BB">
            <w:pPr>
              <w:rPr>
                <w:rFonts w:ascii="Palatino Linotype" w:hAnsi="Palatino Linotype"/>
                <w:sz w:val="24"/>
              </w:rPr>
            </w:pPr>
          </w:p>
        </w:tc>
      </w:tr>
      <w:tr w:rsidR="00481860" w:rsidRPr="008F6C57" w14:paraId="316D72F7" w14:textId="77777777" w:rsidTr="009567BB">
        <w:trPr>
          <w:trHeight w:val="439"/>
        </w:trPr>
        <w:tc>
          <w:tcPr>
            <w:tcW w:w="4495" w:type="dxa"/>
            <w:vMerge/>
            <w:tcBorders>
              <w:bottom w:val="single" w:sz="4" w:space="0" w:color="auto"/>
            </w:tcBorders>
          </w:tcPr>
          <w:p w14:paraId="36C47723" w14:textId="77777777" w:rsidR="00481860" w:rsidRPr="008F6C57" w:rsidRDefault="00481860" w:rsidP="009567BB">
            <w:pPr>
              <w:spacing w:line="276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1B3DE7" w14:textId="77777777" w:rsidR="00481860" w:rsidRPr="00B04CA0" w:rsidRDefault="00481860" w:rsidP="009567BB">
            <w:pPr>
              <w:rPr>
                <w:rFonts w:ascii="Palatino Linotype" w:hAnsi="Palatino Linotype"/>
                <w:sz w:val="24"/>
              </w:rPr>
            </w:pPr>
            <w:r w:rsidRPr="00B04CA0">
              <w:rPr>
                <w:rFonts w:ascii="Palatino Linotype" w:hAnsi="Palatino Linotype"/>
                <w:sz w:val="24"/>
              </w:rPr>
              <w:t>Email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vAlign w:val="center"/>
          </w:tcPr>
          <w:p w14:paraId="722285A1" w14:textId="77777777" w:rsidR="00481860" w:rsidRPr="00D61E4B" w:rsidRDefault="00481860" w:rsidP="009567BB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23D29E33" w14:textId="620BD7DA" w:rsidR="00481860" w:rsidRDefault="00481860"/>
    <w:p w14:paraId="1795128E" w14:textId="5E95829F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0A676B">
        <w:rPr>
          <w:sz w:val="24"/>
        </w:rPr>
        <w:t>May 21</w:t>
      </w:r>
      <w:r w:rsidR="00AA205E">
        <w:rPr>
          <w:sz w:val="24"/>
        </w:rPr>
        <w:t>, 20</w:t>
      </w:r>
      <w:r w:rsidR="00B54AD9">
        <w:rPr>
          <w:sz w:val="24"/>
        </w:rPr>
        <w:t>20</w:t>
      </w:r>
      <w:r w:rsidR="00544CE2">
        <w:rPr>
          <w:sz w:val="24"/>
        </w:rPr>
        <w:t xml:space="preserve"> </w:t>
      </w:r>
      <w:r w:rsidR="000A676B">
        <w:rPr>
          <w:sz w:val="24"/>
        </w:rPr>
        <w:t>Energy Payments for Economic Activation of Demand Response (DR) Resources</w:t>
      </w:r>
      <w:r w:rsidR="00300536">
        <w:rPr>
          <w:sz w:val="24"/>
        </w:rPr>
        <w:t xml:space="preserve"> webinar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</w:t>
      </w:r>
      <w:r w:rsidR="00300536">
        <w:rPr>
          <w:sz w:val="24"/>
        </w:rPr>
        <w:t>stakeholders</w:t>
      </w:r>
      <w:r w:rsidR="00300536" w:rsidRPr="00862ABC">
        <w:rPr>
          <w:sz w:val="24"/>
        </w:rPr>
        <w:t xml:space="preserve"> </w:t>
      </w:r>
      <w:r w:rsidRPr="00862ABC">
        <w:rPr>
          <w:sz w:val="24"/>
        </w:rPr>
        <w:t xml:space="preserve">on </w:t>
      </w:r>
      <w:r w:rsidR="008627E4">
        <w:rPr>
          <w:sz w:val="24"/>
        </w:rPr>
        <w:t>the following items discussed</w:t>
      </w:r>
      <w:r w:rsidRPr="00862ABC">
        <w:rPr>
          <w:sz w:val="24"/>
        </w:rPr>
        <w:t xml:space="preserve"> during the </w:t>
      </w:r>
      <w:r w:rsidR="000A676B">
        <w:rPr>
          <w:sz w:val="24"/>
        </w:rPr>
        <w:t>webinar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0A676B">
        <w:rPr>
          <w:sz w:val="24"/>
        </w:rPr>
        <w:t xml:space="preserve">Background information related to these feedback requests can be found in the presentation, which can be accessed from the </w:t>
      </w:r>
      <w:hyperlink r:id="rId13" w:history="1">
        <w:r w:rsidR="000A676B" w:rsidRPr="00300536">
          <w:rPr>
            <w:rStyle w:val="Hyperlink"/>
            <w:sz w:val="24"/>
          </w:rPr>
          <w:t>engagement web page</w:t>
        </w:r>
      </w:hyperlink>
      <w:r w:rsidR="000A676B">
        <w:rPr>
          <w:sz w:val="24"/>
        </w:rPr>
        <w:t>.</w:t>
      </w:r>
    </w:p>
    <w:p w14:paraId="4CF57CE5" w14:textId="77777777" w:rsidR="00885220" w:rsidRDefault="00885220" w:rsidP="00862ABC">
      <w:pPr>
        <w:rPr>
          <w:sz w:val="24"/>
        </w:rPr>
      </w:pPr>
    </w:p>
    <w:p w14:paraId="250ED2C0" w14:textId="4C23C7D9" w:rsidR="00B001AB" w:rsidRDefault="00862ABC">
      <w:pPr>
        <w:spacing w:after="200" w:line="276" w:lineRule="auto"/>
        <w:rPr>
          <w:b/>
          <w:sz w:val="24"/>
          <w:szCs w:val="24"/>
          <w:u w:val="single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="00300536" w:rsidRPr="00C62427">
          <w:rPr>
            <w:rStyle w:val="Hyperlink"/>
            <w:b/>
            <w:sz w:val="24"/>
            <w:szCs w:val="24"/>
          </w:rPr>
          <w:t>engagement@ieso.ca</w:t>
        </w:r>
      </w:hyperlink>
      <w:r w:rsidR="00300536">
        <w:rPr>
          <w:b/>
          <w:sz w:val="24"/>
          <w:szCs w:val="24"/>
        </w:rPr>
        <w:t xml:space="preserve"> by</w:t>
      </w:r>
      <w:r w:rsidR="00EC6935" w:rsidRPr="00EC6935">
        <w:rPr>
          <w:b/>
          <w:sz w:val="24"/>
          <w:szCs w:val="24"/>
        </w:rPr>
        <w:t xml:space="preserve"> </w:t>
      </w:r>
      <w:r w:rsidR="000A676B">
        <w:rPr>
          <w:b/>
          <w:sz w:val="24"/>
          <w:szCs w:val="24"/>
        </w:rPr>
        <w:t>June 11</w:t>
      </w:r>
      <w:r w:rsidR="00EC6935" w:rsidRPr="00EC6935">
        <w:rPr>
          <w:b/>
          <w:sz w:val="24"/>
          <w:szCs w:val="24"/>
        </w:rPr>
        <w:t>, 20</w:t>
      </w:r>
      <w:r w:rsidR="00B54A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B54AD9">
        <w:rPr>
          <w:b/>
          <w:sz w:val="24"/>
          <w:szCs w:val="24"/>
        </w:rPr>
        <w:t xml:space="preserve">If you wish to provide confidential feedback, please submit as a separate </w:t>
      </w:r>
      <w:r w:rsidR="00B001AB">
        <w:rPr>
          <w:b/>
          <w:sz w:val="24"/>
          <w:szCs w:val="24"/>
        </w:rPr>
        <w:t>document</w:t>
      </w:r>
      <w:r w:rsidR="00B54AD9">
        <w:rPr>
          <w:b/>
          <w:sz w:val="24"/>
          <w:szCs w:val="24"/>
        </w:rPr>
        <w:t xml:space="preserve">, marked “Confidential”. </w:t>
      </w:r>
      <w:r w:rsidR="00B001AB" w:rsidRPr="00B001AB">
        <w:rPr>
          <w:sz w:val="24"/>
          <w:szCs w:val="24"/>
        </w:rPr>
        <w:t>Otherwise,</w:t>
      </w:r>
      <w:r w:rsidR="00B001AB">
        <w:rPr>
          <w:b/>
          <w:sz w:val="24"/>
          <w:szCs w:val="24"/>
        </w:rPr>
        <w:t xml:space="preserve"> </w:t>
      </w:r>
      <w:r w:rsidR="00B001AB">
        <w:rPr>
          <w:sz w:val="24"/>
          <w:szCs w:val="24"/>
        </w:rPr>
        <w:t>t</w:t>
      </w:r>
      <w:r w:rsidRPr="001A6568">
        <w:rPr>
          <w:sz w:val="24"/>
          <w:szCs w:val="24"/>
        </w:rPr>
        <w:t xml:space="preserve">o promote transparency, </w:t>
      </w:r>
      <w:r w:rsidR="00544CE2">
        <w:rPr>
          <w:sz w:val="24"/>
          <w:szCs w:val="24"/>
        </w:rPr>
        <w:t xml:space="preserve">feedback </w:t>
      </w:r>
      <w:r w:rsidR="00B54AD9">
        <w:rPr>
          <w:sz w:val="24"/>
          <w:szCs w:val="24"/>
        </w:rPr>
        <w:t xml:space="preserve">that is not marked “Confidential” </w:t>
      </w:r>
      <w:r w:rsidR="00544CE2">
        <w:rPr>
          <w:sz w:val="24"/>
          <w:szCs w:val="24"/>
        </w:rPr>
        <w:t>will be posted on the engagement webpage</w:t>
      </w:r>
      <w:r w:rsidRPr="001A6568">
        <w:rPr>
          <w:sz w:val="24"/>
          <w:szCs w:val="24"/>
        </w:rPr>
        <w:t>.</w:t>
      </w:r>
      <w:r w:rsidR="00B001AB">
        <w:rPr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4165"/>
        <w:gridCol w:w="6281"/>
      </w:tblGrid>
      <w:tr w:rsidR="000169CA" w14:paraId="492C3EB4" w14:textId="77777777" w:rsidTr="00870A25">
        <w:tc>
          <w:tcPr>
            <w:tcW w:w="2504" w:type="dxa"/>
            <w:shd w:val="clear" w:color="auto" w:fill="C6D9F1" w:themeFill="text2" w:themeFillTint="33"/>
          </w:tcPr>
          <w:p w14:paraId="196EA42B" w14:textId="77777777" w:rsidR="000169CA" w:rsidRPr="00FA0AC9" w:rsidRDefault="000169C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Feedback Topic</w:t>
            </w:r>
          </w:p>
        </w:tc>
        <w:tc>
          <w:tcPr>
            <w:tcW w:w="4165" w:type="dxa"/>
            <w:shd w:val="clear" w:color="auto" w:fill="C6D9F1" w:themeFill="text2" w:themeFillTint="33"/>
          </w:tcPr>
          <w:p w14:paraId="449CB430" w14:textId="77777777" w:rsidR="000169CA" w:rsidRPr="00FA0AC9" w:rsidRDefault="00022220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Requests</w:t>
            </w:r>
          </w:p>
        </w:tc>
        <w:tc>
          <w:tcPr>
            <w:tcW w:w="6281" w:type="dxa"/>
            <w:shd w:val="clear" w:color="auto" w:fill="C6D9F1" w:themeFill="text2" w:themeFillTint="33"/>
          </w:tcPr>
          <w:p w14:paraId="4AB97E39" w14:textId="77777777" w:rsidR="000169CA" w:rsidRPr="00FA0AC9" w:rsidRDefault="000169C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0AC9">
              <w:rPr>
                <w:rFonts w:asciiTheme="minorHAnsi" w:hAnsiTheme="minorHAnsi"/>
                <w:b/>
                <w:sz w:val="24"/>
                <w:szCs w:val="24"/>
              </w:rPr>
              <w:t xml:space="preserve">Stakeholder </w:t>
            </w:r>
            <w:r w:rsidR="00A46D85">
              <w:rPr>
                <w:rFonts w:asciiTheme="minorHAnsi" w:hAnsiTheme="minorHAnsi"/>
                <w:b/>
                <w:sz w:val="24"/>
                <w:szCs w:val="24"/>
              </w:rPr>
              <w:t>Feedback</w:t>
            </w:r>
          </w:p>
        </w:tc>
      </w:tr>
      <w:tr w:rsidR="00B54AD9" w14:paraId="151A7673" w14:textId="77777777" w:rsidTr="00870A25">
        <w:tc>
          <w:tcPr>
            <w:tcW w:w="2504" w:type="dxa"/>
            <w:vMerge w:val="restart"/>
          </w:tcPr>
          <w:p w14:paraId="3F5C9562" w14:textId="65E4052F" w:rsidR="00B54AD9" w:rsidRDefault="000A676B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Shut-down Costs – Option 1</w:t>
            </w:r>
            <w:r w:rsidR="007054D3">
              <w:rPr>
                <w:rFonts w:asciiTheme="minorHAnsi" w:hAnsiTheme="minorHAnsi"/>
                <w:sz w:val="24"/>
                <w:szCs w:val="24"/>
                <w:lang w:val="en-US"/>
              </w:rPr>
              <w:t>: Risk Mitigation Approach</w:t>
            </w:r>
          </w:p>
        </w:tc>
        <w:tc>
          <w:tcPr>
            <w:tcW w:w="4165" w:type="dxa"/>
          </w:tcPr>
          <w:p w14:paraId="5DDBB6E1" w14:textId="6AD238BA" w:rsidR="00B54AD9" w:rsidRPr="00022220" w:rsidRDefault="007054D3" w:rsidP="007054D3">
            <w:pPr>
              <w:rPr>
                <w:sz w:val="24"/>
                <w:szCs w:val="24"/>
              </w:rPr>
            </w:pP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What is a reasonabl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 cap on in-market activations?</w:t>
            </w:r>
          </w:p>
        </w:tc>
        <w:tc>
          <w:tcPr>
            <w:tcW w:w="6281" w:type="dxa"/>
          </w:tcPr>
          <w:p w14:paraId="5103AD41" w14:textId="77777777" w:rsidR="00B54AD9" w:rsidRDefault="00B54AD9" w:rsidP="002B7A9B"/>
        </w:tc>
      </w:tr>
      <w:tr w:rsidR="00B54AD9" w14:paraId="2DA40D99" w14:textId="77777777" w:rsidTr="00870A25">
        <w:tc>
          <w:tcPr>
            <w:tcW w:w="2504" w:type="dxa"/>
            <w:vMerge/>
          </w:tcPr>
          <w:p w14:paraId="0C9D61EB" w14:textId="77777777" w:rsidR="00B54AD9" w:rsidRDefault="00B54AD9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0CC22381" w14:textId="7C7AC17E" w:rsidR="00B54AD9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How should a cap differ for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hourly demand response (</w:t>
            </w: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HDRs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dispatchable</w:t>
            </w:r>
            <w:proofErr w:type="spellEnd"/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loads?</w:t>
            </w:r>
          </w:p>
        </w:tc>
        <w:tc>
          <w:tcPr>
            <w:tcW w:w="6281" w:type="dxa"/>
          </w:tcPr>
          <w:p w14:paraId="0ED8C902" w14:textId="77777777" w:rsidR="00B54AD9" w:rsidRDefault="00B54AD9" w:rsidP="002B7A9B"/>
        </w:tc>
      </w:tr>
      <w:tr w:rsidR="007054D3" w14:paraId="068955F3" w14:textId="77777777" w:rsidTr="00870A25">
        <w:tc>
          <w:tcPr>
            <w:tcW w:w="2504" w:type="dxa"/>
            <w:vMerge w:val="restart"/>
          </w:tcPr>
          <w:p w14:paraId="0AE274AE" w14:textId="5F8A11E4" w:rsidR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Shut-down Costs – Option 2: Cost Recovery Approach</w:t>
            </w:r>
          </w:p>
        </w:tc>
        <w:tc>
          <w:tcPr>
            <w:tcW w:w="4165" w:type="dxa"/>
          </w:tcPr>
          <w:p w14:paraId="2CA2FD45" w14:textId="1A1738A5" w:rsidR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What costs should be included in eligible costs?</w:t>
            </w:r>
          </w:p>
        </w:tc>
        <w:tc>
          <w:tcPr>
            <w:tcW w:w="6281" w:type="dxa"/>
          </w:tcPr>
          <w:p w14:paraId="03DB138A" w14:textId="77777777" w:rsidR="007054D3" w:rsidRDefault="007054D3" w:rsidP="002B7A9B"/>
        </w:tc>
      </w:tr>
      <w:tr w:rsidR="007054D3" w14:paraId="12E7D588" w14:textId="77777777" w:rsidTr="00870A25">
        <w:tc>
          <w:tcPr>
            <w:tcW w:w="2504" w:type="dxa"/>
            <w:vMerge/>
          </w:tcPr>
          <w:p w14:paraId="72E83C08" w14:textId="77777777" w:rsidR="007054D3" w:rsidDel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5253E3D5" w14:textId="5CDE1A1C" w:rsidR="007054D3" w:rsidRPr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What does the cost submission process entail?  </w:t>
            </w:r>
          </w:p>
        </w:tc>
        <w:tc>
          <w:tcPr>
            <w:tcW w:w="6281" w:type="dxa"/>
          </w:tcPr>
          <w:p w14:paraId="775855FD" w14:textId="77777777" w:rsidR="007054D3" w:rsidRDefault="007054D3" w:rsidP="002B7A9B"/>
        </w:tc>
      </w:tr>
      <w:tr w:rsidR="007054D3" w14:paraId="03E72272" w14:textId="77777777" w:rsidTr="00870A25">
        <w:tc>
          <w:tcPr>
            <w:tcW w:w="2504" w:type="dxa"/>
            <w:vMerge/>
          </w:tcPr>
          <w:p w14:paraId="1C10A87D" w14:textId="77777777" w:rsidR="007054D3" w:rsidDel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461C89D8" w14:textId="08C1E0C0" w:rsidR="007054D3" w:rsidRPr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What savings and revenues should be included in the calculation of a make-whole payment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6281" w:type="dxa"/>
          </w:tcPr>
          <w:p w14:paraId="4FE0F36B" w14:textId="77777777" w:rsidR="007054D3" w:rsidRDefault="007054D3" w:rsidP="002B7A9B"/>
        </w:tc>
      </w:tr>
      <w:tr w:rsidR="007054D3" w14:paraId="3265BA32" w14:textId="77777777" w:rsidTr="00870A25">
        <w:tc>
          <w:tcPr>
            <w:tcW w:w="2504" w:type="dxa"/>
            <w:vMerge/>
          </w:tcPr>
          <w:p w14:paraId="73E8082D" w14:textId="77777777" w:rsidR="007054D3" w:rsidDel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278E9BC3" w14:textId="3715CE9A" w:rsidR="007054D3" w:rsidRPr="007054D3" w:rsidRDefault="007054D3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What evidence can be provided and used to audit costs?</w:t>
            </w:r>
          </w:p>
        </w:tc>
        <w:tc>
          <w:tcPr>
            <w:tcW w:w="6281" w:type="dxa"/>
          </w:tcPr>
          <w:p w14:paraId="24FA5398" w14:textId="77777777" w:rsidR="007054D3" w:rsidRDefault="007054D3" w:rsidP="002B7A9B"/>
        </w:tc>
      </w:tr>
      <w:tr w:rsidR="00870A25" w14:paraId="7EE2E904" w14:textId="77777777" w:rsidTr="00870A25">
        <w:tc>
          <w:tcPr>
            <w:tcW w:w="2504" w:type="dxa"/>
          </w:tcPr>
          <w:p w14:paraId="2A06310A" w14:textId="77777777" w:rsidR="002D7004" w:rsidRPr="007054D3" w:rsidRDefault="002D7004" w:rsidP="002D70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Shut-down Costs – Options 3 and 4 (Screened Out): </w:t>
            </w: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Representative Cost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</w:t>
            </w:r>
            <w:r w:rsidRPr="007054D3">
              <w:rPr>
                <w:rFonts w:asciiTheme="minorHAnsi" w:hAnsiTheme="minorHAnsi"/>
                <w:sz w:val="24"/>
                <w:szCs w:val="24"/>
                <w:lang w:val="en-US"/>
              </w:rPr>
              <w:t>2-Part Bid Reflected in Dispatch</w:t>
            </w:r>
          </w:p>
          <w:p w14:paraId="2FD69776" w14:textId="77777777" w:rsidR="00870A25" w:rsidRDefault="00870A2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</w:tcPr>
          <w:p w14:paraId="567D650E" w14:textId="702E37C1" w:rsidR="00870A25" w:rsidRPr="00870A25" w:rsidRDefault="007054D3" w:rsidP="00870A25">
            <w:pPr>
              <w:rPr>
                <w:rFonts w:asciiTheme="minorHAnsi" w:hAnsiTheme="minorHAnsi"/>
                <w:sz w:val="24"/>
                <w:szCs w:val="24"/>
              </w:rPr>
            </w:pPr>
            <w:r w:rsidRPr="007054D3">
              <w:rPr>
                <w:rFonts w:asciiTheme="minorHAnsi" w:hAnsiTheme="minorHAnsi"/>
                <w:sz w:val="24"/>
                <w:szCs w:val="24"/>
              </w:rPr>
              <w:t>Is there anything else that should be considered in screening out Options 3 and 4?</w:t>
            </w:r>
          </w:p>
        </w:tc>
        <w:tc>
          <w:tcPr>
            <w:tcW w:w="6281" w:type="dxa"/>
          </w:tcPr>
          <w:p w14:paraId="239AA61A" w14:textId="77777777" w:rsidR="00870A25" w:rsidRDefault="00870A25" w:rsidP="002B7A9B"/>
        </w:tc>
      </w:tr>
      <w:tr w:rsidR="005335DF" w14:paraId="00FFFE3A" w14:textId="77777777" w:rsidTr="005335DF">
        <w:tc>
          <w:tcPr>
            <w:tcW w:w="12950" w:type="dxa"/>
            <w:gridSpan w:val="3"/>
          </w:tcPr>
          <w:p w14:paraId="4ABB409C" w14:textId="77777777" w:rsidR="005335DF" w:rsidRDefault="005335DF" w:rsidP="005335DF">
            <w:r>
              <w:t>General Comments:</w:t>
            </w:r>
          </w:p>
          <w:p w14:paraId="0CAA6C0E" w14:textId="77777777" w:rsidR="005335DF" w:rsidRDefault="005335DF" w:rsidP="005335DF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6945F7FB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60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635D99CC">
              <wp:simplePos x="0" y="0"/>
              <wp:positionH relativeFrom="page">
                <wp:posOffset>508660</wp:posOffset>
              </wp:positionH>
              <wp:positionV relativeFrom="page">
                <wp:posOffset>356928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13B6BA29" w:rsidR="008627E4" w:rsidRPr="005A31A1" w:rsidRDefault="000A676B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Energy Payments for Economic Activation of Demand Response Resources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641060B4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0A676B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May 21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14:paraId="4001ACD6" w14:textId="77777777" w:rsidR="008627E4" w:rsidRDefault="008627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.05pt;margin-top:28.1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" filled="f" stroked="f">
              <v:textbox>
                <w:txbxContent>
                  <w:p w14:paraId="0A9C5643" w14:textId="13B6BA29" w:rsidR="008627E4" w:rsidRPr="005A31A1" w:rsidRDefault="000A676B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Energy Payments for Economic Activation of Demand Response Resources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641060B4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0A676B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May 21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14:paraId="4001ACD6" w14:textId="77777777" w:rsidR="008627E4" w:rsidRDefault="008627E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A676B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D7004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6401"/>
    <w:rsid w:val="00462F66"/>
    <w:rsid w:val="00464397"/>
    <w:rsid w:val="00467C08"/>
    <w:rsid w:val="004761B3"/>
    <w:rsid w:val="00481860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54D3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5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6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Energy-Payments-for-Economic-Activation-of-DR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EE54B-32AB-46CC-AA79-969CC7EE86CD}">
  <ds:schemaRefs>
    <ds:schemaRef ds:uri="748f5834-c543-41e8-ae07-d25535253511"/>
    <ds:schemaRef ds:uri="http://purl.org/dc/elements/1.1/"/>
    <ds:schemaRef ds:uri="http://schemas.microsoft.com/office/2006/metadata/properties"/>
    <ds:schemaRef ds:uri="http://purl.org/dc/terms/"/>
    <ds:schemaRef ds:uri="a787331b-6997-4e75-bc4a-cfef76b70fb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D7C070-B4C5-4F65-AD93-AC6D4E16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4</cp:revision>
  <dcterms:created xsi:type="dcterms:W3CDTF">2020-05-19T22:17:00Z</dcterms:created>
  <dcterms:modified xsi:type="dcterms:W3CDTF">2020-05-19T22:41:00Z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